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i w:val="0"/>
          <w:color w:val="0B2545"/>
          <w:sz w:val="36"/>
        </w:rPr>
        <w:t>Shared CJS-CWT Mainstem Model Explanation</w:t>
      </w:r>
    </w:p>
    <w:p>
      <w:pPr>
        <w:spacing w:before="0" w:after="280" w:line="264" w:lineRule="auto"/>
      </w:pPr>
      <w:r>
        <w:rPr>
          <w:rFonts w:ascii="Calibri" w:hAnsi="Calibri"/>
          <w:b w:val="0"/>
          <w:i/>
          <w:color w:val="555555"/>
          <w:sz w:val="22"/>
        </w:rPr>
        <w:t>Combined Sacramento River survival and travel-time model</w:t>
      </w:r>
    </w:p>
    <w:p>
      <w:pPr>
        <w:spacing w:before="320" w:after="160" w:line="264" w:lineRule="auto"/>
      </w:pPr>
      <w:r>
        <w:rPr>
          <w:rFonts w:ascii="Calibri" w:hAnsi="Calibri"/>
          <w:b/>
          <w:i w:val="0"/>
          <w:color w:val="2E74B5"/>
          <w:sz w:val="32"/>
        </w:rPr>
        <w:t>Model Goal</w:t>
      </w:r>
    </w:p>
    <w:p>
      <w:pPr>
        <w:spacing w:before="0" w:after="120" w:line="264" w:lineRule="auto"/>
      </w:pPr>
      <w:r>
        <w:rPr>
          <w:rFonts w:ascii="Calibri" w:hAnsi="Calibri"/>
          <w:b w:val="0"/>
          <w:i w:val="0"/>
          <w:sz w:val="22"/>
        </w:rPr>
        <w:t>The shared CJS-CWT model combines information from CJS acoustic-tag data and CWT release-group data to estimate Sacramento River mainstem survival and travel-time relationships. The intent is to use both data sources together, while allowing them to differ where the data indicate different behavior.</w:t>
      </w:r>
    </w:p>
    <w:p>
      <w:pPr>
        <w:spacing w:before="320" w:after="160" w:line="264" w:lineRule="auto"/>
      </w:pPr>
      <w:r>
        <w:rPr>
          <w:rFonts w:ascii="Calibri" w:hAnsi="Calibri"/>
          <w:b/>
          <w:i w:val="0"/>
          <w:color w:val="2E74B5"/>
          <w:sz w:val="32"/>
        </w:rPr>
        <w:t>Data Included</w:t>
      </w:r>
    </w:p>
    <w:p>
      <w:pPr>
        <w:spacing w:before="0" w:after="120" w:line="264" w:lineRule="auto"/>
      </w:pPr>
      <w:r>
        <w:rPr>
          <w:rFonts w:ascii="Calibri" w:hAnsi="Calibri"/>
          <w:b w:val="0"/>
          <w:i w:val="0"/>
          <w:sz w:val="22"/>
        </w:rPr>
        <w:t>The CJS portion uses Sacramento River mainstem fish only and retains multiple mainstem reaches. Butte and Feather tributary CJS likelihoods are excluded. The CWT portion uses Battle Creek and RBDD release groups and models outcomes from release to Knights Landing.</w:t>
      </w:r>
    </w:p>
    <w:tbl>
      <w:tblPr>
        <w:tblStyle w:val="TableGrid"/>
        <w:tblW w:type="dxa" w:w="9360"/>
        <w:jc w:val="left"/>
        <w:tblLook w:firstColumn="1" w:firstRow="1" w:lastColumn="0" w:lastRow="0" w:noHBand="0" w:noVBand="1" w:val="04A0"/>
        <w:tblInd w:w="120" w:type="dxa"/>
      </w:tblPr>
      <w:tblGrid>
        <w:gridCol w:w="3120"/>
        <w:gridCol w:w="3120"/>
        <w:gridCol w:w="3120"/>
      </w:tblGrid>
      <w:tr>
        <w:tc>
          <w:tcPr>
            <w:tcW w:type="dxa" w:w="3120"/>
            <w:shd w:fill="F2F4F7"/>
            <w:tcMar>
              <w:top w:w="80" w:type="dxa"/>
              <w:start w:w="120" w:type="dxa"/>
              <w:bottom w:w="80" w:type="dxa"/>
              <w:end w:w="120" w:type="dxa"/>
            </w:tcMar>
          </w:tcPr>
          <w:p>
            <w:pPr>
              <w:spacing w:before="0" w:after="0" w:line="264" w:lineRule="auto"/>
            </w:pPr>
            <w:r>
              <w:rPr>
                <w:rFonts w:ascii="Calibri" w:hAnsi="Calibri"/>
                <w:b/>
                <w:i w:val="0"/>
                <w:sz w:val="22"/>
              </w:rPr>
              <w:t>Component</w:t>
            </w:r>
          </w:p>
        </w:tc>
        <w:tc>
          <w:tcPr>
            <w:tcW w:type="dxa" w:w="3120"/>
            <w:shd w:fill="F2F4F7"/>
            <w:tcMar>
              <w:top w:w="80" w:type="dxa"/>
              <w:start w:w="120" w:type="dxa"/>
              <w:bottom w:w="80" w:type="dxa"/>
              <w:end w:w="120" w:type="dxa"/>
            </w:tcMar>
          </w:tcPr>
          <w:p>
            <w:pPr>
              <w:spacing w:before="0" w:after="0" w:line="264" w:lineRule="auto"/>
            </w:pPr>
            <w:r>
              <w:rPr>
                <w:rFonts w:ascii="Calibri" w:hAnsi="Calibri"/>
                <w:b/>
                <w:i w:val="0"/>
                <w:sz w:val="22"/>
              </w:rPr>
              <w:t>Data unit</w:t>
            </w:r>
          </w:p>
        </w:tc>
        <w:tc>
          <w:tcPr>
            <w:tcW w:type="dxa" w:w="3120"/>
            <w:shd w:fill="F2F4F7"/>
            <w:tcMar>
              <w:top w:w="80" w:type="dxa"/>
              <w:start w:w="120" w:type="dxa"/>
              <w:bottom w:w="80" w:type="dxa"/>
              <w:end w:w="120" w:type="dxa"/>
            </w:tcMar>
          </w:tcPr>
          <w:p>
            <w:pPr>
              <w:spacing w:before="0" w:after="0" w:line="264" w:lineRule="auto"/>
            </w:pPr>
            <w:r>
              <w:rPr>
                <w:rFonts w:ascii="Calibri" w:hAnsi="Calibri"/>
                <w:b/>
                <w:i w:val="0"/>
                <w:sz w:val="22"/>
              </w:rPr>
              <w:t>Main response</w:t>
            </w:r>
          </w:p>
        </w:tc>
      </w:tr>
      <w:tr>
        <w:tc>
          <w:tcPr>
            <w:tcW w:type="dxa" w:w="3120"/>
            <w:vAlign w:val="top"/>
            <w:tcMar>
              <w:top w:w="80" w:type="dxa"/>
              <w:start w:w="120" w:type="dxa"/>
              <w:bottom w:w="80" w:type="dxa"/>
              <w:end w:w="120" w:type="dxa"/>
            </w:tcMar>
          </w:tcPr>
          <w:p>
            <w:pPr>
              <w:spacing w:before="0" w:after="0" w:line="264" w:lineRule="auto"/>
            </w:pPr>
            <w:r>
              <w:rPr>
                <w:rFonts w:ascii="Calibri" w:hAnsi="Calibri"/>
                <w:b w:val="0"/>
                <w:i w:val="0"/>
                <w:sz w:val="22"/>
              </w:rPr>
              <w:t>CJS</w:t>
            </w:r>
          </w:p>
        </w:tc>
        <w:tc>
          <w:tcPr>
            <w:tcW w:type="dxa" w:w="3120"/>
            <w:vAlign w:val="top"/>
            <w:tcMar>
              <w:top w:w="80" w:type="dxa"/>
              <w:start w:w="120" w:type="dxa"/>
              <w:bottom w:w="80" w:type="dxa"/>
              <w:end w:w="120" w:type="dxa"/>
            </w:tcMar>
          </w:tcPr>
          <w:p>
            <w:pPr>
              <w:spacing w:before="0" w:after="0" w:line="264" w:lineRule="auto"/>
            </w:pPr>
            <w:r>
              <w:rPr>
                <w:rFonts w:ascii="Calibri" w:hAnsi="Calibri"/>
                <w:b w:val="0"/>
                <w:i w:val="0"/>
                <w:sz w:val="22"/>
              </w:rPr>
              <w:t>Individual tagged fish</w:t>
            </w:r>
          </w:p>
        </w:tc>
        <w:tc>
          <w:tcPr>
            <w:tcW w:type="dxa" w:w="3120"/>
            <w:vAlign w:val="top"/>
            <w:tcMar>
              <w:top w:w="80" w:type="dxa"/>
              <w:start w:w="120" w:type="dxa"/>
              <w:bottom w:w="80" w:type="dxa"/>
              <w:end w:w="120" w:type="dxa"/>
            </w:tcMar>
          </w:tcPr>
          <w:p>
            <w:pPr>
              <w:spacing w:before="0" w:after="0" w:line="264" w:lineRule="auto"/>
            </w:pPr>
            <w:r>
              <w:rPr>
                <w:rFonts w:ascii="Calibri" w:hAnsi="Calibri"/>
                <w:b w:val="0"/>
                <w:i w:val="0"/>
                <w:sz w:val="22"/>
              </w:rPr>
              <w:t>Encounter history, reach survival, and observed travel time.</w:t>
            </w:r>
          </w:p>
        </w:tc>
      </w:tr>
      <w:tr>
        <w:tc>
          <w:tcPr>
            <w:tcW w:type="dxa" w:w="3120"/>
            <w:vAlign w:val="top"/>
            <w:tcMar>
              <w:top w:w="80" w:type="dxa"/>
              <w:start w:w="120" w:type="dxa"/>
              <w:bottom w:w="80" w:type="dxa"/>
              <w:end w:w="120" w:type="dxa"/>
            </w:tcMar>
          </w:tcPr>
          <w:p>
            <w:pPr>
              <w:spacing w:before="0" w:after="0" w:line="264" w:lineRule="auto"/>
            </w:pPr>
            <w:r>
              <w:rPr>
                <w:rFonts w:ascii="Calibri" w:hAnsi="Calibri"/>
                <w:b w:val="0"/>
                <w:i w:val="0"/>
                <w:sz w:val="22"/>
              </w:rPr>
              <w:t>CWT</w:t>
            </w:r>
          </w:p>
        </w:tc>
        <w:tc>
          <w:tcPr>
            <w:tcW w:type="dxa" w:w="3120"/>
            <w:vAlign w:val="top"/>
            <w:tcMar>
              <w:top w:w="80" w:type="dxa"/>
              <w:start w:w="120" w:type="dxa"/>
              <w:bottom w:w="80" w:type="dxa"/>
              <w:end w:w="120" w:type="dxa"/>
            </w:tcMar>
          </w:tcPr>
          <w:p>
            <w:pPr>
              <w:spacing w:before="0" w:after="0" w:line="264" w:lineRule="auto"/>
            </w:pPr>
            <w:r>
              <w:rPr>
                <w:rFonts w:ascii="Calibri" w:hAnsi="Calibri"/>
                <w:b w:val="0"/>
                <w:i w:val="0"/>
                <w:sz w:val="22"/>
              </w:rPr>
              <w:t>Release group</w:t>
            </w:r>
          </w:p>
        </w:tc>
        <w:tc>
          <w:tcPr>
            <w:tcW w:type="dxa" w:w="3120"/>
            <w:vAlign w:val="top"/>
            <w:tcMar>
              <w:top w:w="80" w:type="dxa"/>
              <w:start w:w="120" w:type="dxa"/>
              <w:bottom w:w="80" w:type="dxa"/>
              <w:end w:w="120" w:type="dxa"/>
            </w:tcMar>
          </w:tcPr>
          <w:p>
            <w:pPr>
              <w:spacing w:before="0" w:after="0" w:line="264" w:lineRule="auto"/>
            </w:pPr>
            <w:r>
              <w:rPr>
                <w:rFonts w:ascii="Calibri" w:hAnsi="Calibri"/>
                <w:b w:val="0"/>
                <w:i w:val="0"/>
                <w:sz w:val="22"/>
              </w:rPr>
              <w:t>Number recaptured at Knights Landing and CWT travel-time observations.</w:t>
            </w:r>
          </w:p>
        </w:tc>
      </w:tr>
    </w:tbl>
    <w:p>
      <w:pPr>
        <w:spacing w:before="320" w:after="160" w:line="264" w:lineRule="auto"/>
      </w:pPr>
      <w:r>
        <w:rPr>
          <w:rFonts w:ascii="Calibri" w:hAnsi="Calibri"/>
          <w:b/>
          <w:i w:val="0"/>
          <w:color w:val="2E74B5"/>
          <w:sz w:val="32"/>
        </w:rPr>
        <w:t>Likelihood Combination</w:t>
      </w:r>
    </w:p>
    <w:p>
      <w:pPr>
        <w:spacing w:before="0" w:after="120" w:line="264" w:lineRule="auto"/>
      </w:pPr>
      <w:r>
        <w:rPr>
          <w:rFonts w:ascii="Calibri" w:hAnsi="Calibri"/>
          <w:b w:val="0"/>
          <w:i w:val="0"/>
          <w:sz w:val="22"/>
        </w:rPr>
        <w:t>The model combines the CJS and CWT likelihoods in one Stan model. Stan adds log-likelihood terms, so including both components in the same model block is equivalent to multiplying the CJS and CWT likelihoods.</w:t>
      </w:r>
    </w:p>
    <w:p>
      <w:pPr>
        <w:pStyle w:val="ListBullet"/>
        <w:spacing w:before="0" w:after="80" w:line="280" w:lineRule="auto"/>
        <w:ind w:left="720" w:hanging="360"/>
      </w:pPr>
      <w:r>
        <w:rPr>
          <w:rFonts w:ascii="Calibri" w:hAnsi="Calibri"/>
          <w:b w:val="0"/>
          <w:i w:val="0"/>
          <w:sz w:val="22"/>
        </w:rPr>
        <w:t>CJS survival and detection are modeled with Bernoulli likelihood terms.</w:t>
      </w:r>
    </w:p>
    <w:p>
      <w:pPr>
        <w:pStyle w:val="ListBullet"/>
        <w:spacing w:before="0" w:after="80" w:line="280" w:lineRule="auto"/>
        <w:ind w:left="720" w:hanging="360"/>
      </w:pPr>
      <w:r>
        <w:rPr>
          <w:rFonts w:ascii="Calibri" w:hAnsi="Calibri"/>
          <w:b w:val="0"/>
          <w:i w:val="0"/>
          <w:sz w:val="22"/>
        </w:rPr>
        <w:t>CJS travel time is modeled with a lognormal likelihood.</w:t>
      </w:r>
    </w:p>
    <w:p>
      <w:pPr>
        <w:pStyle w:val="ListBullet"/>
        <w:spacing w:before="0" w:after="80" w:line="280" w:lineRule="auto"/>
        <w:ind w:left="720" w:hanging="360"/>
      </w:pPr>
      <w:r>
        <w:rPr>
          <w:rFonts w:ascii="Calibri" w:hAnsi="Calibri"/>
          <w:b w:val="0"/>
          <w:i w:val="0"/>
          <w:sz w:val="22"/>
        </w:rPr>
        <w:t>CWT recaptures are modeled with a binomial likelihood.</w:t>
      </w:r>
    </w:p>
    <w:p>
      <w:pPr>
        <w:pStyle w:val="ListBullet"/>
        <w:spacing w:before="0" w:after="80" w:line="280" w:lineRule="auto"/>
        <w:ind w:left="720" w:hanging="360"/>
      </w:pPr>
      <w:r>
        <w:rPr>
          <w:rFonts w:ascii="Calibri" w:hAnsi="Calibri"/>
          <w:b w:val="0"/>
          <w:i w:val="0"/>
          <w:sz w:val="22"/>
        </w:rPr>
        <w:t>CWT travel times are modeled with a lognormal likelihood.</w:t>
      </w:r>
    </w:p>
    <w:p>
      <w:pPr>
        <w:spacing w:before="320" w:after="160" w:line="264" w:lineRule="auto"/>
      </w:pPr>
      <w:r>
        <w:rPr>
          <w:rFonts w:ascii="Calibri" w:hAnsi="Calibri"/>
          <w:b/>
          <w:i w:val="0"/>
          <w:color w:val="2E74B5"/>
          <w:sz w:val="32"/>
        </w:rPr>
        <w:t>Survival Model</w:t>
      </w:r>
    </w:p>
    <w:p>
      <w:pPr>
        <w:spacing w:before="0" w:after="120" w:line="264" w:lineRule="auto"/>
      </w:pPr>
      <w:r>
        <w:rPr>
          <w:rFonts w:ascii="Calibri" w:hAnsi="Calibri"/>
          <w:b w:val="0"/>
          <w:i w:val="0"/>
          <w:sz w:val="22"/>
        </w:rPr>
        <w:t>Survival is modeled on the logit scale and then adjusted by reach distance. For the CJS data, survival is estimated by mainstem reach. For the CWT data, survival is estimated from release location to Knights Landing.</w:t>
      </w:r>
    </w:p>
    <w:p>
      <w:pPr>
        <w:spacing w:before="0" w:after="120" w:line="264" w:lineRule="auto"/>
      </w:pPr>
      <w:r>
        <w:rPr>
          <w:rFonts w:ascii="Calibri" w:hAnsi="Calibri"/>
          <w:b w:val="0"/>
          <w:i w:val="0"/>
          <w:sz w:val="22"/>
        </w:rPr>
        <w:t>The flow effect on survival is partially shared. The model estimates a shared survival-flow effect and then allows CJS and CWT to deviate from that shared effect. This lets both data sources inform the overall survival-flow relationship without forcing them to be identical.</w:t>
      </w:r>
    </w:p>
    <w:p>
      <w:pPr>
        <w:spacing w:after="160"/>
        <w:ind w:left="360"/>
      </w:pPr>
      <w:r>
        <w:rPr>
          <w:rFonts w:ascii="Courier New" w:hAnsi="Courier New"/>
          <w:color w:val="1F2937"/>
          <w:sz w:val="18"/>
        </w:rPr>
        <w:t>S_bCov_cjs = S_bCov_shared + sigma_S_bCov_model * z_S_bCov_model[1];</w:t>
      </w:r>
      <w:r>
        <w:br/>
      </w:r>
      <w:r>
        <w:rPr>
          <w:rFonts w:ascii="Courier New" w:hAnsi="Courier New"/>
          <w:color w:val="1F2937"/>
          <w:sz w:val="18"/>
        </w:rPr>
        <w:t>S_bCov_cwt = S_bCov_shared + sigma_S_bCov_model * z_S_bCov_model[2];</w:t>
      </w:r>
    </w:p>
    <w:p>
      <w:pPr>
        <w:spacing w:before="320" w:after="160" w:line="264" w:lineRule="auto"/>
      </w:pPr>
      <w:r>
        <w:rPr>
          <w:rFonts w:ascii="Calibri" w:hAnsi="Calibri"/>
          <w:b/>
          <w:i w:val="0"/>
          <w:color w:val="2E74B5"/>
          <w:sz w:val="32"/>
        </w:rPr>
        <w:t>Travel-Time Model</w:t>
      </w:r>
    </w:p>
    <w:p>
      <w:pPr>
        <w:spacing w:before="0" w:after="120" w:line="264" w:lineRule="auto"/>
      </w:pPr>
      <w:r>
        <w:rPr>
          <w:rFonts w:ascii="Calibri" w:hAnsi="Calibri"/>
          <w:b w:val="0"/>
          <w:i w:val="0"/>
          <w:sz w:val="22"/>
        </w:rPr>
        <w:t>Travel time is modeled on the log scale with a lognormal observation model. This means covariate effects act multiplicatively on travel time after the linear predictor is exponentiated.</w:t>
      </w:r>
    </w:p>
    <w:p>
      <w:pPr>
        <w:spacing w:before="0" w:after="120" w:line="264" w:lineRule="auto"/>
      </w:pPr>
      <w:r>
        <w:rPr>
          <w:rFonts w:ascii="Calibri" w:hAnsi="Calibri"/>
          <w:b w:val="0"/>
          <w:i w:val="0"/>
          <w:sz w:val="22"/>
        </w:rPr>
        <w:t>The travel-time flow effect is now separated between CJS and CWT. The previous shared travel-time flow coefficient was removed because it could force an unstable combined flow relationship and produce unrealistic high-flow travel-time predictions.</w:t>
      </w:r>
    </w:p>
    <w:p>
      <w:pPr>
        <w:spacing w:after="160"/>
        <w:ind w:left="360"/>
      </w:pPr>
      <w:r>
        <w:rPr>
          <w:rFonts w:ascii="Courier New" w:hAnsi="Courier New"/>
          <w:color w:val="1F2937"/>
          <w:sz w:val="18"/>
        </w:rPr>
        <w:t>real&lt;lower=-5, upper=5&gt; TT_bCov_cjs;</w:t>
      </w:r>
      <w:r>
        <w:br/>
      </w:r>
      <w:r>
        <w:rPr>
          <w:rFonts w:ascii="Courier New" w:hAnsi="Courier New"/>
          <w:color w:val="1F2937"/>
          <w:sz w:val="18"/>
        </w:rPr>
        <w:t>real&lt;lower=-5, upper=5&gt; TT_bCov_cwt;</w:t>
      </w:r>
      <w:r>
        <w:br/>
      </w:r>
      <w:r>
        <w:rPr>
          <w:rFonts w:ascii="Courier New" w:hAnsi="Courier New"/>
          <w:color w:val="1F2937"/>
          <w:sz w:val="18"/>
        </w:rPr>
      </w:r>
      <w:r>
        <w:br/>
      </w:r>
      <w:r>
        <w:rPr>
          <w:rFonts w:ascii="Courier New" w:hAnsi="Courier New"/>
          <w:color w:val="1F2937"/>
          <w:sz w:val="18"/>
        </w:rPr>
        <w:t>TT_bCov_cjs ~ normal(0, 0.25);</w:t>
      </w:r>
      <w:r>
        <w:br/>
      </w:r>
      <w:r>
        <w:rPr>
          <w:rFonts w:ascii="Courier New" w:hAnsi="Courier New"/>
          <w:color w:val="1F2937"/>
          <w:sz w:val="18"/>
        </w:rPr>
        <w:t>TT_bCov_cwt ~ normal(0, 0.25);</w:t>
      </w:r>
    </w:p>
    <w:p>
      <w:pPr>
        <w:spacing w:before="320" w:after="160" w:line="264" w:lineRule="auto"/>
      </w:pPr>
      <w:r>
        <w:rPr>
          <w:rFonts w:ascii="Calibri" w:hAnsi="Calibri"/>
          <w:b/>
          <w:i w:val="0"/>
          <w:color w:val="2E74B5"/>
          <w:sz w:val="32"/>
        </w:rPr>
        <w:t>Fork-Length Effects</w:t>
      </w:r>
    </w:p>
    <w:p>
      <w:pPr>
        <w:spacing w:before="0" w:after="120" w:line="264" w:lineRule="auto"/>
      </w:pPr>
      <w:r>
        <w:rPr>
          <w:rFonts w:ascii="Calibri" w:hAnsi="Calibri"/>
          <w:b w:val="0"/>
          <w:i w:val="0"/>
          <w:sz w:val="22"/>
        </w:rPr>
        <w:t>Fork length is standardized using the combined CJS and CWT size range so that size effects have a common interpretation across the two data sources. Size effects remain partially shared for both survival and travel time.</w:t>
      </w:r>
    </w:p>
    <w:tbl>
      <w:tblPr>
        <w:tblStyle w:val="TableGrid"/>
        <w:tblW w:type="dxa" w:w="9360"/>
        <w:jc w:val="left"/>
        <w:tblLook w:firstColumn="1" w:firstRow="1" w:lastColumn="0" w:lastRow="0" w:noHBand="0" w:noVBand="1" w:val="04A0"/>
        <w:tblInd w:w="120" w:type="dxa"/>
      </w:tblPr>
      <w:tblGrid>
        <w:gridCol w:w="4680"/>
        <w:gridCol w:w="4680"/>
      </w:tblGrid>
      <w:tr>
        <w:tc>
          <w:tcPr>
            <w:tcW w:type="dxa" w:w="4680"/>
            <w:shd w:fill="F2F4F7"/>
            <w:tcMar>
              <w:top w:w="80" w:type="dxa"/>
              <w:start w:w="120" w:type="dxa"/>
              <w:bottom w:w="80" w:type="dxa"/>
              <w:end w:w="120" w:type="dxa"/>
            </w:tcMar>
          </w:tcPr>
          <w:p>
            <w:pPr>
              <w:spacing w:before="0" w:after="0" w:line="264" w:lineRule="auto"/>
            </w:pPr>
            <w:r>
              <w:rPr>
                <w:rFonts w:ascii="Calibri" w:hAnsi="Calibri"/>
                <w:b/>
                <w:i w:val="0"/>
                <w:sz w:val="22"/>
              </w:rPr>
              <w:t>Effect</w:t>
            </w:r>
          </w:p>
        </w:tc>
        <w:tc>
          <w:tcPr>
            <w:tcW w:type="dxa" w:w="4680"/>
            <w:shd w:fill="F2F4F7"/>
            <w:tcMar>
              <w:top w:w="80" w:type="dxa"/>
              <w:start w:w="120" w:type="dxa"/>
              <w:bottom w:w="80" w:type="dxa"/>
              <w:end w:w="120" w:type="dxa"/>
            </w:tcMar>
          </w:tcPr>
          <w:p>
            <w:pPr>
              <w:spacing w:before="0" w:after="0" w:line="264" w:lineRule="auto"/>
            </w:pPr>
            <w:r>
              <w:rPr>
                <w:rFonts w:ascii="Calibri" w:hAnsi="Calibri"/>
                <w:b/>
                <w:i w:val="0"/>
                <w:sz w:val="22"/>
              </w:rPr>
              <w:t>Structure</w:t>
            </w:r>
          </w:p>
        </w:tc>
      </w:tr>
      <w:tr>
        <w:tc>
          <w:tcPr>
            <w:tcW w:type="dxa" w:w="4680"/>
            <w:vAlign w:val="top"/>
            <w:tcMar>
              <w:top w:w="80" w:type="dxa"/>
              <w:start w:w="120" w:type="dxa"/>
              <w:bottom w:w="80" w:type="dxa"/>
              <w:end w:w="120" w:type="dxa"/>
            </w:tcMar>
          </w:tcPr>
          <w:p>
            <w:pPr>
              <w:spacing w:before="0" w:after="0" w:line="264" w:lineRule="auto"/>
            </w:pPr>
            <w:r>
              <w:rPr>
                <w:rFonts w:ascii="Calibri" w:hAnsi="Calibri"/>
                <w:b w:val="0"/>
                <w:i w:val="0"/>
                <w:sz w:val="22"/>
              </w:rPr>
              <w:t>Survival size</w:t>
            </w:r>
          </w:p>
        </w:tc>
        <w:tc>
          <w:tcPr>
            <w:tcW w:type="dxa" w:w="4680"/>
            <w:vAlign w:val="top"/>
            <w:tcMar>
              <w:top w:w="80" w:type="dxa"/>
              <w:start w:w="120" w:type="dxa"/>
              <w:bottom w:w="80" w:type="dxa"/>
              <w:end w:w="120" w:type="dxa"/>
            </w:tcMar>
          </w:tcPr>
          <w:p>
            <w:pPr>
              <w:spacing w:before="0" w:after="0" w:line="264" w:lineRule="auto"/>
            </w:pPr>
            <w:r>
              <w:rPr>
                <w:rFonts w:ascii="Calibri" w:hAnsi="Calibri"/>
                <w:b w:val="0"/>
                <w:i w:val="0"/>
                <w:sz w:val="22"/>
              </w:rPr>
              <w:t>Shared mean plus CJS and CWT deviations.</w:t>
            </w:r>
          </w:p>
        </w:tc>
      </w:tr>
      <w:tr>
        <w:tc>
          <w:tcPr>
            <w:tcW w:type="dxa" w:w="4680"/>
            <w:vAlign w:val="top"/>
            <w:tcMar>
              <w:top w:w="80" w:type="dxa"/>
              <w:start w:w="120" w:type="dxa"/>
              <w:bottom w:w="80" w:type="dxa"/>
              <w:end w:w="120" w:type="dxa"/>
            </w:tcMar>
          </w:tcPr>
          <w:p>
            <w:pPr>
              <w:spacing w:before="0" w:after="0" w:line="264" w:lineRule="auto"/>
            </w:pPr>
            <w:r>
              <w:rPr>
                <w:rFonts w:ascii="Calibri" w:hAnsi="Calibri"/>
                <w:b w:val="0"/>
                <w:i w:val="0"/>
                <w:sz w:val="22"/>
              </w:rPr>
              <w:t>Travel-time size</w:t>
            </w:r>
          </w:p>
        </w:tc>
        <w:tc>
          <w:tcPr>
            <w:tcW w:type="dxa" w:w="4680"/>
            <w:vAlign w:val="top"/>
            <w:tcMar>
              <w:top w:w="80" w:type="dxa"/>
              <w:start w:w="120" w:type="dxa"/>
              <w:bottom w:w="80" w:type="dxa"/>
              <w:end w:w="120" w:type="dxa"/>
            </w:tcMar>
          </w:tcPr>
          <w:p>
            <w:pPr>
              <w:spacing w:before="0" w:after="0" w:line="264" w:lineRule="auto"/>
            </w:pPr>
            <w:r>
              <w:rPr>
                <w:rFonts w:ascii="Calibri" w:hAnsi="Calibri"/>
                <w:b w:val="0"/>
                <w:i w:val="0"/>
                <w:sz w:val="22"/>
              </w:rPr>
              <w:t>Shared mean plus CJS and CWT deviations.</w:t>
            </w:r>
          </w:p>
        </w:tc>
      </w:tr>
      <w:tr>
        <w:tc>
          <w:tcPr>
            <w:tcW w:type="dxa" w:w="4680"/>
            <w:vAlign w:val="top"/>
            <w:tcMar>
              <w:top w:w="80" w:type="dxa"/>
              <w:start w:w="120" w:type="dxa"/>
              <w:bottom w:w="80" w:type="dxa"/>
              <w:end w:w="120" w:type="dxa"/>
            </w:tcMar>
          </w:tcPr>
          <w:p>
            <w:pPr>
              <w:spacing w:before="0" w:after="0" w:line="264" w:lineRule="auto"/>
            </w:pPr>
            <w:r>
              <w:rPr>
                <w:rFonts w:ascii="Calibri" w:hAnsi="Calibri"/>
                <w:b w:val="0"/>
                <w:i w:val="0"/>
                <w:sz w:val="22"/>
              </w:rPr>
              <w:t>Survival flow</w:t>
            </w:r>
          </w:p>
        </w:tc>
        <w:tc>
          <w:tcPr>
            <w:tcW w:type="dxa" w:w="4680"/>
            <w:vAlign w:val="top"/>
            <w:tcMar>
              <w:top w:w="80" w:type="dxa"/>
              <w:start w:w="120" w:type="dxa"/>
              <w:bottom w:w="80" w:type="dxa"/>
              <w:end w:w="120" w:type="dxa"/>
            </w:tcMar>
          </w:tcPr>
          <w:p>
            <w:pPr>
              <w:spacing w:before="0" w:after="0" w:line="264" w:lineRule="auto"/>
            </w:pPr>
            <w:r>
              <w:rPr>
                <w:rFonts w:ascii="Calibri" w:hAnsi="Calibri"/>
                <w:b w:val="0"/>
                <w:i w:val="0"/>
                <w:sz w:val="22"/>
              </w:rPr>
              <w:t>Shared mean plus CJS and CWT deviations.</w:t>
            </w:r>
          </w:p>
        </w:tc>
      </w:tr>
      <w:tr>
        <w:tc>
          <w:tcPr>
            <w:tcW w:type="dxa" w:w="4680"/>
            <w:vAlign w:val="top"/>
            <w:tcMar>
              <w:top w:w="80" w:type="dxa"/>
              <w:start w:w="120" w:type="dxa"/>
              <w:bottom w:w="80" w:type="dxa"/>
              <w:end w:w="120" w:type="dxa"/>
            </w:tcMar>
          </w:tcPr>
          <w:p>
            <w:pPr>
              <w:spacing w:before="0" w:after="0" w:line="264" w:lineRule="auto"/>
            </w:pPr>
            <w:r>
              <w:rPr>
                <w:rFonts w:ascii="Calibri" w:hAnsi="Calibri"/>
                <w:b w:val="0"/>
                <w:i w:val="0"/>
                <w:sz w:val="22"/>
              </w:rPr>
              <w:t>Travel-time flow</w:t>
            </w:r>
          </w:p>
        </w:tc>
        <w:tc>
          <w:tcPr>
            <w:tcW w:type="dxa" w:w="4680"/>
            <w:vAlign w:val="top"/>
            <w:tcMar>
              <w:top w:w="80" w:type="dxa"/>
              <w:start w:w="120" w:type="dxa"/>
              <w:bottom w:w="80" w:type="dxa"/>
              <w:end w:w="120" w:type="dxa"/>
            </w:tcMar>
          </w:tcPr>
          <w:p>
            <w:pPr>
              <w:spacing w:before="0" w:after="0" w:line="264" w:lineRule="auto"/>
            </w:pPr>
            <w:r>
              <w:rPr>
                <w:rFonts w:ascii="Calibri" w:hAnsi="Calibri"/>
                <w:b w:val="0"/>
                <w:i w:val="0"/>
                <w:sz w:val="22"/>
              </w:rPr>
              <w:t>Separate CJS and CWT coefficients with stronger priors.</w:t>
            </w:r>
          </w:p>
        </w:tc>
      </w:tr>
    </w:tbl>
    <w:p>
      <w:pPr>
        <w:spacing w:before="320" w:after="160" w:line="264" w:lineRule="auto"/>
      </w:pPr>
      <w:r>
        <w:rPr>
          <w:rFonts w:ascii="Calibri" w:hAnsi="Calibri"/>
          <w:b/>
          <w:i w:val="0"/>
          <w:color w:val="2E74B5"/>
          <w:sz w:val="32"/>
        </w:rPr>
        <w:t>Predictions</w:t>
      </w:r>
    </w:p>
    <w:p>
      <w:pPr>
        <w:spacing w:before="0" w:after="120" w:line="264" w:lineRule="auto"/>
      </w:pPr>
      <w:r>
        <w:rPr>
          <w:rFonts w:ascii="Calibri" w:hAnsi="Calibri"/>
          <w:b w:val="0"/>
          <w:i w:val="0"/>
          <w:sz w:val="22"/>
        </w:rPr>
        <w:t>The generated quantities block produces combined predictions across fork length and flow. Combined survival predictions use the shared survival relationship. Combined travel-time predictions use the average of the separated CJS and CWT travel-time flow coefficients, so they should be interpreted as a summary of the two fitted data-source-specific relationships.</w:t>
      </w:r>
    </w:p>
    <w:p>
      <w:pPr>
        <w:spacing w:after="160"/>
        <w:ind w:left="360"/>
      </w:pPr>
      <w:r>
        <w:rPr>
          <w:rFonts w:ascii="Courier New" w:hAnsi="Courier New"/>
          <w:color w:val="1F2937"/>
          <w:sz w:val="18"/>
        </w:rPr>
        <w:t>(0.5 * TT_bCov_cjs + 0.5 * TT_bCov_cwt) * pred_cov_combined[k]</w:t>
      </w:r>
    </w:p>
    <w:p>
      <w:pPr>
        <w:spacing w:before="0" w:after="120" w:line="264" w:lineRule="auto"/>
      </w:pPr>
      <w:r>
        <w:rPr>
          <w:rFonts w:ascii="Calibri" w:hAnsi="Calibri"/>
          <w:b w:val="0"/>
          <w:i w:val="0"/>
          <w:sz w:val="22"/>
        </w:rPr>
        <w:t>Because travel time is exponentiated, prediction plots should be checked carefully for skewed posterior draws. The posterior median is often more stable than the posterior mean for plotting travel-time predictions.</w:t>
      </w:r>
    </w:p>
    <w:p>
      <w:pPr>
        <w:spacing w:before="320" w:after="160" w:line="264" w:lineRule="auto"/>
      </w:pPr>
      <w:r>
        <w:rPr>
          <w:rFonts w:ascii="Calibri" w:hAnsi="Calibri"/>
          <w:b/>
          <w:i w:val="0"/>
          <w:color w:val="2E74B5"/>
          <w:sz w:val="32"/>
        </w:rPr>
        <w:t>Diagnostics</w:t>
      </w:r>
    </w:p>
    <w:p>
      <w:pPr>
        <w:spacing w:before="0" w:after="120" w:line="264" w:lineRule="auto"/>
      </w:pPr>
      <w:r>
        <w:rPr>
          <w:rFonts w:ascii="Calibri" w:hAnsi="Calibri"/>
          <w:b w:val="0"/>
          <w:i w:val="0"/>
          <w:sz w:val="22"/>
        </w:rPr>
        <w:t>The combined model should not be interpreted until convergence diagnostics are acceptable. Code 09 exports Rhat, effective sample size, sampler diagnostics, and trace plots.</w:t>
      </w:r>
    </w:p>
    <w:p>
      <w:pPr>
        <w:pStyle w:val="ListBullet"/>
        <w:spacing w:before="0" w:after="80" w:line="280" w:lineRule="auto"/>
        <w:ind w:left="720" w:hanging="360"/>
      </w:pPr>
      <w:r>
        <w:rPr>
          <w:rFonts w:ascii="Calibri" w:hAnsi="Calibri"/>
          <w:b w:val="0"/>
          <w:i w:val="0"/>
          <w:sz w:val="22"/>
        </w:rPr>
        <w:t>Check Rhat values close to 1.00 and adequate effective sample sizes.</w:t>
      </w:r>
    </w:p>
    <w:p>
      <w:pPr>
        <w:pStyle w:val="ListBullet"/>
        <w:spacing w:before="0" w:after="80" w:line="280" w:lineRule="auto"/>
        <w:ind w:left="720" w:hanging="360"/>
      </w:pPr>
      <w:r>
        <w:rPr>
          <w:rFonts w:ascii="Calibri" w:hAnsi="Calibri"/>
          <w:b w:val="0"/>
          <w:i w:val="0"/>
          <w:sz w:val="22"/>
        </w:rPr>
        <w:t>Check for divergent transitions, treedepth hits, and low BFMI.</w:t>
      </w:r>
    </w:p>
    <w:p>
      <w:pPr>
        <w:pStyle w:val="ListBullet"/>
        <w:spacing w:before="0" w:after="80" w:line="280" w:lineRule="auto"/>
        <w:ind w:left="720" w:hanging="360"/>
      </w:pPr>
      <w:r>
        <w:rPr>
          <w:rFonts w:ascii="Calibri" w:hAnsi="Calibri"/>
          <w:b w:val="0"/>
          <w:i w:val="0"/>
          <w:sz w:val="22"/>
        </w:rPr>
        <w:t>Pay special attention to TT_bCov_cjs, TT_bCov_cwt, T_bCJS, T_bCWT, TTRE_sd, and sd_cwtTTre.</w:t>
      </w:r>
    </w:p>
    <w:p>
      <w:pPr>
        <w:spacing w:before="320" w:after="160" w:line="264" w:lineRule="auto"/>
      </w:pPr>
      <w:r>
        <w:rPr>
          <w:rFonts w:ascii="Calibri" w:hAnsi="Calibri"/>
          <w:b/>
          <w:i w:val="0"/>
          <w:color w:val="2E74B5"/>
          <w:sz w:val="32"/>
        </w:rPr>
        <w:t>Interpretation</w:t>
      </w:r>
    </w:p>
    <w:p>
      <w:pPr>
        <w:spacing w:before="0" w:after="120" w:line="264" w:lineRule="auto"/>
      </w:pPr>
      <w:r>
        <w:rPr>
          <w:rFonts w:ascii="Calibri" w:hAnsi="Calibri"/>
          <w:b w:val="0"/>
          <w:i w:val="0"/>
          <w:sz w:val="22"/>
        </w:rPr>
        <w:t>The model should be described as a combined CJS-CWT mainstem model with partially shared survival and fork-length effects, but separated CJS and CWT travel-time flow effects. This structure keeps the benefit of borrowing information across data sources while reducing the risk of forcing an unrealistic shared travel-time response to flow.</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right"/>
    </w:pPr>
    <w:r>
      <w:rPr>
        <w:rFonts w:ascii="Calibri" w:hAnsi="Calibri"/>
        <w:b w:val="0"/>
        <w:i w:val="0"/>
        <w:color w:val="555555"/>
        <w:sz w:val="18"/>
      </w:rPr>
      <w:t>Shared CJS-CWT model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