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国家，链接到该办公室），无标记的律所不显示该行；计数区块改为官网的两行四格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计数区块的竖线与下划线改为两行一致（此前只有第一行有），四格排布与官网一致。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Offices，确认计数区块第一格为 Head office（Beijing, China）并可进入该办公室档案页；再抽查一家没有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