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rPr>
        <w:t>Certified Ellipsoidal Bound-Guided Structured SwiGLU and MoE Expert-Channel Pruning</w:t>
        <w:br/>
        <w:t>with Residual Reconstruction for Efficient LLM Inference</w:t>
      </w:r>
    </w:p>
    <w:p>
      <w:pPr>
        <w:jc w:val="center"/>
      </w:pPr>
      <w:r>
        <w:rPr>
          <w:rFonts w:ascii="Times New Roman" w:hAnsi="Times New Roman"/>
        </w:rPr>
        <w:t>Working Conference-Style Research Draft — Version 3 Extended Internal Version</w:t>
      </w:r>
    </w:p>
    <w:p>
      <w:pPr>
        <w:jc w:val="center"/>
      </w:pPr>
      <w:r>
        <w:rPr>
          <w:b/>
        </w:rPr>
        <w:t>Ashkan Soroush et al.</w:t>
      </w:r>
    </w:p>
    <w:p>
      <w:pPr>
        <w:jc w:val="center"/>
      </w:pPr>
      <w:r>
        <w:rPr>
          <w:rFonts w:ascii="Times New Roman" w:hAnsi="Times New Roman"/>
        </w:rPr>
        <w:t>August 2026</w:t>
      </w:r>
    </w:p>
    <w:p>
      <w:pPr>
        <w:pStyle w:val="Heading1"/>
      </w:pPr>
      <w:r>
        <w:t>Abstract</w:t>
      </w:r>
    </w:p>
    <w:p>
      <w:r>
        <w:rPr>
          <w:rFonts w:ascii="Times New Roman" w:hAnsi="Times New Roman"/>
        </w:rPr>
        <w:t>Large language model inference is strongly affected by transformer feed-forward blocks and, in mixture-of-experts (MoE) models, by the expert MLPs activated for each token. This Version 3 draft preserves the complete dense and MoE pruning study from earlier versions and expands its mathematical and empirical core. The original method physically removes coupled SwiGLU gate/up/down channels using a static RMSNorm-inspired spherical score and optionally repairs the remaining down projection through residual reconstruction. The new expansion derives an exact ellipsoidal upper bound induced by the coordinatewise RMSNorm scale vector, separates cross-layer budget allocation from within-layer channel ranking, and evaluates these choices independently. On Qwen3-30B-A3B, controlled target-4% experiments show that ellipsoid ranking improves both RMSNorm-bound and down-norm allocation plans on WikiText-2 and C4. At an actual 6.207% expert-width reduction under a fixed RMSNorm allocation, ellipsoid ranking yields relative perplexity increases of 0.610% on WikiText-2 and 1.672% on C4, compared with 2.979%/1.901% for the original bound ranking and 1.801%/2.510% for activation ranking. Paired bootstrap confidence intervals favor ellipsoid ranking on both datasets. A sampled certificate audit finds zero numerical violations and shows that the ellipsoid bound is approximately four to six times tighter than the spherical bound by observed-contribution ratios, although both remain conservative. Earlier dense Qwen2.5 and MoE residual-reconstruction results are retained in full. The evidence supports a calibration-free, certificate-derived within-layer selector, while submission-quality claims still require downstream tasks, matched external baselines, maximum-across-expert aggregation, and measured end-to-end serving gains.</w:t>
      </w:r>
    </w:p>
    <w:p>
      <w:r>
        <w:rPr>
          <w:rFonts w:ascii="Times New Roman" w:hAnsi="Times New Roman"/>
        </w:rPr>
        <w:t>Keywords: LLM compression; structured pruning; certified pruning; RMSNorm ellipsoid; SwiGLU; mixture of experts; expert-channel pruning; residual reconstruction; calibration-free ranking; Qwen; inference efficiency.</w:t>
      </w:r>
    </w:p>
    <w:p>
      <w:pPr>
        <w:pStyle w:val="Caption"/>
      </w:pPr>
      <w:r>
        <w:rPr>
          <w:b/>
        </w:rPr>
        <w:t>Table 1. Project status after the new MoE full benchmark.</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3360"/>
            <w:vAlign w:val="center"/>
            <w:shd w:fill="4F81BD"/>
            <w:tcMar>
              <w:top w:w="80" w:type="dxa"/>
              <w:start w:w="120" w:type="dxa"/>
              <w:bottom w:w="80" w:type="dxa"/>
              <w:end w:w="120" w:type="dxa"/>
            </w:tcMar>
          </w:tcPr>
          <w:p>
            <w:pPr>
              <w:spacing w:before="0" w:after="0" w:line="240" w:lineRule="auto"/>
              <w:jc w:val="center"/>
            </w:pPr>
            <w:r>
              <w:rPr>
                <w:rFonts w:ascii="Times New Roman" w:hAnsi="Times New Roman"/>
                <w:b/>
                <w:color w:val="FFFFFF"/>
                <w:sz w:val="17"/>
              </w:rPr>
            </w:r>
            <w:r>
              <w:rPr>
                <w:rFonts w:ascii="Times New Roman" w:hAnsi="Times New Roman"/>
                <w:b/>
                <w:color w:val="FFFFFF"/>
                <w:sz w:val="17"/>
              </w:rPr>
              <w:t>Milestone</w:t>
            </w:r>
          </w:p>
        </w:tc>
        <w:tc>
          <w:tcPr>
            <w:tcW w:type="dxa" w:w="3360"/>
            <w:vAlign w:val="center"/>
            <w:shd w:fill="4F81BD"/>
            <w:tcMar>
              <w:top w:w="80" w:type="dxa"/>
              <w:start w:w="120" w:type="dxa"/>
              <w:bottom w:w="80" w:type="dxa"/>
              <w:end w:w="120" w:type="dxa"/>
            </w:tcMar>
          </w:tcPr>
          <w:p>
            <w:pPr>
              <w:spacing w:before="0" w:after="0" w:line="240" w:lineRule="auto"/>
              <w:jc w:val="center"/>
            </w:pPr>
            <w:r>
              <w:rPr>
                <w:rFonts w:ascii="Times New Roman" w:hAnsi="Times New Roman"/>
                <w:b/>
                <w:color w:val="FFFFFF"/>
                <w:sz w:val="17"/>
              </w:rPr>
            </w:r>
            <w:r>
              <w:rPr>
                <w:rFonts w:ascii="Times New Roman" w:hAnsi="Times New Roman"/>
                <w:b/>
                <w:color w:val="FFFFFF"/>
                <w:sz w:val="17"/>
              </w:rPr>
              <w:t>Status</w:t>
            </w:r>
          </w:p>
        </w:tc>
        <w:tc>
          <w:tcPr>
            <w:tcW w:type="dxa" w:w="3360"/>
            <w:vAlign w:val="center"/>
            <w:shd w:fill="4F81BD"/>
            <w:tcMar>
              <w:top w:w="80" w:type="dxa"/>
              <w:start w:w="120" w:type="dxa"/>
              <w:bottom w:w="80" w:type="dxa"/>
              <w:end w:w="120" w:type="dxa"/>
            </w:tcMar>
          </w:tcPr>
          <w:p>
            <w:pPr>
              <w:spacing w:before="0" w:after="0" w:line="240" w:lineRule="auto"/>
              <w:jc w:val="center"/>
            </w:pPr>
            <w:r>
              <w:rPr>
                <w:rFonts w:ascii="Times New Roman" w:hAnsi="Times New Roman"/>
                <w:b/>
                <w:color w:val="FFFFFF"/>
                <w:sz w:val="17"/>
              </w:rPr>
            </w:r>
            <w:r>
              <w:rPr>
                <w:rFonts w:ascii="Times New Roman" w:hAnsi="Times New Roman"/>
                <w:b/>
                <w:color w:val="FFFFFF"/>
                <w:sz w:val="17"/>
              </w:rPr>
              <w:t>Main evidence</w:t>
            </w:r>
          </w:p>
        </w:tc>
      </w:tr>
      <w:tr>
        <w:tc>
          <w:tcPr>
            <w:tcW w:type="dxa" w:w="3360"/>
            <w:vAlign w:val="center"/>
            <w:tcMar>
              <w:top w:w="80" w:type="dxa"/>
              <w:start w:w="120" w:type="dxa"/>
              <w:bottom w:w="80" w:type="dxa"/>
              <w:end w:w="120" w:type="dxa"/>
            </w:tcMar>
          </w:tcPr>
          <w:p>
            <w:pPr>
              <w:spacing w:before="0" w:after="0" w:line="240" w:lineRule="auto"/>
            </w:pPr>
            <w:r>
              <w:rPr>
                <w:rFonts w:ascii="Times New Roman" w:hAnsi="Times New Roman"/>
                <w:sz w:val="17"/>
              </w:rPr>
            </w:r>
            <w:r>
              <w:rPr>
                <w:rFonts w:ascii="Times New Roman" w:hAnsi="Times New Roman"/>
                <w:b w:val="0"/>
                <w:sz w:val="17"/>
              </w:rPr>
              <w:t>Dense SwiGLU pruning</w:t>
            </w:r>
          </w:p>
        </w:tc>
        <w:tc>
          <w:tcPr>
            <w:tcW w:type="dxa" w:w="3360"/>
            <w:vAlign w:val="center"/>
            <w:tcMar>
              <w:top w:w="80" w:type="dxa"/>
              <w:start w:w="120" w:type="dxa"/>
              <w:bottom w:w="80" w:type="dxa"/>
              <w:end w:w="120" w:type="dxa"/>
            </w:tcMar>
          </w:tcPr>
          <w:p>
            <w:pPr>
              <w:spacing w:before="0" w:after="0" w:line="240" w:lineRule="auto"/>
            </w:pPr>
            <w:r>
              <w:rPr>
                <w:rFonts w:ascii="Times New Roman" w:hAnsi="Times New Roman"/>
                <w:sz w:val="17"/>
              </w:rPr>
            </w:r>
            <w:r>
              <w:rPr>
                <w:rFonts w:ascii="Times New Roman" w:hAnsi="Times New Roman"/>
                <w:b w:val="0"/>
                <w:sz w:val="17"/>
              </w:rPr>
              <w:t>Implemented and evaluated</w:t>
            </w:r>
          </w:p>
        </w:tc>
        <w:tc>
          <w:tcPr>
            <w:tcW w:type="dxa" w:w="3360"/>
            <w:vAlign w:val="center"/>
            <w:tcMar>
              <w:top w:w="80" w:type="dxa"/>
              <w:start w:w="120" w:type="dxa"/>
              <w:bottom w:w="80" w:type="dxa"/>
              <w:end w:w="120" w:type="dxa"/>
            </w:tcMar>
          </w:tcPr>
          <w:p>
            <w:pPr>
              <w:spacing w:before="0" w:after="0" w:line="240" w:lineRule="auto"/>
            </w:pPr>
            <w:r>
              <w:rPr>
                <w:rFonts w:ascii="Times New Roman" w:hAnsi="Times New Roman"/>
                <w:sz w:val="17"/>
              </w:rPr>
            </w:r>
            <w:r>
              <w:rPr>
                <w:rFonts w:ascii="Times New Roman" w:hAnsi="Times New Roman"/>
                <w:b w:val="0"/>
                <w:sz w:val="17"/>
              </w:rPr>
              <w:t>Qwen2.5-3B/7B target pruning at 2/4/6/8% on WikiText2; residual helps at 6-8%.</w:t>
            </w:r>
          </w:p>
        </w:tc>
      </w:tr>
      <w:tr>
        <w:tc>
          <w:tcPr>
            <w:tcW w:type="dxa" w:w="3360"/>
            <w:vAlign w:val="center"/>
            <w:tcMar>
              <w:top w:w="80" w:type="dxa"/>
              <w:start w:w="120" w:type="dxa"/>
              <w:bottom w:w="80" w:type="dxa"/>
              <w:end w:w="120" w:type="dxa"/>
            </w:tcMar>
          </w:tcPr>
          <w:p>
            <w:pPr>
              <w:spacing w:before="0" w:after="0" w:line="240" w:lineRule="auto"/>
            </w:pPr>
            <w:r>
              <w:rPr>
                <w:rFonts w:ascii="Times New Roman" w:hAnsi="Times New Roman"/>
                <w:sz w:val="17"/>
              </w:rPr>
            </w:r>
            <w:r>
              <w:rPr>
                <w:rFonts w:ascii="Times New Roman" w:hAnsi="Times New Roman"/>
                <w:b w:val="0"/>
                <w:sz w:val="17"/>
              </w:rPr>
              <w:t>MoE architecture discovery</w:t>
            </w:r>
          </w:p>
        </w:tc>
        <w:tc>
          <w:tcPr>
            <w:tcW w:type="dxa" w:w="3360"/>
            <w:vAlign w:val="center"/>
            <w:tcMar>
              <w:top w:w="80" w:type="dxa"/>
              <w:start w:w="120" w:type="dxa"/>
              <w:bottom w:w="80" w:type="dxa"/>
              <w:end w:w="120" w:type="dxa"/>
            </w:tcMar>
          </w:tcPr>
          <w:p>
            <w:pPr>
              <w:spacing w:before="0" w:after="0" w:line="240" w:lineRule="auto"/>
            </w:pPr>
            <w:r>
              <w:rPr>
                <w:rFonts w:ascii="Times New Roman" w:hAnsi="Times New Roman"/>
                <w:sz w:val="17"/>
              </w:rPr>
            </w:r>
            <w:r>
              <w:rPr>
                <w:rFonts w:ascii="Times New Roman" w:hAnsi="Times New Roman"/>
                <w:b w:val="0"/>
                <w:sz w:val="17"/>
              </w:rPr>
              <w:t>Implemented and debugged</w:t>
            </w:r>
          </w:p>
        </w:tc>
        <w:tc>
          <w:tcPr>
            <w:tcW w:type="dxa" w:w="3360"/>
            <w:vAlign w:val="center"/>
            <w:tcMar>
              <w:top w:w="80" w:type="dxa"/>
              <w:start w:w="120" w:type="dxa"/>
              <w:bottom w:w="80" w:type="dxa"/>
              <w:end w:w="120" w:type="dxa"/>
            </w:tcMar>
          </w:tcPr>
          <w:p>
            <w:pPr>
              <w:spacing w:before="0" w:after="0" w:line="240" w:lineRule="auto"/>
            </w:pPr>
            <w:r>
              <w:rPr>
                <w:rFonts w:ascii="Times New Roman" w:hAnsi="Times New Roman"/>
                <w:sz w:val="17"/>
              </w:rPr>
            </w:r>
            <w:r>
              <w:rPr>
                <w:rFonts w:ascii="Times New Roman" w:hAnsi="Times New Roman"/>
                <w:b w:val="0"/>
                <w:sz w:val="17"/>
              </w:rPr>
              <w:t>Qwen3-30B-A3B detected as UNPACKED ModuleList experts with gate/up/down shapes [768,2048], [768,2048], [2048,768].</w:t>
            </w:r>
          </w:p>
        </w:tc>
      </w:tr>
      <w:tr>
        <w:tc>
          <w:tcPr>
            <w:tcW w:type="dxa" w:w="3360"/>
            <w:vAlign w:val="center"/>
            <w:tcMar>
              <w:top w:w="80" w:type="dxa"/>
              <w:start w:w="120" w:type="dxa"/>
              <w:bottom w:w="80" w:type="dxa"/>
              <w:end w:w="120" w:type="dxa"/>
            </w:tcMar>
          </w:tcPr>
          <w:p>
            <w:pPr>
              <w:spacing w:before="0" w:after="0" w:line="240" w:lineRule="auto"/>
            </w:pPr>
            <w:r>
              <w:rPr>
                <w:rFonts w:ascii="Times New Roman" w:hAnsi="Times New Roman"/>
                <w:sz w:val="17"/>
              </w:rPr>
            </w:r>
            <w:r>
              <w:rPr>
                <w:rFonts w:ascii="Times New Roman" w:hAnsi="Times New Roman"/>
                <w:b w:val="0"/>
                <w:sz w:val="17"/>
              </w:rPr>
              <w:t>MoE physical pruning</w:t>
            </w:r>
          </w:p>
        </w:tc>
        <w:tc>
          <w:tcPr>
            <w:tcW w:type="dxa" w:w="3360"/>
            <w:vAlign w:val="center"/>
            <w:tcMar>
              <w:top w:w="80" w:type="dxa"/>
              <w:start w:w="120" w:type="dxa"/>
              <w:bottom w:w="80" w:type="dxa"/>
              <w:end w:w="120" w:type="dxa"/>
            </w:tcMar>
          </w:tcPr>
          <w:p>
            <w:pPr>
              <w:spacing w:before="0" w:after="0" w:line="240" w:lineRule="auto"/>
            </w:pPr>
            <w:r>
              <w:rPr>
                <w:rFonts w:ascii="Times New Roman" w:hAnsi="Times New Roman"/>
                <w:sz w:val="17"/>
              </w:rPr>
            </w:r>
            <w:r>
              <w:rPr>
                <w:rFonts w:ascii="Times New Roman" w:hAnsi="Times New Roman"/>
                <w:b w:val="0"/>
                <w:sz w:val="17"/>
              </w:rPr>
              <w:t>Implemented and verified</w:t>
            </w:r>
          </w:p>
        </w:tc>
        <w:tc>
          <w:tcPr>
            <w:tcW w:type="dxa" w:w="3360"/>
            <w:vAlign w:val="center"/>
            <w:tcMar>
              <w:top w:w="80" w:type="dxa"/>
              <w:start w:w="120" w:type="dxa"/>
              <w:bottom w:w="80" w:type="dxa"/>
              <w:end w:w="120" w:type="dxa"/>
            </w:tcMar>
          </w:tcPr>
          <w:p>
            <w:pPr>
              <w:spacing w:before="0" w:after="0" w:line="240" w:lineRule="auto"/>
            </w:pPr>
            <w:r>
              <w:rPr>
                <w:rFonts w:ascii="Times New Roman" w:hAnsi="Times New Roman"/>
                <w:sz w:val="17"/>
              </w:rPr>
            </w:r>
            <w:r>
              <w:rPr>
                <w:rFonts w:ascii="Times New Roman" w:hAnsi="Times New Roman"/>
                <w:b w:val="0"/>
                <w:sz w:val="17"/>
              </w:rPr>
              <w:t>Same-channel all-expert pruning changes expert shapes and preserves aligned dimensions.</w:t>
            </w:r>
          </w:p>
        </w:tc>
      </w:tr>
      <w:tr>
        <w:tc>
          <w:tcPr>
            <w:tcW w:type="dxa" w:w="3360"/>
            <w:vAlign w:val="center"/>
            <w:tcMar>
              <w:top w:w="80" w:type="dxa"/>
              <w:start w:w="120" w:type="dxa"/>
              <w:bottom w:w="80" w:type="dxa"/>
              <w:end w:w="120" w:type="dxa"/>
            </w:tcMar>
          </w:tcPr>
          <w:p>
            <w:pPr>
              <w:spacing w:before="0" w:after="0" w:line="240" w:lineRule="auto"/>
            </w:pPr>
            <w:r>
              <w:rPr>
                <w:rFonts w:ascii="Times New Roman" w:hAnsi="Times New Roman"/>
                <w:sz w:val="17"/>
              </w:rPr>
            </w:r>
            <w:r>
              <w:rPr>
                <w:rFonts w:ascii="Times New Roman" w:hAnsi="Times New Roman"/>
                <w:b w:val="0"/>
                <w:sz w:val="17"/>
              </w:rPr>
              <w:t>MoE residual variants</w:t>
            </w:r>
          </w:p>
        </w:tc>
        <w:tc>
          <w:tcPr>
            <w:tcW w:type="dxa" w:w="3360"/>
            <w:vAlign w:val="center"/>
            <w:tcMar>
              <w:top w:w="80" w:type="dxa"/>
              <w:start w:w="120" w:type="dxa"/>
              <w:bottom w:w="80" w:type="dxa"/>
              <w:end w:w="120" w:type="dxa"/>
            </w:tcMar>
          </w:tcPr>
          <w:p>
            <w:pPr>
              <w:spacing w:before="0" w:after="0" w:line="240" w:lineRule="auto"/>
            </w:pPr>
            <w:r>
              <w:rPr>
                <w:rFonts w:ascii="Times New Roman" w:hAnsi="Times New Roman"/>
                <w:sz w:val="17"/>
              </w:rPr>
            </w:r>
            <w:r>
              <w:rPr>
                <w:rFonts w:ascii="Times New Roman" w:hAnsi="Times New Roman"/>
                <w:b w:val="0"/>
                <w:sz w:val="17"/>
              </w:rPr>
              <w:t>Implemented and benchmarked</w:t>
            </w:r>
          </w:p>
        </w:tc>
        <w:tc>
          <w:tcPr>
            <w:tcW w:type="dxa" w:w="3360"/>
            <w:vAlign w:val="center"/>
            <w:tcMar>
              <w:top w:w="80" w:type="dxa"/>
              <w:start w:w="120" w:type="dxa"/>
              <w:bottom w:w="80" w:type="dxa"/>
              <w:end w:w="120" w:type="dxa"/>
            </w:tcMar>
          </w:tcPr>
          <w:p>
            <w:pPr>
              <w:spacing w:before="0" w:after="0" w:line="240" w:lineRule="auto"/>
            </w:pPr>
            <w:r>
              <w:rPr>
                <w:rFonts w:ascii="Times New Roman" w:hAnsi="Times New Roman"/>
                <w:sz w:val="17"/>
              </w:rPr>
            </w:r>
            <w:r>
              <w:rPr>
                <w:rFonts w:ascii="Times New Roman" w:hAnsi="Times New Roman"/>
                <w:b w:val="0"/>
                <w:sz w:val="17"/>
              </w:rPr>
              <w:t>Full, ridge, ridge-only-if-improves, nearest-channel merge, and nearest-merge-only-if-improves were tested in quick sweep; selected full benchmark used pure delete, nearest merge, and ridge.</w:t>
            </w:r>
          </w:p>
        </w:tc>
      </w:tr>
      <w:tr>
        <w:tc>
          <w:tcPr>
            <w:tcW w:type="dxa" w:w="3360"/>
            <w:vAlign w:val="center"/>
            <w:tcMar>
              <w:top w:w="80" w:type="dxa"/>
              <w:start w:w="120" w:type="dxa"/>
              <w:bottom w:w="80" w:type="dxa"/>
              <w:end w:w="120" w:type="dxa"/>
            </w:tcMar>
          </w:tcPr>
          <w:p>
            <w:pPr>
              <w:spacing w:before="0" w:after="0" w:line="240" w:lineRule="auto"/>
            </w:pPr>
            <w:r>
              <w:rPr>
                <w:rFonts w:ascii="Times New Roman" w:hAnsi="Times New Roman"/>
                <w:sz w:val="17"/>
              </w:rPr>
            </w:r>
            <w:r>
              <w:rPr>
                <w:rFonts w:ascii="Times New Roman" w:hAnsi="Times New Roman"/>
                <w:b w:val="0"/>
                <w:sz w:val="17"/>
              </w:rPr>
              <w:t>Selected full MoE benchmark</w:t>
            </w:r>
          </w:p>
        </w:tc>
        <w:tc>
          <w:tcPr>
            <w:tcW w:type="dxa" w:w="3360"/>
            <w:vAlign w:val="center"/>
            <w:tcMar>
              <w:top w:w="80" w:type="dxa"/>
              <w:start w:w="120" w:type="dxa"/>
              <w:bottom w:w="80" w:type="dxa"/>
              <w:end w:w="120" w:type="dxa"/>
            </w:tcMar>
          </w:tcPr>
          <w:p>
            <w:pPr>
              <w:spacing w:before="0" w:after="0" w:line="240" w:lineRule="auto"/>
            </w:pPr>
            <w:r>
              <w:rPr>
                <w:rFonts w:ascii="Times New Roman" w:hAnsi="Times New Roman"/>
                <w:sz w:val="17"/>
              </w:rPr>
            </w:r>
            <w:r>
              <w:rPr>
                <w:rFonts w:ascii="Times New Roman" w:hAnsi="Times New Roman"/>
                <w:b w:val="0"/>
                <w:sz w:val="17"/>
              </w:rPr>
              <w:t>Completed</w:t>
            </w:r>
          </w:p>
        </w:tc>
        <w:tc>
          <w:tcPr>
            <w:tcW w:type="dxa" w:w="3360"/>
            <w:vAlign w:val="center"/>
            <w:tcMar>
              <w:top w:w="80" w:type="dxa"/>
              <w:start w:w="120" w:type="dxa"/>
              <w:bottom w:w="80" w:type="dxa"/>
              <w:end w:w="120" w:type="dxa"/>
            </w:tcMar>
          </w:tcPr>
          <w:p>
            <w:pPr>
              <w:spacing w:before="0" w:after="0" w:line="240" w:lineRule="auto"/>
            </w:pPr>
            <w:r>
              <w:rPr>
                <w:rFonts w:ascii="Times New Roman" w:hAnsi="Times New Roman"/>
                <w:sz w:val="17"/>
              </w:rPr>
            </w:r>
            <w:r>
              <w:rPr>
                <w:rFonts w:ascii="Times New Roman" w:hAnsi="Times New Roman"/>
                <w:b w:val="0"/>
                <w:sz w:val="17"/>
              </w:rPr>
              <w:t>24/24 selected runs succeeded across WikiText2/C4, 2/4/6/8%, and 3 methods.</w:t>
            </w:r>
          </w:p>
        </w:tc>
      </w:tr>
      <w:tr>
        <w:tc>
          <w:tcPr>
            <w:tcW w:type="dxa" w:w="3360"/>
            <w:vAlign w:val="center"/>
            <w:tcMar>
              <w:top w:w="80" w:type="dxa"/>
              <w:start w:w="120" w:type="dxa"/>
              <w:bottom w:w="80" w:type="dxa"/>
              <w:end w:w="120" w:type="dxa"/>
            </w:tcMar>
          </w:tcPr>
          <w:p>
            <w:pPr>
              <w:spacing w:before="0" w:after="0" w:line="240" w:lineRule="auto"/>
            </w:pPr>
            <w:r>
              <w:rPr>
                <w:rFonts w:ascii="Times New Roman" w:hAnsi="Times New Roman"/>
                <w:sz w:val="17"/>
              </w:rPr>
            </w:r>
            <w:r>
              <w:rPr>
                <w:rFonts w:ascii="Times New Roman" w:hAnsi="Times New Roman"/>
                <w:b w:val="0"/>
                <w:sz w:val="17"/>
              </w:rPr>
              <w:t>Submission readiness</w:t>
            </w:r>
          </w:p>
        </w:tc>
        <w:tc>
          <w:tcPr>
            <w:tcW w:type="dxa" w:w="3360"/>
            <w:vAlign w:val="center"/>
            <w:tcMar>
              <w:top w:w="80" w:type="dxa"/>
              <w:start w:w="120" w:type="dxa"/>
              <w:bottom w:w="80" w:type="dxa"/>
              <w:end w:w="120" w:type="dxa"/>
            </w:tcMar>
          </w:tcPr>
          <w:p>
            <w:pPr>
              <w:spacing w:before="0" w:after="0" w:line="240" w:lineRule="auto"/>
            </w:pPr>
            <w:r>
              <w:rPr>
                <w:rFonts w:ascii="Times New Roman" w:hAnsi="Times New Roman"/>
                <w:sz w:val="17"/>
              </w:rPr>
            </w:r>
            <w:r>
              <w:rPr>
                <w:rFonts w:ascii="Times New Roman" w:hAnsi="Times New Roman"/>
                <w:b w:val="0"/>
                <w:sz w:val="17"/>
              </w:rPr>
              <w:t>Not yet final</w:t>
            </w:r>
          </w:p>
        </w:tc>
        <w:tc>
          <w:tcPr>
            <w:tcW w:type="dxa" w:w="3360"/>
            <w:vAlign w:val="center"/>
            <w:tcMar>
              <w:top w:w="80" w:type="dxa"/>
              <w:start w:w="120" w:type="dxa"/>
              <w:bottom w:w="80" w:type="dxa"/>
              <w:end w:w="120" w:type="dxa"/>
            </w:tcMar>
          </w:tcPr>
          <w:p>
            <w:pPr>
              <w:spacing w:before="0" w:after="0" w:line="240" w:lineRule="auto"/>
            </w:pPr>
            <w:r>
              <w:rPr>
                <w:rFonts w:ascii="Times New Roman" w:hAnsi="Times New Roman"/>
                <w:sz w:val="17"/>
              </w:rPr>
            </w:r>
            <w:r>
              <w:rPr>
                <w:rFonts w:ascii="Times New Roman" w:hAnsi="Times New Roman"/>
                <w:b w:val="0"/>
                <w:sz w:val="17"/>
              </w:rPr>
              <w:t>Need measured latency/throughput, downstream tasks, and stronger external baselines.</w:t>
            </w:r>
          </w:p>
        </w:tc>
      </w:tr>
      <w:tr>
        <w:tc>
          <w:tcPr>
            <w:tcW w:type="dxa" w:w="3360"/>
            <w:vAlign w:val="center"/>
            <w:tcMar>
              <w:top w:w="80" w:type="dxa"/>
              <w:start w:w="120" w:type="dxa"/>
              <w:bottom w:w="80" w:type="dxa"/>
              <w:end w:w="120" w:type="dxa"/>
            </w:tcMar>
          </w:tcPr>
          <w:p>
            <w:pPr>
              <w:spacing w:before="0" w:after="0" w:line="240" w:lineRule="auto"/>
            </w:pPr>
            <w:r>
              <w:rPr>
                <w:rFonts w:ascii="Times New Roman" w:hAnsi="Times New Roman"/>
                <w:sz w:val="17"/>
              </w:rPr>
              <w:t>Exact RMSNorm ellipsoid expansion</w:t>
            </w:r>
          </w:p>
        </w:tc>
        <w:tc>
          <w:tcPr>
            <w:tcW w:type="dxa" w:w="3360"/>
            <w:vAlign w:val="center"/>
            <w:tcMar>
              <w:top w:w="80" w:type="dxa"/>
              <w:start w:w="120" w:type="dxa"/>
              <w:bottom w:w="80" w:type="dxa"/>
              <w:end w:w="120" w:type="dxa"/>
            </w:tcMar>
          </w:tcPr>
          <w:p>
            <w:pPr>
              <w:spacing w:before="0" w:after="0" w:line="240" w:lineRule="auto"/>
            </w:pPr>
            <w:r>
              <w:rPr>
                <w:rFonts w:ascii="Times New Roman" w:hAnsi="Times New Roman"/>
                <w:sz w:val="17"/>
              </w:rPr>
              <w:t>Derived and implemented</w:t>
            </w:r>
          </w:p>
        </w:tc>
        <w:tc>
          <w:tcPr>
            <w:tcW w:type="dxa" w:w="3360"/>
            <w:vAlign w:val="center"/>
            <w:tcMar>
              <w:top w:w="80" w:type="dxa"/>
              <w:start w:w="120" w:type="dxa"/>
              <w:bottom w:w="80" w:type="dxa"/>
              <w:end w:w="120" w:type="dxa"/>
            </w:tcMar>
          </w:tcPr>
          <w:p>
            <w:pPr>
              <w:spacing w:before="0" w:after="0" w:line="240" w:lineRule="auto"/>
            </w:pPr>
            <w:r>
              <w:rPr>
                <w:rFonts w:ascii="Times New Roman" w:hAnsi="Times New Roman"/>
                <w:sz w:val="17"/>
              </w:rPr>
              <w:t>Expert-channel bound uses the full coordinatewise RMSNorm scale rather than a gamma-infinity sphere.</w:t>
            </w:r>
          </w:p>
        </w:tc>
      </w:tr>
      <w:tr>
        <w:tc>
          <w:tcPr>
            <w:tcW w:type="dxa" w:w="3360"/>
            <w:vAlign w:val="center"/>
            <w:tcMar>
              <w:top w:w="80" w:type="dxa"/>
              <w:start w:w="120" w:type="dxa"/>
              <w:bottom w:w="80" w:type="dxa"/>
              <w:end w:w="120" w:type="dxa"/>
            </w:tcMar>
          </w:tcPr>
          <w:p>
            <w:pPr>
              <w:spacing w:before="0" w:after="0" w:line="240" w:lineRule="auto"/>
            </w:pPr>
            <w:r>
              <w:rPr>
                <w:rFonts w:ascii="Times New Roman" w:hAnsi="Times New Roman"/>
                <w:sz w:val="17"/>
              </w:rPr>
              <w:t>Allocation/ranking separation</w:t>
            </w:r>
          </w:p>
        </w:tc>
        <w:tc>
          <w:tcPr>
            <w:tcW w:type="dxa" w:w="3360"/>
            <w:vAlign w:val="center"/>
            <w:tcMar>
              <w:top w:w="80" w:type="dxa"/>
              <w:start w:w="120" w:type="dxa"/>
              <w:bottom w:w="80" w:type="dxa"/>
              <w:end w:w="120" w:type="dxa"/>
            </w:tcMar>
          </w:tcPr>
          <w:p>
            <w:pPr>
              <w:spacing w:before="0" w:after="0" w:line="240" w:lineRule="auto"/>
            </w:pPr>
            <w:r>
              <w:rPr>
                <w:rFonts w:ascii="Times New Roman" w:hAnsi="Times New Roman"/>
                <w:sz w:val="17"/>
              </w:rPr>
              <w:t>Implemented and evaluated</w:t>
            </w:r>
          </w:p>
        </w:tc>
        <w:tc>
          <w:tcPr>
            <w:tcW w:type="dxa" w:w="3360"/>
            <w:vAlign w:val="center"/>
            <w:tcMar>
              <w:top w:w="80" w:type="dxa"/>
              <w:start w:w="120" w:type="dxa"/>
              <w:bottom w:w="80" w:type="dxa"/>
              <w:end w:w="120" w:type="dxa"/>
            </w:tcMar>
          </w:tcPr>
          <w:p>
            <w:pPr>
              <w:spacing w:before="0" w:after="0" w:line="240" w:lineRule="auto"/>
            </w:pPr>
            <w:r>
              <w:rPr>
                <w:rFonts w:ascii="Times New Roman" w:hAnsi="Times New Roman"/>
                <w:sz w:val="17"/>
              </w:rPr>
              <w:t>Fixed-plan experiments isolate cross-layer budget allocation from within-layer channel choice.</w:t>
            </w:r>
          </w:p>
        </w:tc>
      </w:tr>
      <w:tr>
        <w:tc>
          <w:tcPr>
            <w:tcW w:type="dxa" w:w="3360"/>
            <w:vAlign w:val="center"/>
            <w:tcMar>
              <w:top w:w="80" w:type="dxa"/>
              <w:start w:w="120" w:type="dxa"/>
              <w:bottom w:w="80" w:type="dxa"/>
              <w:end w:w="120" w:type="dxa"/>
            </w:tcMar>
          </w:tcPr>
          <w:p>
            <w:pPr>
              <w:spacing w:before="0" w:after="0" w:line="240" w:lineRule="auto"/>
            </w:pPr>
            <w:r>
              <w:rPr>
                <w:rFonts w:ascii="Times New Roman" w:hAnsi="Times New Roman"/>
                <w:sz w:val="17"/>
              </w:rPr>
              <w:t>Paired statistical evaluation</w:t>
            </w:r>
          </w:p>
        </w:tc>
        <w:tc>
          <w:tcPr>
            <w:tcW w:type="dxa" w:w="3360"/>
            <w:vAlign w:val="center"/>
            <w:tcMar>
              <w:top w:w="80" w:type="dxa"/>
              <w:start w:w="120" w:type="dxa"/>
              <w:bottom w:w="80" w:type="dxa"/>
              <w:end w:w="120" w:type="dxa"/>
            </w:tcMar>
          </w:tcPr>
          <w:p>
            <w:pPr>
              <w:spacing w:before="0" w:after="0" w:line="240" w:lineRule="auto"/>
            </w:pPr>
            <w:r>
              <w:rPr>
                <w:rFonts w:ascii="Times New Roman" w:hAnsi="Times New Roman"/>
                <w:sz w:val="17"/>
              </w:rPr>
              <w:t>Implemented at target 6%</w:t>
            </w:r>
          </w:p>
        </w:tc>
        <w:tc>
          <w:tcPr>
            <w:tcW w:type="dxa" w:w="3360"/>
            <w:vAlign w:val="center"/>
            <w:tcMar>
              <w:top w:w="80" w:type="dxa"/>
              <w:start w:w="120" w:type="dxa"/>
              <w:bottom w:w="80" w:type="dxa"/>
              <w:end w:w="120" w:type="dxa"/>
            </w:tcMar>
          </w:tcPr>
          <w:p>
            <w:pPr>
              <w:spacing w:before="0" w:after="0" w:line="240" w:lineRule="auto"/>
            </w:pPr>
            <w:r>
              <w:rPr>
                <w:rFonts w:ascii="Times New Roman" w:hAnsi="Times New Roman"/>
                <w:sz w:val="17"/>
              </w:rPr>
              <w:t>10,000-resample paired document bootstrap comparisons on WikiText-2 and C4.</w:t>
            </w:r>
          </w:p>
        </w:tc>
      </w:tr>
      <w:tr>
        <w:tc>
          <w:tcPr>
            <w:tcW w:type="dxa" w:w="3360"/>
            <w:vAlign w:val="center"/>
            <w:tcMar>
              <w:top w:w="80" w:type="dxa"/>
              <w:start w:w="120" w:type="dxa"/>
              <w:bottom w:w="80" w:type="dxa"/>
              <w:end w:w="120" w:type="dxa"/>
            </w:tcMar>
          </w:tcPr>
          <w:p>
            <w:pPr>
              <w:spacing w:before="0" w:after="0" w:line="240" w:lineRule="auto"/>
            </w:pPr>
            <w:r>
              <w:rPr>
                <w:rFonts w:ascii="Times New Roman" w:hAnsi="Times New Roman"/>
                <w:sz w:val="17"/>
              </w:rPr>
              <w:t>Certificate tightness audit</w:t>
            </w:r>
          </w:p>
        </w:tc>
        <w:tc>
          <w:tcPr>
            <w:tcW w:type="dxa" w:w="3360"/>
            <w:vAlign w:val="center"/>
            <w:tcMar>
              <w:top w:w="80" w:type="dxa"/>
              <w:start w:w="120" w:type="dxa"/>
              <w:bottom w:w="80" w:type="dxa"/>
              <w:end w:w="120" w:type="dxa"/>
            </w:tcMar>
          </w:tcPr>
          <w:p>
            <w:pPr>
              <w:spacing w:before="0" w:after="0" w:line="240" w:lineRule="auto"/>
            </w:pPr>
            <w:r>
              <w:rPr>
                <w:rFonts w:ascii="Times New Roman" w:hAnsi="Times New Roman"/>
                <w:sz w:val="17"/>
              </w:rPr>
              <w:t>Implemented</w:t>
            </w:r>
          </w:p>
        </w:tc>
        <w:tc>
          <w:tcPr>
            <w:tcW w:type="dxa" w:w="3360"/>
            <w:vAlign w:val="center"/>
            <w:tcMar>
              <w:top w:w="80" w:type="dxa"/>
              <w:start w:w="120" w:type="dxa"/>
              <w:bottom w:w="80" w:type="dxa"/>
              <w:end w:w="120" w:type="dxa"/>
            </w:tcMar>
          </w:tcPr>
          <w:p>
            <w:pPr>
              <w:spacing w:before="0" w:after="0" w:line="240" w:lineRule="auto"/>
            </w:pPr>
            <w:r>
              <w:rPr>
                <w:rFonts w:ascii="Times New Roman" w:hAnsi="Times New Roman"/>
                <w:sz w:val="17"/>
              </w:rPr>
              <w:t>3,283,968 sampled expert-channel evaluations; zero reported numerical violations.</w:t>
            </w:r>
          </w:p>
        </w:tc>
      </w:tr>
    </w:tbl>
    <w:p/>
    <w:p>
      <w:pPr>
        <w:pStyle w:val="Heading1"/>
      </w:pPr>
      <w:r>
        <w:t>1. Introduction</w:t>
      </w:r>
    </w:p>
    <w:p>
      <w:r>
        <w:t>Transformer feed-forward networks (FFNs) are a major source of parameters and dense matrix multiplication cost in decoder-only LLMs. Modern Qwen-family models use RMSNorm and SwiGLU-style MLPs, where an intermediate channel is naturally represented by a gate-projection row, an up-projection row, and a down-projection column. This coupled channel structure creates a natural unit for physical structured pruning: remove the entire channel triple rather than sparsifying individual weights.</w:t>
      </w:r>
    </w:p>
    <w:p>
      <w:r>
        <w:t>A physical channel-pruning method is attractive because the resulting weight matrices are smaller dense matrices. Unlike unstructured sparsity, which often needs specialized sparse kernels to realize speedup, dense shape reduction can reduce memory footprint and active FLOPs in standard GEMM-like execution. The challenge is identifying channels that can be removed without fine-tuning and repairing the output perturbation induced by deleting coupled SwiGLU channels.</w:t>
      </w:r>
    </w:p>
    <w:p>
      <w:r>
        <w:t>This draft develops and evaluates a bound-guided one-shot pruning procedure. The dense version scores channels by a static RMSNorm-inspired contribution bound, selects a target percentage globally, removes gate/up/down channel triples, and optionally reconstructs the lost residual contribution through a down-projection update. The MoE version extends this idea to expert MLPs in Qwen3-30B-A3B, where the routing pattern makes residual reconstruction more difficult because each expert receives only a subset of calibration tokens.</w:t>
      </w:r>
    </w:p>
    <w:p>
      <w:r>
        <w:t>The key new achievement since the previous draft is that the MoE extension is no longer a plan: it has been implemented, debugged, and evaluated in a selected full benchmark. We now have evidence that same-channel expert pruning on Qwen3-30B-A3B can physically remove 4.3-6.2% of expert parameters with modest PPL degradation, and that a simple nearest-channel residual merge is more robust than full/ridge residual at low-to-moderate MoE pruning.</w:t>
      </w:r>
    </w:p>
    <w:p>
      <w:r>
        <w:rPr>
          <w:b/>
        </w:rPr>
        <w:t xml:space="preserve">Contributions. </w:t>
      </w:r>
      <w:r>
        <w:t>This draft makes the following contributions:</w:t>
      </w:r>
    </w:p>
    <w:p>
      <w:pPr>
        <w:pStyle w:val="ListBullet"/>
      </w:pPr>
      <w:r>
        <w:t>A bound-guided structured pruning formulation for RMSNorm-SwiGLU channels, using the coupled gate/up/down channel triple as the pruning unit.</w:t>
      </w:r>
    </w:p>
    <w:p>
      <w:pPr>
        <w:pStyle w:val="ListBullet"/>
      </w:pPr>
      <w:r>
        <w:t>A global target-pruning pipeline that physically reduces MLP width while respecting layer caps and hardware alignment.</w:t>
      </w:r>
    </w:p>
    <w:p>
      <w:pPr>
        <w:pStyle w:val="ListBullet"/>
      </w:pPr>
      <w:r>
        <w:t>Residual reconstruction variants for dense and MoE MLPs, including full least-squares, ridge residual, only-if-improves gating, and nearest-channel merge.</w:t>
      </w:r>
    </w:p>
    <w:p>
      <w:pPr>
        <w:pStyle w:val="ListBullet"/>
      </w:pPr>
      <w:r>
        <w:t>A router-aware MoE pruning implementation for Qwen3-30B-A3B that handles the UNPACKED ModuleList expert layout and preserves routers while pruning expert-channel dimensions.</w:t>
      </w:r>
    </w:p>
    <w:p>
      <w:pPr>
        <w:pStyle w:val="ListBullet"/>
      </w:pPr>
      <w:r>
        <w:t>A reproducible selected MoE full benchmark with pruning-plan save/load to ensure fair same-plan comparisons across methods.</w:t>
      </w:r>
    </w:p>
    <w:p>
      <w:pPr>
        <w:pStyle w:val="ListBullet"/>
      </w:pPr>
      <w:r>
        <w:t>A conservative research positioning relative to SparseGPT, Wanda, LLM-Pruner, SliceGPT, SlimLLM, and related structured pruning work.</w:t>
      </w:r>
    </w:p>
    <w:p>
      <w:pPr>
        <w:pStyle w:val="ListBullet"/>
      </w:pPr>
      <w:r>
        <w:t>An exact RMSNorm-induced ellipsoid bound for individual SwiGLU channel contributions, together with a short spectral proof.</w:t>
      </w:r>
    </w:p>
    <w:p>
      <w:pPr>
        <w:pStyle w:val="ListBullet"/>
      </w:pPr>
      <w:r>
        <w:t>A conceptual and experimental separation between cross-layer pruning-budget allocation and within-layer channel ranking.</w:t>
      </w:r>
    </w:p>
    <w:p>
      <w:pPr>
        <w:pStyle w:val="ListBullet"/>
      </w:pPr>
      <w:r>
        <w:t>Controlled fixed-allocation comparisons showing that ellipsoid ranking improves the original bound and activation ranking at the 6% operating point on both WikiText-2 and C4.</w:t>
      </w:r>
    </w:p>
    <w:p>
      <w:pPr>
        <w:pStyle w:val="ListBullet"/>
      </w:pPr>
      <w:r>
        <w:t>An empirical certificate audit reporting zero sampled violations and substantially tighter observed-contribution ratios than the spherical bound.</w:t>
      </w:r>
    </w:p>
    <w:p>
      <w:pPr>
        <w:pStyle w:val="Heading1"/>
      </w:pPr>
      <w:r>
        <w:t>2. Related Work and Positioning</w:t>
      </w:r>
    </w:p>
    <w:p>
      <w:r>
        <w:t>The proposed method is best positioned as a structured, no-finetuning, channel-level pruning method for RMSNorm-SwiGLU and MoE expert MLPs. It should not claim to invent pruning with reconstruction. Instead, the defensible novelty is the combination of a bound-guided SwiGLU channel score, physical gate/up/down deletion, residual-only down-projection repair, and a router-aware MoE expert-channel extension.</w:t>
      </w:r>
    </w:p>
    <w:p>
      <w:pPr>
        <w:pStyle w:val="Caption"/>
      </w:pPr>
      <w:r>
        <w:rPr>
          <w:b/>
        </w:rPr>
        <w:t>Table 2. Related work and narrow novelty positioning.</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3360"/>
            <w:vAlign w:val="center"/>
            <w:shd w:fill="4F81BD"/>
            <w:tcMar>
              <w:top w:w="80" w:type="dxa"/>
              <w:start w:w="120" w:type="dxa"/>
              <w:bottom w:w="80" w:type="dxa"/>
              <w:end w:w="120" w:type="dxa"/>
            </w:tcMar>
          </w:tcPr>
          <w:p>
            <w:pPr>
              <w:spacing w:before="0" w:after="0" w:line="240" w:lineRule="auto"/>
              <w:jc w:val="center"/>
            </w:pPr>
            <w:r>
              <w:rPr>
                <w:rFonts w:ascii="Times New Roman" w:hAnsi="Times New Roman"/>
                <w:b/>
                <w:color w:val="FFFFFF"/>
                <w:sz w:val="17"/>
              </w:rPr>
            </w:r>
            <w:r>
              <w:rPr>
                <w:rFonts w:ascii="Times New Roman" w:hAnsi="Times New Roman"/>
                <w:b/>
                <w:color w:val="FFFFFF"/>
                <w:sz w:val="17"/>
              </w:rPr>
              <w:t>Work</w:t>
            </w:r>
          </w:p>
        </w:tc>
        <w:tc>
          <w:tcPr>
            <w:tcW w:type="dxa" w:w="3360"/>
            <w:vAlign w:val="center"/>
            <w:shd w:fill="4F81BD"/>
            <w:tcMar>
              <w:top w:w="80" w:type="dxa"/>
              <w:start w:w="120" w:type="dxa"/>
              <w:bottom w:w="80" w:type="dxa"/>
              <w:end w:w="120" w:type="dxa"/>
            </w:tcMar>
          </w:tcPr>
          <w:p>
            <w:pPr>
              <w:spacing w:before="0" w:after="0" w:line="240" w:lineRule="auto"/>
              <w:jc w:val="center"/>
            </w:pPr>
            <w:r>
              <w:rPr>
                <w:rFonts w:ascii="Times New Roman" w:hAnsi="Times New Roman"/>
                <w:b/>
                <w:color w:val="FFFFFF"/>
                <w:sz w:val="17"/>
              </w:rPr>
            </w:r>
            <w:r>
              <w:rPr>
                <w:rFonts w:ascii="Times New Roman" w:hAnsi="Times New Roman"/>
                <w:b/>
                <w:color w:val="FFFFFF"/>
                <w:sz w:val="17"/>
              </w:rPr>
              <w:t>Closest idea</w:t>
            </w:r>
          </w:p>
        </w:tc>
        <w:tc>
          <w:tcPr>
            <w:tcW w:type="dxa" w:w="3360"/>
            <w:vAlign w:val="center"/>
            <w:shd w:fill="4F81BD"/>
            <w:tcMar>
              <w:top w:w="80" w:type="dxa"/>
              <w:start w:w="120" w:type="dxa"/>
              <w:bottom w:w="80" w:type="dxa"/>
              <w:end w:w="120" w:type="dxa"/>
            </w:tcMar>
          </w:tcPr>
          <w:p>
            <w:pPr>
              <w:spacing w:before="0" w:after="0" w:line="240" w:lineRule="auto"/>
              <w:jc w:val="center"/>
            </w:pPr>
            <w:r>
              <w:rPr>
                <w:rFonts w:ascii="Times New Roman" w:hAnsi="Times New Roman"/>
                <w:b/>
                <w:color w:val="FFFFFF"/>
                <w:sz w:val="17"/>
              </w:rPr>
            </w:r>
            <w:r>
              <w:rPr>
                <w:rFonts w:ascii="Times New Roman" w:hAnsi="Times New Roman"/>
                <w:b/>
                <w:color w:val="FFFFFF"/>
                <w:sz w:val="17"/>
              </w:rPr>
              <w:t>Difference from this draft</w:t>
            </w:r>
          </w:p>
        </w:tc>
      </w:tr>
      <w:tr>
        <w:tc>
          <w:tcPr>
            <w:tcW w:type="dxa" w:w="3360"/>
            <w:vAlign w:val="center"/>
            <w:tcMar>
              <w:top w:w="80" w:type="dxa"/>
              <w:start w:w="120" w:type="dxa"/>
              <w:bottom w:w="80" w:type="dxa"/>
              <w:end w:w="120" w:type="dxa"/>
            </w:tcMar>
          </w:tcPr>
          <w:p>
            <w:pPr>
              <w:spacing w:before="0" w:after="0" w:line="240" w:lineRule="auto"/>
            </w:pPr>
            <w:r>
              <w:rPr>
                <w:rFonts w:ascii="Times New Roman" w:hAnsi="Times New Roman"/>
                <w:sz w:val="17"/>
              </w:rPr>
            </w:r>
            <w:r>
              <w:rPr>
                <w:rFonts w:ascii="Times New Roman" w:hAnsi="Times New Roman"/>
                <w:b w:val="0"/>
                <w:sz w:val="17"/>
              </w:rPr>
              <w:t>SparseGPT</w:t>
            </w:r>
          </w:p>
        </w:tc>
        <w:tc>
          <w:tcPr>
            <w:tcW w:type="dxa" w:w="3360"/>
            <w:vAlign w:val="center"/>
            <w:tcMar>
              <w:top w:w="80" w:type="dxa"/>
              <w:start w:w="120" w:type="dxa"/>
              <w:bottom w:w="80" w:type="dxa"/>
              <w:end w:w="120" w:type="dxa"/>
            </w:tcMar>
          </w:tcPr>
          <w:p>
            <w:pPr>
              <w:spacing w:before="0" w:after="0" w:line="240" w:lineRule="auto"/>
            </w:pPr>
            <w:r>
              <w:rPr>
                <w:rFonts w:ascii="Times New Roman" w:hAnsi="Times New Roman"/>
                <w:sz w:val="17"/>
              </w:rPr>
            </w:r>
            <w:r>
              <w:rPr>
                <w:rFonts w:ascii="Times New Roman" w:hAnsi="Times New Roman"/>
                <w:b w:val="0"/>
                <w:sz w:val="17"/>
              </w:rPr>
              <w:t>One-shot sparse regression / second-order weight pruning for very large GPT-family models.</w:t>
            </w:r>
          </w:p>
        </w:tc>
        <w:tc>
          <w:tcPr>
            <w:tcW w:type="dxa" w:w="3360"/>
            <w:vAlign w:val="center"/>
            <w:tcMar>
              <w:top w:w="80" w:type="dxa"/>
              <w:start w:w="120" w:type="dxa"/>
              <w:bottom w:w="80" w:type="dxa"/>
              <w:end w:w="120" w:type="dxa"/>
            </w:tcMar>
          </w:tcPr>
          <w:p>
            <w:pPr>
              <w:spacing w:before="0" w:after="0" w:line="240" w:lineRule="auto"/>
            </w:pPr>
            <w:r>
              <w:rPr>
                <w:rFonts w:ascii="Times New Roman" w:hAnsi="Times New Roman"/>
                <w:sz w:val="17"/>
              </w:rPr>
            </w:r>
            <w:r>
              <w:rPr>
                <w:rFonts w:ascii="Times New Roman" w:hAnsi="Times New Roman"/>
                <w:b w:val="0"/>
                <w:sz w:val="17"/>
              </w:rPr>
              <w:t>Primarily unstructured or semi-structured weight sparsity; does not physically delete SwiGLU/MoE expert channels as dense matrix width.</w:t>
            </w:r>
          </w:p>
        </w:tc>
      </w:tr>
      <w:tr>
        <w:tc>
          <w:tcPr>
            <w:tcW w:type="dxa" w:w="3360"/>
            <w:vAlign w:val="center"/>
            <w:tcMar>
              <w:top w:w="80" w:type="dxa"/>
              <w:start w:w="120" w:type="dxa"/>
              <w:bottom w:w="80" w:type="dxa"/>
              <w:end w:w="120" w:type="dxa"/>
            </w:tcMar>
          </w:tcPr>
          <w:p>
            <w:pPr>
              <w:spacing w:before="0" w:after="0" w:line="240" w:lineRule="auto"/>
            </w:pPr>
            <w:r>
              <w:rPr>
                <w:rFonts w:ascii="Times New Roman" w:hAnsi="Times New Roman"/>
                <w:sz w:val="17"/>
              </w:rPr>
            </w:r>
            <w:r>
              <w:rPr>
                <w:rFonts w:ascii="Times New Roman" w:hAnsi="Times New Roman"/>
                <w:b w:val="0"/>
                <w:sz w:val="17"/>
              </w:rPr>
              <w:t>Wanda</w:t>
            </w:r>
          </w:p>
        </w:tc>
        <w:tc>
          <w:tcPr>
            <w:tcW w:type="dxa" w:w="3360"/>
            <w:vAlign w:val="center"/>
            <w:tcMar>
              <w:top w:w="80" w:type="dxa"/>
              <w:start w:w="120" w:type="dxa"/>
              <w:bottom w:w="80" w:type="dxa"/>
              <w:end w:w="120" w:type="dxa"/>
            </w:tcMar>
          </w:tcPr>
          <w:p>
            <w:pPr>
              <w:spacing w:before="0" w:after="0" w:line="240" w:lineRule="auto"/>
            </w:pPr>
            <w:r>
              <w:rPr>
                <w:rFonts w:ascii="Times New Roman" w:hAnsi="Times New Roman"/>
                <w:sz w:val="17"/>
              </w:rPr>
            </w:r>
            <w:r>
              <w:rPr>
                <w:rFonts w:ascii="Times New Roman" w:hAnsi="Times New Roman"/>
                <w:b w:val="0"/>
                <w:sz w:val="17"/>
              </w:rPr>
              <w:t>No-retraining weight pruning using weight magnitude times input activation statistics.</w:t>
            </w:r>
          </w:p>
        </w:tc>
        <w:tc>
          <w:tcPr>
            <w:tcW w:type="dxa" w:w="3360"/>
            <w:vAlign w:val="center"/>
            <w:tcMar>
              <w:top w:w="80" w:type="dxa"/>
              <w:start w:w="120" w:type="dxa"/>
              <w:bottom w:w="80" w:type="dxa"/>
              <w:end w:w="120" w:type="dxa"/>
            </w:tcMar>
          </w:tcPr>
          <w:p>
            <w:pPr>
              <w:spacing w:before="0" w:after="0" w:line="240" w:lineRule="auto"/>
            </w:pPr>
            <w:r>
              <w:rPr>
                <w:rFonts w:ascii="Times New Roman" w:hAnsi="Times New Roman"/>
                <w:sz w:val="17"/>
              </w:rPr>
            </w:r>
            <w:r>
              <w:rPr>
                <w:rFonts w:ascii="Times New Roman" w:hAnsi="Times New Roman"/>
                <w:b w:val="0"/>
                <w:sz w:val="17"/>
              </w:rPr>
              <w:t>Unstructured weight pruning; no physical gate/up/down channel removal and no residual down-projection repair.</w:t>
            </w:r>
          </w:p>
        </w:tc>
      </w:tr>
      <w:tr>
        <w:tc>
          <w:tcPr>
            <w:tcW w:type="dxa" w:w="3360"/>
            <w:vAlign w:val="center"/>
            <w:tcMar>
              <w:top w:w="80" w:type="dxa"/>
              <w:start w:w="120" w:type="dxa"/>
              <w:bottom w:w="80" w:type="dxa"/>
              <w:end w:w="120" w:type="dxa"/>
            </w:tcMar>
          </w:tcPr>
          <w:p>
            <w:pPr>
              <w:spacing w:before="0" w:after="0" w:line="240" w:lineRule="auto"/>
            </w:pPr>
            <w:r>
              <w:rPr>
                <w:rFonts w:ascii="Times New Roman" w:hAnsi="Times New Roman"/>
                <w:sz w:val="17"/>
              </w:rPr>
            </w:r>
            <w:r>
              <w:rPr>
                <w:rFonts w:ascii="Times New Roman" w:hAnsi="Times New Roman"/>
                <w:b w:val="0"/>
                <w:sz w:val="17"/>
              </w:rPr>
              <w:t>LLM-Pruner</w:t>
            </w:r>
          </w:p>
        </w:tc>
        <w:tc>
          <w:tcPr>
            <w:tcW w:type="dxa" w:w="3360"/>
            <w:vAlign w:val="center"/>
            <w:tcMar>
              <w:top w:w="80" w:type="dxa"/>
              <w:start w:w="120" w:type="dxa"/>
              <w:bottom w:w="80" w:type="dxa"/>
              <w:end w:w="120" w:type="dxa"/>
            </w:tcMar>
          </w:tcPr>
          <w:p>
            <w:pPr>
              <w:spacing w:before="0" w:after="0" w:line="240" w:lineRule="auto"/>
            </w:pPr>
            <w:r>
              <w:rPr>
                <w:rFonts w:ascii="Times New Roman" w:hAnsi="Times New Roman"/>
                <w:sz w:val="17"/>
              </w:rPr>
            </w:r>
            <w:r>
              <w:rPr>
                <w:rFonts w:ascii="Times New Roman" w:hAnsi="Times New Roman"/>
                <w:b w:val="0"/>
                <w:sz w:val="17"/>
              </w:rPr>
              <w:t>Structural pruning of coupled LLM components with gradient scoring and LoRA recovery.</w:t>
            </w:r>
          </w:p>
        </w:tc>
        <w:tc>
          <w:tcPr>
            <w:tcW w:type="dxa" w:w="3360"/>
            <w:vAlign w:val="center"/>
            <w:tcMar>
              <w:top w:w="80" w:type="dxa"/>
              <w:start w:w="120" w:type="dxa"/>
              <w:bottom w:w="80" w:type="dxa"/>
              <w:end w:w="120" w:type="dxa"/>
            </w:tcMar>
          </w:tcPr>
          <w:p>
            <w:pPr>
              <w:spacing w:before="0" w:after="0" w:line="240" w:lineRule="auto"/>
            </w:pPr>
            <w:r>
              <w:rPr>
                <w:rFonts w:ascii="Times New Roman" w:hAnsi="Times New Roman"/>
                <w:sz w:val="17"/>
              </w:rPr>
            </w:r>
            <w:r>
              <w:rPr>
                <w:rFonts w:ascii="Times New Roman" w:hAnsi="Times New Roman"/>
                <w:b w:val="0"/>
                <w:sz w:val="17"/>
              </w:rPr>
              <w:t>Uses gradient information and post-pruning recovery; our current method is one-shot and no-finetuning.</w:t>
            </w:r>
          </w:p>
        </w:tc>
      </w:tr>
      <w:tr>
        <w:tc>
          <w:tcPr>
            <w:tcW w:type="dxa" w:w="3360"/>
            <w:vAlign w:val="center"/>
            <w:tcMar>
              <w:top w:w="80" w:type="dxa"/>
              <w:start w:w="120" w:type="dxa"/>
              <w:bottom w:w="80" w:type="dxa"/>
              <w:end w:w="120" w:type="dxa"/>
            </w:tcMar>
          </w:tcPr>
          <w:p>
            <w:pPr>
              <w:spacing w:before="0" w:after="0" w:line="240" w:lineRule="auto"/>
            </w:pPr>
            <w:r>
              <w:rPr>
                <w:rFonts w:ascii="Times New Roman" w:hAnsi="Times New Roman"/>
                <w:sz w:val="17"/>
              </w:rPr>
            </w:r>
            <w:r>
              <w:rPr>
                <w:rFonts w:ascii="Times New Roman" w:hAnsi="Times New Roman"/>
                <w:b w:val="0"/>
                <w:sz w:val="17"/>
              </w:rPr>
              <w:t>SliceGPT</w:t>
            </w:r>
          </w:p>
        </w:tc>
        <w:tc>
          <w:tcPr>
            <w:tcW w:type="dxa" w:w="3360"/>
            <w:vAlign w:val="center"/>
            <w:tcMar>
              <w:top w:w="80" w:type="dxa"/>
              <w:start w:w="120" w:type="dxa"/>
              <w:bottom w:w="80" w:type="dxa"/>
              <w:end w:w="120" w:type="dxa"/>
            </w:tcMar>
          </w:tcPr>
          <w:p>
            <w:pPr>
              <w:spacing w:before="0" w:after="0" w:line="240" w:lineRule="auto"/>
            </w:pPr>
            <w:r>
              <w:rPr>
                <w:rFonts w:ascii="Times New Roman" w:hAnsi="Times New Roman"/>
                <w:sz w:val="17"/>
              </w:rPr>
            </w:r>
            <w:r>
              <w:rPr>
                <w:rFonts w:ascii="Times New Roman" w:hAnsi="Times New Roman"/>
                <w:b w:val="0"/>
                <w:sz w:val="17"/>
              </w:rPr>
              <w:t>Structured slicing that replaces weights with smaller dense matrices.</w:t>
            </w:r>
          </w:p>
        </w:tc>
        <w:tc>
          <w:tcPr>
            <w:tcW w:type="dxa" w:w="3360"/>
            <w:vAlign w:val="center"/>
            <w:tcMar>
              <w:top w:w="80" w:type="dxa"/>
              <w:start w:w="120" w:type="dxa"/>
              <w:bottom w:w="80" w:type="dxa"/>
              <w:end w:w="120" w:type="dxa"/>
            </w:tcMar>
          </w:tcPr>
          <w:p>
            <w:pPr>
              <w:spacing w:before="0" w:after="0" w:line="240" w:lineRule="auto"/>
            </w:pPr>
            <w:r>
              <w:rPr>
                <w:rFonts w:ascii="Times New Roman" w:hAnsi="Times New Roman"/>
                <w:sz w:val="17"/>
              </w:rPr>
            </w:r>
            <w:r>
              <w:rPr>
                <w:rFonts w:ascii="Times New Roman" w:hAnsi="Times New Roman"/>
                <w:b w:val="0"/>
                <w:sz w:val="17"/>
              </w:rPr>
              <w:t>Broad embedding/matrix dimension slicing rather than RMSNorm-bound SwiGLU expert-channel scoring and MoE router-aware expert pruning.</w:t>
            </w:r>
          </w:p>
        </w:tc>
      </w:tr>
      <w:tr>
        <w:tc>
          <w:tcPr>
            <w:tcW w:type="dxa" w:w="3360"/>
            <w:vAlign w:val="center"/>
            <w:tcMar>
              <w:top w:w="80" w:type="dxa"/>
              <w:start w:w="120" w:type="dxa"/>
              <w:bottom w:w="80" w:type="dxa"/>
              <w:end w:w="120" w:type="dxa"/>
            </w:tcMar>
          </w:tcPr>
          <w:p>
            <w:pPr>
              <w:spacing w:before="0" w:after="0" w:line="240" w:lineRule="auto"/>
            </w:pPr>
            <w:r>
              <w:rPr>
                <w:rFonts w:ascii="Times New Roman" w:hAnsi="Times New Roman"/>
                <w:sz w:val="17"/>
              </w:rPr>
            </w:r>
            <w:r>
              <w:rPr>
                <w:rFonts w:ascii="Times New Roman" w:hAnsi="Times New Roman"/>
                <w:b w:val="0"/>
                <w:sz w:val="17"/>
              </w:rPr>
              <w:t>SlimLLM</w:t>
            </w:r>
          </w:p>
        </w:tc>
        <w:tc>
          <w:tcPr>
            <w:tcW w:type="dxa" w:w="3360"/>
            <w:vAlign w:val="center"/>
            <w:tcMar>
              <w:top w:w="80" w:type="dxa"/>
              <w:start w:w="120" w:type="dxa"/>
              <w:bottom w:w="80" w:type="dxa"/>
              <w:end w:w="120" w:type="dxa"/>
            </w:tcMar>
          </w:tcPr>
          <w:p>
            <w:pPr>
              <w:spacing w:before="0" w:after="0" w:line="240" w:lineRule="auto"/>
            </w:pPr>
            <w:r>
              <w:rPr>
                <w:rFonts w:ascii="Times New Roman" w:hAnsi="Times New Roman"/>
                <w:sz w:val="17"/>
              </w:rPr>
            </w:r>
            <w:r>
              <w:rPr>
                <w:rFonts w:ascii="Times New Roman" w:hAnsi="Times New Roman"/>
                <w:b w:val="0"/>
                <w:sz w:val="17"/>
              </w:rPr>
              <w:t>Structured channel/head pruning with output matrix linear regression recovery.</w:t>
            </w:r>
          </w:p>
        </w:tc>
        <w:tc>
          <w:tcPr>
            <w:tcW w:type="dxa" w:w="3360"/>
            <w:vAlign w:val="center"/>
            <w:tcMar>
              <w:top w:w="80" w:type="dxa"/>
              <w:start w:w="120" w:type="dxa"/>
              <w:bottom w:w="80" w:type="dxa"/>
              <w:end w:w="120" w:type="dxa"/>
            </w:tcMar>
          </w:tcPr>
          <w:p>
            <w:pPr>
              <w:spacing w:before="0" w:after="0" w:line="240" w:lineRule="auto"/>
            </w:pPr>
            <w:r>
              <w:rPr>
                <w:rFonts w:ascii="Times New Roman" w:hAnsi="Times New Roman"/>
                <w:sz w:val="17"/>
              </w:rPr>
            </w:r>
            <w:r>
              <w:rPr>
                <w:rFonts w:ascii="Times New Roman" w:hAnsi="Times New Roman"/>
                <w:b w:val="0"/>
                <w:sz w:val="17"/>
              </w:rPr>
              <w:t>Closest recovery risk; differs in scoring, SwiGLU-bound formulation, and the MoE expert-channel setting studied here.</w:t>
            </w:r>
          </w:p>
        </w:tc>
      </w:tr>
      <w:tr>
        <w:tc>
          <w:tcPr>
            <w:tcW w:type="dxa" w:w="3360"/>
            <w:vAlign w:val="center"/>
            <w:tcMar>
              <w:top w:w="80" w:type="dxa"/>
              <w:start w:w="120" w:type="dxa"/>
              <w:bottom w:w="80" w:type="dxa"/>
              <w:end w:w="120" w:type="dxa"/>
            </w:tcMar>
          </w:tcPr>
          <w:p>
            <w:pPr>
              <w:spacing w:before="0" w:after="0" w:line="240" w:lineRule="auto"/>
            </w:pPr>
            <w:r>
              <w:rPr>
                <w:rFonts w:ascii="Times New Roman" w:hAnsi="Times New Roman"/>
                <w:sz w:val="17"/>
              </w:rPr>
            </w:r>
            <w:r>
              <w:rPr>
                <w:rFonts w:ascii="Times New Roman" w:hAnsi="Times New Roman"/>
                <w:b w:val="0"/>
                <w:sz w:val="17"/>
              </w:rPr>
              <w:t>GLU-aware pruning / DaSS</w:t>
            </w:r>
          </w:p>
        </w:tc>
        <w:tc>
          <w:tcPr>
            <w:tcW w:type="dxa" w:w="3360"/>
            <w:vAlign w:val="center"/>
            <w:tcMar>
              <w:top w:w="80" w:type="dxa"/>
              <w:start w:w="120" w:type="dxa"/>
              <w:bottom w:w="80" w:type="dxa"/>
              <w:end w:w="120" w:type="dxa"/>
            </w:tcMar>
          </w:tcPr>
          <w:p>
            <w:pPr>
              <w:spacing w:before="0" w:after="0" w:line="240" w:lineRule="auto"/>
            </w:pPr>
            <w:r>
              <w:rPr>
                <w:rFonts w:ascii="Times New Roman" w:hAnsi="Times New Roman"/>
                <w:sz w:val="17"/>
              </w:rPr>
            </w:r>
            <w:r>
              <w:rPr>
                <w:rFonts w:ascii="Times New Roman" w:hAnsi="Times New Roman"/>
                <w:b w:val="0"/>
                <w:sz w:val="17"/>
              </w:rPr>
              <w:t>Studies pruning behavior in GLU-based LLMs.</w:t>
            </w:r>
          </w:p>
        </w:tc>
        <w:tc>
          <w:tcPr>
            <w:tcW w:type="dxa" w:w="3360"/>
            <w:vAlign w:val="center"/>
            <w:tcMar>
              <w:top w:w="80" w:type="dxa"/>
              <w:start w:w="120" w:type="dxa"/>
              <w:bottom w:w="80" w:type="dxa"/>
              <w:end w:w="120" w:type="dxa"/>
            </w:tcMar>
          </w:tcPr>
          <w:p>
            <w:pPr>
              <w:spacing w:before="0" w:after="0" w:line="240" w:lineRule="auto"/>
            </w:pPr>
            <w:r>
              <w:rPr>
                <w:rFonts w:ascii="Times New Roman" w:hAnsi="Times New Roman"/>
                <w:sz w:val="17"/>
              </w:rPr>
            </w:r>
            <w:r>
              <w:rPr>
                <w:rFonts w:ascii="Times New Roman" w:hAnsi="Times New Roman"/>
                <w:b w:val="0"/>
                <w:sz w:val="17"/>
              </w:rPr>
              <w:t>Supports the need for GLU-aware units; our method provides physical target pruning and residual repair for Qwen-family SwiGLU channels.</w:t>
            </w:r>
          </w:p>
        </w:tc>
      </w:tr>
      <w:tr>
        <w:tc>
          <w:tcPr>
            <w:tcW w:type="dxa" w:w="3360"/>
            <w:vAlign w:val="center"/>
            <w:tcMar>
              <w:top w:w="80" w:type="dxa"/>
              <w:start w:w="120" w:type="dxa"/>
              <w:bottom w:w="80" w:type="dxa"/>
              <w:end w:w="120" w:type="dxa"/>
            </w:tcMar>
          </w:tcPr>
          <w:p>
            <w:pPr>
              <w:spacing w:before="0" w:after="0" w:line="240" w:lineRule="auto"/>
            </w:pPr>
            <w:r>
              <w:rPr>
                <w:rFonts w:ascii="Times New Roman" w:hAnsi="Times New Roman"/>
                <w:sz w:val="17"/>
              </w:rPr>
            </w:r>
            <w:r>
              <w:rPr>
                <w:rFonts w:ascii="Times New Roman" w:hAnsi="Times New Roman"/>
                <w:b w:val="0"/>
                <w:sz w:val="17"/>
              </w:rPr>
              <w:t>DOTResize / neuron merging</w:t>
            </w:r>
          </w:p>
        </w:tc>
        <w:tc>
          <w:tcPr>
            <w:tcW w:type="dxa" w:w="3360"/>
            <w:vAlign w:val="center"/>
            <w:tcMar>
              <w:top w:w="80" w:type="dxa"/>
              <w:start w:w="120" w:type="dxa"/>
              <w:bottom w:w="80" w:type="dxa"/>
              <w:end w:w="120" w:type="dxa"/>
            </w:tcMar>
          </w:tcPr>
          <w:p>
            <w:pPr>
              <w:spacing w:before="0" w:after="0" w:line="240" w:lineRule="auto"/>
            </w:pPr>
            <w:r>
              <w:rPr>
                <w:rFonts w:ascii="Times New Roman" w:hAnsi="Times New Roman"/>
                <w:sz w:val="17"/>
              </w:rPr>
            </w:r>
            <w:r>
              <w:rPr>
                <w:rFonts w:ascii="Times New Roman" w:hAnsi="Times New Roman"/>
                <w:b w:val="0"/>
                <w:sz w:val="17"/>
              </w:rPr>
              <w:t>Width reduction through neuron merging or redistribution.</w:t>
            </w:r>
          </w:p>
        </w:tc>
        <w:tc>
          <w:tcPr>
            <w:tcW w:type="dxa" w:w="3360"/>
            <w:vAlign w:val="center"/>
            <w:tcMar>
              <w:top w:w="80" w:type="dxa"/>
              <w:start w:w="120" w:type="dxa"/>
              <w:bottom w:w="80" w:type="dxa"/>
              <w:end w:w="120" w:type="dxa"/>
            </w:tcMar>
          </w:tcPr>
          <w:p>
            <w:pPr>
              <w:spacing w:before="0" w:after="0" w:line="240" w:lineRule="auto"/>
            </w:pPr>
            <w:r>
              <w:rPr>
                <w:rFonts w:ascii="Times New Roman" w:hAnsi="Times New Roman"/>
                <w:sz w:val="17"/>
              </w:rPr>
            </w:r>
            <w:r>
              <w:rPr>
                <w:rFonts w:ascii="Times New Roman" w:hAnsi="Times New Roman"/>
                <w:b w:val="0"/>
                <w:sz w:val="17"/>
              </w:rPr>
              <w:t>Conceptually close to nearest-channel merge; our method combines bound-guided channel selection with MoE-specific routing coverage and same-channel all-expert pruning.</w:t>
            </w:r>
          </w:p>
        </w:tc>
      </w:tr>
      <w:tr>
        <w:tc>
          <w:tcPr>
            <w:tcW w:type="dxa" w:w="3360"/>
            <w:vAlign w:val="center"/>
            <w:tcMar>
              <w:top w:w="80" w:type="dxa"/>
              <w:start w:w="120" w:type="dxa"/>
              <w:bottom w:w="80" w:type="dxa"/>
              <w:end w:w="120" w:type="dxa"/>
            </w:tcMar>
          </w:tcPr>
          <w:p>
            <w:pPr>
              <w:spacing w:before="0" w:after="0" w:line="240" w:lineRule="auto"/>
            </w:pPr>
            <w:r>
              <w:rPr>
                <w:rFonts w:ascii="Times New Roman" w:hAnsi="Times New Roman"/>
                <w:sz w:val="17"/>
              </w:rPr>
              <w:t>HEAPr [13]</w:t>
            </w:r>
          </w:p>
        </w:tc>
        <w:tc>
          <w:tcPr>
            <w:tcW w:type="dxa" w:w="3360"/>
            <w:vAlign w:val="center"/>
            <w:tcMar>
              <w:top w:w="80" w:type="dxa"/>
              <w:start w:w="120" w:type="dxa"/>
              <w:bottom w:w="80" w:type="dxa"/>
              <w:end w:w="120" w:type="dxa"/>
            </w:tcMar>
          </w:tcPr>
          <w:p>
            <w:pPr>
              <w:spacing w:before="0" w:after="0" w:line="240" w:lineRule="auto"/>
            </w:pPr>
            <w:r>
              <w:rPr>
                <w:rFonts w:ascii="Times New Roman" w:hAnsi="Times New Roman"/>
                <w:sz w:val="17"/>
              </w:rPr>
              <w:t>Hessian-based atomic-expert pruning using output-space second-order information.</w:t>
            </w:r>
          </w:p>
        </w:tc>
        <w:tc>
          <w:tcPr>
            <w:tcW w:type="dxa" w:w="3360"/>
            <w:vAlign w:val="center"/>
            <w:tcMar>
              <w:top w:w="80" w:type="dxa"/>
              <w:start w:w="120" w:type="dxa"/>
              <w:bottom w:w="80" w:type="dxa"/>
              <w:end w:w="120" w:type="dxa"/>
            </w:tcMar>
          </w:tcPr>
          <w:p>
            <w:pPr>
              <w:spacing w:before="0" w:after="0" w:line="240" w:lineRule="auto"/>
            </w:pPr>
            <w:r>
              <w:rPr>
                <w:rFonts w:ascii="Times New Roman" w:hAnsi="Times New Roman"/>
                <w:sz w:val="17"/>
              </w:rPr>
              <w:t>Directly relevant fine-grained MoE baseline; our selector is weight-only and calibration-free but currently targets much smaller pruning ratios.</w:t>
            </w:r>
          </w:p>
        </w:tc>
      </w:tr>
      <w:tr>
        <w:tc>
          <w:tcPr>
            <w:tcW w:type="dxa" w:w="3360"/>
            <w:vAlign w:val="center"/>
            <w:tcMar>
              <w:top w:w="80" w:type="dxa"/>
              <w:start w:w="120" w:type="dxa"/>
              <w:bottom w:w="80" w:type="dxa"/>
              <w:end w:w="120" w:type="dxa"/>
            </w:tcMar>
          </w:tcPr>
          <w:p>
            <w:pPr>
              <w:spacing w:before="0" w:after="0" w:line="240" w:lineRule="auto"/>
            </w:pPr>
            <w:r>
              <w:rPr>
                <w:rFonts w:ascii="Times New Roman" w:hAnsi="Times New Roman"/>
                <w:sz w:val="17"/>
              </w:rPr>
              <w:t>CAMERA [14]</w:t>
            </w:r>
          </w:p>
        </w:tc>
        <w:tc>
          <w:tcPr>
            <w:tcW w:type="dxa" w:w="3360"/>
            <w:vAlign w:val="center"/>
            <w:tcMar>
              <w:top w:w="80" w:type="dxa"/>
              <w:start w:w="120" w:type="dxa"/>
              <w:bottom w:w="80" w:type="dxa"/>
              <w:end w:w="120" w:type="dxa"/>
            </w:tcMar>
          </w:tcPr>
          <w:p>
            <w:pPr>
              <w:spacing w:before="0" w:after="0" w:line="240" w:lineRule="auto"/>
            </w:pPr>
            <w:r>
              <w:rPr>
                <w:rFonts w:ascii="Times New Roman" w:hAnsi="Times New Roman"/>
                <w:sz w:val="17"/>
              </w:rPr>
              <w:t>Training-free micro-expert redundancy analysis with structured pruning and quantization.</w:t>
            </w:r>
          </w:p>
        </w:tc>
        <w:tc>
          <w:tcPr>
            <w:tcW w:type="dxa" w:w="3360"/>
            <w:vAlign w:val="center"/>
            <w:tcMar>
              <w:top w:w="80" w:type="dxa"/>
              <w:start w:w="120" w:type="dxa"/>
              <w:bottom w:w="80" w:type="dxa"/>
              <w:end w:w="120" w:type="dxa"/>
            </w:tcMar>
          </w:tcPr>
          <w:p>
            <w:pPr>
              <w:spacing w:before="0" w:after="0" w:line="240" w:lineRule="auto"/>
            </w:pPr>
            <w:r>
              <w:rPr>
                <w:rFonts w:ascii="Times New Roman" w:hAnsi="Times New Roman"/>
                <w:sz w:val="17"/>
              </w:rPr>
              <w:t>Very close pruning unit; Version 3 novelty must rest on the explicit RMSNorm ellipsoid certificate and allocation/ranking analysis.</w:t>
            </w:r>
          </w:p>
        </w:tc>
      </w:tr>
      <w:tr>
        <w:tc>
          <w:tcPr>
            <w:tcW w:type="dxa" w:w="3360"/>
            <w:vAlign w:val="center"/>
            <w:tcMar>
              <w:top w:w="80" w:type="dxa"/>
              <w:start w:w="120" w:type="dxa"/>
              <w:bottom w:w="80" w:type="dxa"/>
              <w:end w:w="120" w:type="dxa"/>
            </w:tcMar>
          </w:tcPr>
          <w:p>
            <w:pPr>
              <w:spacing w:before="0" w:after="0" w:line="240" w:lineRule="auto"/>
            </w:pPr>
            <w:r>
              <w:rPr>
                <w:rFonts w:ascii="Times New Roman" w:hAnsi="Times New Roman"/>
                <w:sz w:val="17"/>
              </w:rPr>
              <w:t>Attribution-guided structural MoE compression [15]</w:t>
            </w:r>
          </w:p>
        </w:tc>
        <w:tc>
          <w:tcPr>
            <w:tcW w:type="dxa" w:w="3360"/>
            <w:vAlign w:val="center"/>
            <w:tcMar>
              <w:top w:w="80" w:type="dxa"/>
              <w:start w:w="120" w:type="dxa"/>
              <w:bottom w:w="80" w:type="dxa"/>
              <w:end w:w="120" w:type="dxa"/>
            </w:tcMar>
          </w:tcPr>
          <w:p>
            <w:pPr>
              <w:spacing w:before="0" w:after="0" w:line="240" w:lineRule="auto"/>
            </w:pPr>
            <w:r>
              <w:rPr>
                <w:rFonts w:ascii="Times New Roman" w:hAnsi="Times New Roman"/>
                <w:sz w:val="17"/>
              </w:rPr>
              <w:t>Channel attribution and coverage-maximized allocation for heterogeneous structural pruning.</w:t>
            </w:r>
          </w:p>
        </w:tc>
        <w:tc>
          <w:tcPr>
            <w:tcW w:type="dxa" w:w="3360"/>
            <w:vAlign w:val="center"/>
            <w:tcMar>
              <w:top w:w="80" w:type="dxa"/>
              <w:start w:w="120" w:type="dxa"/>
              <w:bottom w:w="80" w:type="dxa"/>
              <w:end w:w="120" w:type="dxa"/>
            </w:tcMar>
          </w:tcPr>
          <w:p>
            <w:pPr>
              <w:spacing w:before="0" w:after="0" w:line="240" w:lineRule="auto"/>
            </w:pPr>
            <w:r>
              <w:rPr>
                <w:rFonts w:ascii="Times New Roman" w:hAnsi="Times New Roman"/>
                <w:sz w:val="17"/>
              </w:rPr>
              <w:t>Stronger allocation and compression baseline; our present advantage is the formal local bound, not demonstrated high-ratio state of the art.</w:t>
            </w:r>
          </w:p>
        </w:tc>
      </w:tr>
    </w:tbl>
    <w:p/>
    <w:p>
      <w:r>
        <w:t>Conservative novelty statement. The paper should claim that it studies a practical, no-finetuning, physically structured pruning recipe for RMSNorm-SwiGLU and MoE expert channels. It should avoid claiming broad state-of-the-art compression until downstream tasks, runtime measurements, and more external baselines are complete.</w:t>
      </w:r>
    </w:p>
    <w:p>
      <w:r>
        <w:t>Version 3 positioning. Fine-grained MoE pruning is now clearly occupied by atomic-expert, micro-expert, and channel-attribution methods such as HEAPr, CAMERA, and attribution-guided structural compression [13–15]. Consequently, Version 3 does not claim novelty for expert-channel pruning itself. Its narrower claim is a calibration-free, architecture-derived upper bound that follows exactly from the RMSNorm feasible set, plus evidence that this bound improves within-layer channel ranking when allocation is held fixed. The current pruning ratios are substantially below the aggressive ratios reported by several recent competitors, so competitiveness must be established through matched experiments rather than cross-paper headline comparisons.</w:t>
      </w:r>
    </w:p>
    <w:p>
      <w:pPr>
        <w:pStyle w:val="Heading1"/>
      </w:pPr>
      <w:r>
        <w:t>3. Method</w:t>
      </w:r>
    </w:p>
    <w:p>
      <w:pPr>
        <w:pStyle w:val="Heading2"/>
      </w:pPr>
      <w:r>
        <w:t>3.1 SwiGLU MLP as a Sum of Channel Contributions</w:t>
      </w:r>
    </w:p>
    <w:p>
      <w:r>
        <w:t>For a block input r in R^{d_model}, a SwiGLU MLP can be written as a sum over intermediate channels:</w:t>
      </w:r>
    </w:p>
    <w:p>
      <w:r>
        <w:t>a_i(r) = SiLU(r · g_i) (r · u_i),        m(r) = sum_i a_i(r) d_i</w:t>
      </w:r>
    </w:p>
    <w:p>
      <w:r>
        <w:t>Here g_i and u_i are the i-th rows of gate_proj and up_proj, and d_i is the i-th column of down_proj. Removing channel i deletes g_i, u_i, and d_i together. Over calibration hidden states R:</w:t>
      </w:r>
    </w:p>
    <w:p>
      <w:r>
        <w:t>A = SiLU(R G^T) ⊙ (R U^T),        Y = A D^T</w:t>
      </w:r>
    </w:p>
    <w:p>
      <w:pPr>
        <w:pStyle w:val="Heading2"/>
      </w:pPr>
      <w:r>
        <w:t>3.2 RMSNorm-Bound Channel Score</w:t>
      </w:r>
    </w:p>
    <w:p>
      <w:r>
        <w:t>The selector uses a static contribution proxy motivated by RMSNorm-bounded inputs. If ||r|| is controlled by RMSNorm, then a channel with small gate norm, up norm, alignment, and down-projection norm is likely to have small worst-case contribution. The simple score is proportional to</w:t>
      </w:r>
    </w:p>
    <w:p>
      <w:r>
        <w:t>S_i ∝ R_norm^2 ||g_i|| ||u_i|| ||d_i||</w:t>
      </w:r>
    </w:p>
    <w:p>
      <w:r>
        <w:t>The implemented angle-aware version replaces ||g_i|| ||u_i|| with an angle-sensitive term such as (||g_i|| ||u_i|| + |g_i · u_i|)/2. This is a proxy score, not a formal certificate; its value is in giving a cheap, architecture-aware ranking that worked better than early alpha-budget experiments.</w:t>
      </w:r>
    </w:p>
    <w:p>
      <w:pPr>
        <w:pStyle w:val="Heading3"/>
      </w:pPr>
      <w:r>
        <w:t>3.2.1 Intuition: From an RMSNorm Sphere to Its Actual Ellipsoid</w:t>
      </w:r>
    </w:p>
    <w:p>
      <w:r>
        <w:t>The original argument begins with a safe Euclidean radius. Write the RMSNorm output as r = Γq, where Γ = diag(γ) is the learned coordinatewise scale and q = x / sqrt(||x||²/d + ε). Then ||q|| &lt; sqrt(d). Replacing Γ by its largest diagonal magnitude gives ||r|| ≤ sqrt(d)||γ||∞. This encloses every feasible normalized input in a sphere. It is mathematically safe, and the resulting factor is constant within a layer, but it imagines that all coordinates can simultaneously receive the largest RMSNorm amplification.</w:t>
      </w:r>
    </w:p>
    <w:p>
      <w:pPr>
        <w:spacing w:before="80" w:after="80"/>
        <w:jc w:val="center"/>
      </w:pPr>
      <w:r>
        <w:rPr>
          <w:rFonts w:ascii="Cambria Math" w:hAnsi="Cambria Math"/>
          <w:sz w:val="21"/>
        </w:rPr>
        <w:t>Bᵢˢᵖʰ = [d ||γ||∞² / 2] (||gᵢ|| ||uᵢ|| + |gᵢᵀuᵢ|) ||dᵢ||</w:t>
      </w:r>
    </w:p>
    <w:p>
      <w:r>
        <w:t>Geometrically, RMSNorm does not produce a sphere after the learned γ scaling. It produces the image of a radius-sqrt(d) ball under Γ: an axis-aligned ellipsoid. Coordinates with small |γ_j| cannot reach the radius permitted by ||γ||∞, whereas coordinates with large |γ_j| can. The ellipsoid therefore contains the same feasible inputs without paying the largest amplification in every direction.</w:t>
      </w:r>
    </w:p>
    <w:p>
      <w:pPr>
        <w:pStyle w:val="Heading3"/>
      </w:pPr>
      <w:r>
        <w:t>3.2.2 Exact Ellipsoid Bound</w:t>
      </w:r>
    </w:p>
    <w:p>
      <w:r>
        <w:t>For channel i, define the RMSNorm-scaled gate and up vectors aᵢ = Γgᵢ and bᵢ = Γuᵢ. Because |SiLU(t)| ≤ |t|, the norm of the deleted channel contribution is bounded by |qᵀaᵢ| |qᵀbᵢ| ||dᵢ||. The remaining maximization is exactly solvable over ||q|| ≤ sqrt(d):</w:t>
      </w:r>
    </w:p>
    <w:p>
      <w:pPr>
        <w:spacing w:before="80" w:after="80"/>
        <w:jc w:val="center"/>
      </w:pPr>
      <w:r>
        <w:rPr>
          <w:rFonts w:ascii="Cambria Math" w:hAnsi="Cambria Math"/>
          <w:sz w:val="21"/>
        </w:rPr>
        <w:t>max ||q||≤√d |qᵀaᵢ| |qᵀbᵢ| = d/2 (||aᵢ|| ||bᵢ|| + |aᵢᵀbᵢ|)</w:t>
      </w:r>
    </w:p>
    <w:p>
      <w:pPr>
        <w:spacing w:before="80" w:after="80"/>
        <w:jc w:val="center"/>
      </w:pPr>
      <w:r>
        <w:rPr>
          <w:rFonts w:ascii="Cambria Math" w:hAnsi="Cambria Math"/>
          <w:sz w:val="21"/>
        </w:rPr>
        <w:t>Bᵢᵉˡˡ = d/2 (||Γgᵢ|| ||Γuᵢ|| + |(Γgᵢ)ᵀ(Γuᵢ)|) ||dᵢ||</w:t>
      </w:r>
    </w:p>
    <w:p>
      <w:r>
        <w:t>The angle term is not an ad hoc correction. The product (qᵀa)(qᵀb) is the quadratic form qᵀ(abᵀ + baᵀ)q/2. The two nonzero eigenvalues of this symmetric matrix are (aᵀb ± ||a||||b||)/2. Maximizing the absolute Rayleigh quotient over a radius-sqrt(d) ball gives the expression above. The ellipsoid bound is therefore exact for the bilinear relaxation produced by |SiLU(t)| ≤ |t|. It is still conservative because the SiLU envelope and independent channel-wise triangle bounds do not exploit the actual routed-token distribution or cancellation between removed channels.</w:t>
      </w:r>
    </w:p>
    <w:p>
      <w:pPr>
        <w:spacing w:before="100" w:after="100"/>
        <w:ind w:left="216" w:right="216"/>
        <w:shd w:fill="EAF2F8"/>
      </w:pPr>
      <w:r>
        <w:rPr>
          <w:b/>
          <w:color w:val="17365D"/>
        </w:rPr>
        <w:t xml:space="preserve">Mathematical intuition. </w:t>
      </w:r>
      <w:r>
        <w:t>The spherical score asks what would happen if every direction enjoyed the largest RMSNorm scale. The ellipsoid score first stretches each gate/up vector by its actual coordinatewise γ and then asks for the worst direction. A channel that relies on strongly suppressed coordinates becomes provably less capable of producing a large output.</w:t>
      </w:r>
    </w:p>
    <w:p>
      <w:pPr>
        <w:pStyle w:val="Heading3"/>
      </w:pPr>
      <w:r>
        <w:t>3.2.3 Local Ranking Is Not Global Layer Allocation</w:t>
      </w:r>
    </w:p>
    <w:p>
      <w:r>
        <w:t>A local channel bound answers: within this expert and layer, how large could the direct deleted contribution be? It does not answer how a perturbation at one layer is amplified by all downstream layers. Raw ellipsoid magnitudes also inherit layer-specific γ and weight scales. The exploratory 2×2 experiment showed that ellipsoid ranking improved channel choice inside a fixed layer budget, while ellipsoid-based global allocation concentrated pruning in harmful layers. Version 3 therefore separates two variables: an allocation source chooses the aligned count k_l removed from each layer, and a ranking source chooses the k_l channel identities within that layer. This separation is a methodological correction, not a weakening of the theorem.</w:t>
      </w:r>
    </w:p>
    <w:p>
      <w:pPr>
        <w:pStyle w:val="Heading3"/>
      </w:pPr>
      <w:r>
        <w:t>3.2.4 MoE Aggregation and Scope of the Certificate</w:t>
      </w:r>
    </w:p>
    <w:p>
      <w:r>
        <w:t>For expert e, layer l, and channel i, B_{l,e,i}^{ell} is an expert-specific bound. The current packed same-channel implementation aggregates expert scores using the 95th percentile before selecting a shared channel ID. This p95 statistic is a robust heuristic and is not a worst-case certificate across all experts. Replacing p95 by max_e B_{l,e,i}^{ell} would provide the conservative shared-channel score needed for an all-expert statement. For a set P of removed channels in one expert, the triangle inequality gives ||ΔE(r)|| ≤ Σ_{i∈P} B_i^{ell}. If router weights are nonnegative and normalized, the routed mixture error is at most their weighted sum of expert error bounds. These are valid but potentially loose group guarantees.</w:t>
      </w:r>
    </w:p>
    <w:p>
      <w:pPr>
        <w:pStyle w:val="Heading3"/>
      </w:pPr>
      <w:r>
        <w:t>3.2.5 Extension Beyond SwiGLU: Capped GLUs and SiTU-GLU</w:t>
      </w:r>
    </w:p>
    <w:p>
      <w:r>
        <w:t>The ellipsoid geometry is not specific to SiLU. It applies whenever scalar envelopes are available for the two multiplicative branches. Kimi K3, for example, uses SiTU-GLU with gate branch β₁ tanh(x/β₁)σ(x) and up branch β₂ tanh(x/β₂), with β₁ = 4 and β₂ = 25 [19]. Since each branch is both linearly bounded near the origin and globally capped, a channel admits the valid composite bound</w:t>
      </w:r>
    </w:p>
    <w:p>
      <w:pPr>
        <w:spacing w:before="80" w:after="80"/>
        <w:jc w:val="center"/>
      </w:pPr>
      <w:r>
        <w:rPr>
          <w:rFonts w:ascii="Cambria Math" w:hAnsi="Cambria Math"/>
          <w:sz w:val="21"/>
        </w:rPr>
        <w:t>Bᵢˢⁱᵀᵁ = ||dᵢ|| min{β₁β₂, β₁√d||Γuᵢ||, β₂√d||Γgᵢ||, d/2(||Γgᵢ||||Γuᵢ|| + |(Γgᵢ)ᵀ(Γuᵢ)|)}</w:t>
      </w:r>
    </w:p>
    <w:p>
      <w:r>
        <w:t>This bound can be tighter than the SwiGLU form because saturation supplies the input-independent cap β₁β₂ = 100. Kimi K3 already uses partial expert activation—16 of 896 routed experts per token—to reduce active computation, but routing sparsity does not reduce the stored width of every expert. Structured channel pruning remains complementary: it reduces parameters and per-active-expert matrix dimensions. This extension is theoretical in Version 3 and has not been evaluated on the full Kimi K3 checkpoint.</w:t>
      </w:r>
    </w:p>
    <w:p>
      <w:pPr>
        <w:pStyle w:val="Heading2"/>
      </w:pPr>
      <w:r>
        <w:t>3.3 Global Target Pruning and Physical Deletion</w:t>
      </w:r>
    </w:p>
    <w:p>
      <w:r>
        <w:t>Rather than pruning by an alpha threshold that can correspond to different percentages across model sizes, the current pipeline chooses a target percentage of total MLP or expert intermediate channels. Channels are ranked globally, then selected subject to per-layer caps and channel-alignment constraints. Physical deletion removes gate/up rows and down-projection columns, thereby changing matrix shapes and parameter counts.</w:t>
      </w:r>
    </w:p>
    <w:p>
      <w:pPr>
        <w:pStyle w:val="Heading2"/>
      </w:pPr>
      <w:r>
        <w:t>3.4 Residual Reconstruction Variants</w:t>
      </w:r>
    </w:p>
    <w:p>
      <w:r>
        <w:t>Let K denote kept channels and P pruned channels. The original output is Y = A_K D_K^T + A_P D_P^T. Pure deletion uses only A_K D_K^T and loses the residual A_P D_P^T. Residual reconstruction tries to express this lost contribution using the kept activations.</w:t>
      </w:r>
    </w:p>
    <w:p>
      <w:pPr>
        <w:pStyle w:val="Heading3"/>
      </w:pPr>
      <w:r>
        <w:t>Full least-squares residual</w:t>
      </w:r>
    </w:p>
    <w:p>
      <w:r>
        <w:t>The full residual solves A_K Δ ≈ A_P D_P^T and updates D_K ← D_K + Δ^T. This worked well in dense non-MoE models at 6-8% pruning, where calibration activations are abundant.</w:t>
      </w:r>
    </w:p>
    <w:p>
      <w:pPr>
        <w:pStyle w:val="Heading3"/>
      </w:pPr>
      <w:r>
        <w:t>Ridge residual</w:t>
      </w:r>
    </w:p>
    <w:p>
      <w:r>
        <w:t>The ridge residual solves (A_K^T A_K + λI) Δ = A_K^T (A_P D_P^T). It is intended to stabilize low-sample or ill-conditioned reconstruction. In the selected MoE full benchmark, λ = 1e-3 was retained from the quick sweep.</w:t>
      </w:r>
    </w:p>
    <w:p>
      <w:pPr>
        <w:pStyle w:val="Heading3"/>
      </w:pPr>
      <w:r>
        <w:t>Only-if-improves gate</w:t>
      </w:r>
    </w:p>
    <w:p>
      <w:r>
        <w:t>The only-if-improves variants compute local calibration reconstruction error before and after a candidate residual update and reject the update if it does not improve local error. In current quick sweeps, rejection counts were zero, so this gate needs further inspection before being treated as a distinct improvement.</w:t>
      </w:r>
    </w:p>
    <w:p>
      <w:pPr>
        <w:pStyle w:val="Heading3"/>
      </w:pPr>
      <w:r>
        <w:t>Nearest-channel residual merge</w:t>
      </w:r>
    </w:p>
    <w:p>
      <w:r>
        <w:t>The nearest-channel merge is a lower-variance alternative. For each pruned activation channel a_p, it finds a similar kept channel a_k and transfers the pruned down-column contribution to the kept channel using a scalar α, for example α = (a_k^T a_p)/(a_k^T a_k + ε). The update is D_k ← D_k + α D_p. This method is less expressive than full residual but proved more robust in MoE because each expert has sparse routed-token coverage.</w:t>
      </w:r>
    </w:p>
    <w:p>
      <w:pPr>
        <w:pStyle w:val="Caption"/>
      </w:pPr>
      <w:r>
        <w:rPr>
          <w:b/>
        </w:rPr>
        <w:t>Table 3. Dense and MoE pruning pipeline.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6"/>
              </w:rPr>
              <w:t>Step</w:t>
            </w:r>
          </w:p>
        </w:tc>
        <w:tc>
          <w:tcPr>
            <w:tcW w:type="dxa" w:w="3360"/>
            <w:vAlign w:val="center"/>
            <w:shd w:fill="D9EAF7"/>
          </w:tcPr>
          <w:p>
            <w:r/>
            <w:r>
              <w:rPr>
                <w:b/>
                <w:sz w:val="16"/>
              </w:rPr>
              <w:t>Dense SwiGLU</w:t>
            </w:r>
          </w:p>
        </w:tc>
        <w:tc>
          <w:tcPr>
            <w:tcW w:type="dxa" w:w="3360"/>
            <w:vAlign w:val="center"/>
            <w:shd w:fill="D9EAF7"/>
          </w:tcPr>
          <w:p>
            <w:r/>
            <w:r>
              <w:rPr>
                <w:b/>
                <w:sz w:val="16"/>
              </w:rPr>
              <w:t>MoE expert-channel extension</w:t>
            </w:r>
          </w:p>
        </w:tc>
      </w:tr>
      <w:tr>
        <w:tc>
          <w:tcPr>
            <w:tcW w:type="dxa" w:w="3360"/>
            <w:vAlign w:val="center"/>
          </w:tcPr>
          <w:p>
            <w:r/>
            <w:r>
              <w:rPr>
                <w:b w:val="0"/>
                <w:sz w:val="16"/>
              </w:rPr>
              <w:t>1. Calibration</w:t>
            </w:r>
          </w:p>
        </w:tc>
        <w:tc>
          <w:tcPr>
            <w:tcW w:type="dxa" w:w="3360"/>
            <w:vAlign w:val="center"/>
          </w:tcPr>
          <w:p>
            <w:r/>
            <w:r>
              <w:rPr>
                <w:b w:val="0"/>
                <w:sz w:val="16"/>
              </w:rPr>
              <w:t>Collect hidden states entering each MLP.</w:t>
            </w:r>
          </w:p>
        </w:tc>
        <w:tc>
          <w:tcPr>
            <w:tcW w:type="dxa" w:w="3360"/>
            <w:vAlign w:val="center"/>
          </w:tcPr>
          <w:p>
            <w:r/>
            <w:r>
              <w:rPr>
                <w:b w:val="0"/>
                <w:sz w:val="16"/>
              </w:rPr>
              <w:t>Route calibration tokens; collect expert-specific activations and token counts.</w:t>
            </w:r>
          </w:p>
        </w:tc>
      </w:tr>
      <w:tr>
        <w:tc>
          <w:tcPr>
            <w:tcW w:type="dxa" w:w="3360"/>
            <w:vAlign w:val="center"/>
          </w:tcPr>
          <w:p>
            <w:r/>
            <w:r>
              <w:rPr>
                <w:b w:val="0"/>
                <w:sz w:val="16"/>
              </w:rPr>
              <w:t>2. Scoring</w:t>
            </w:r>
          </w:p>
        </w:tc>
        <w:tc>
          <w:tcPr>
            <w:tcW w:type="dxa" w:w="3360"/>
            <w:vAlign w:val="center"/>
          </w:tcPr>
          <w:p>
            <w:r/>
            <w:r>
              <w:rPr>
                <w:b w:val="0"/>
                <w:sz w:val="16"/>
              </w:rPr>
              <w:t>Score each gate/up/down channel triple by RMSNorm-bound proxy.</w:t>
            </w:r>
          </w:p>
        </w:tc>
        <w:tc>
          <w:tcPr>
            <w:tcW w:type="dxa" w:w="3360"/>
            <w:vAlign w:val="center"/>
          </w:tcPr>
          <w:p>
            <w:r/>
            <w:r>
              <w:rPr>
                <w:b w:val="0"/>
                <w:sz w:val="16"/>
              </w:rPr>
              <w:t>Aggregate expert-channel scores using p95 and same-channel all-expert selection.</w:t>
            </w:r>
          </w:p>
        </w:tc>
      </w:tr>
      <w:tr>
        <w:tc>
          <w:tcPr>
            <w:tcW w:type="dxa" w:w="3360"/>
            <w:vAlign w:val="center"/>
          </w:tcPr>
          <w:p>
            <w:r/>
            <w:r>
              <w:rPr>
                <w:b w:val="0"/>
                <w:sz w:val="16"/>
              </w:rPr>
              <w:t>3. Selection</w:t>
            </w:r>
          </w:p>
        </w:tc>
        <w:tc>
          <w:tcPr>
            <w:tcW w:type="dxa" w:w="3360"/>
            <w:vAlign w:val="center"/>
          </w:tcPr>
          <w:p>
            <w:r/>
            <w:r>
              <w:rPr>
                <w:b w:val="0"/>
                <w:sz w:val="16"/>
              </w:rPr>
              <w:t>Globally select target percentage subject to layer cap and alignment.</w:t>
            </w:r>
          </w:p>
        </w:tc>
        <w:tc>
          <w:tcPr>
            <w:tcW w:type="dxa" w:w="3360"/>
            <w:vAlign w:val="center"/>
          </w:tcPr>
          <w:p>
            <w:r/>
            <w:r>
              <w:rPr>
                <w:b w:val="0"/>
                <w:sz w:val="16"/>
              </w:rPr>
              <w:t>Select layer-channel pairs; pruning a layer-channel removes that channel from all experts in that layer.</w:t>
            </w:r>
          </w:p>
        </w:tc>
      </w:tr>
      <w:tr>
        <w:tc>
          <w:tcPr>
            <w:tcW w:type="dxa" w:w="3360"/>
            <w:vAlign w:val="center"/>
          </w:tcPr>
          <w:p>
            <w:r/>
            <w:r>
              <w:rPr>
                <w:b w:val="0"/>
                <w:sz w:val="16"/>
              </w:rPr>
              <w:t>4. Reconstruction</w:t>
            </w:r>
          </w:p>
        </w:tc>
        <w:tc>
          <w:tcPr>
            <w:tcW w:type="dxa" w:w="3360"/>
            <w:vAlign w:val="center"/>
          </w:tcPr>
          <w:p>
            <w:r/>
            <w:r>
              <w:rPr>
                <w:b w:val="0"/>
                <w:sz w:val="16"/>
              </w:rPr>
              <w:t>Apply pure deletion or residual repair to kept down projection.</w:t>
            </w:r>
          </w:p>
        </w:tc>
        <w:tc>
          <w:tcPr>
            <w:tcW w:type="dxa" w:w="3360"/>
            <w:vAlign w:val="center"/>
          </w:tcPr>
          <w:p>
            <w:r/>
            <w:r>
              <w:rPr>
                <w:b w:val="0"/>
                <w:sz w:val="16"/>
              </w:rPr>
              <w:t>Apply residual only for experts with sufficient routed calibration tokens; report coverage.</w:t>
            </w:r>
          </w:p>
        </w:tc>
      </w:tr>
      <w:tr>
        <w:tc>
          <w:tcPr>
            <w:tcW w:type="dxa" w:w="3360"/>
            <w:vAlign w:val="center"/>
          </w:tcPr>
          <w:p>
            <w:r/>
            <w:r>
              <w:rPr>
                <w:b w:val="0"/>
                <w:sz w:val="16"/>
              </w:rPr>
              <w:t>5. Physical pruning</w:t>
            </w:r>
          </w:p>
        </w:tc>
        <w:tc>
          <w:tcPr>
            <w:tcW w:type="dxa" w:w="3360"/>
            <w:vAlign w:val="center"/>
          </w:tcPr>
          <w:p>
            <w:r/>
            <w:r>
              <w:rPr>
                <w:b w:val="0"/>
                <w:sz w:val="16"/>
              </w:rPr>
              <w:t>Delete gate/up rows and down columns.</w:t>
            </w:r>
          </w:p>
        </w:tc>
        <w:tc>
          <w:tcPr>
            <w:tcW w:type="dxa" w:w="3360"/>
            <w:vAlign w:val="center"/>
          </w:tcPr>
          <w:p>
            <w:r/>
            <w:r>
              <w:rPr>
                <w:b w:val="0"/>
                <w:sz w:val="16"/>
              </w:rPr>
              <w:t>Delete gate/up rows and down columns inside every expert of selected MoE layers.</w:t>
            </w:r>
          </w:p>
        </w:tc>
      </w:tr>
      <w:tr>
        <w:tc>
          <w:tcPr>
            <w:tcW w:type="dxa" w:w="3360"/>
            <w:vAlign w:val="center"/>
          </w:tcPr>
          <w:p>
            <w:r/>
            <w:r>
              <w:rPr>
                <w:b w:val="0"/>
                <w:sz w:val="16"/>
              </w:rPr>
              <w:t>6. Validation</w:t>
            </w:r>
          </w:p>
        </w:tc>
        <w:tc>
          <w:tcPr>
            <w:tcW w:type="dxa" w:w="3360"/>
            <w:vAlign w:val="center"/>
          </w:tcPr>
          <w:p>
            <w:r/>
            <w:r>
              <w:rPr>
                <w:b w:val="0"/>
                <w:sz w:val="16"/>
              </w:rPr>
              <w:t>Check shape changes, PPL, and optional speed.</w:t>
            </w:r>
          </w:p>
        </w:tc>
        <w:tc>
          <w:tcPr>
            <w:tcW w:type="dxa" w:w="3360"/>
            <w:vAlign w:val="center"/>
          </w:tcPr>
          <w:p>
            <w:r/>
            <w:r>
              <w:rPr>
                <w:b w:val="0"/>
                <w:sz w:val="16"/>
              </w:rPr>
              <w:t>Check shape changes, forward pass, PPL, expert parameter reduction, and active expert FLOPs.</w:t>
            </w:r>
          </w:p>
        </w:tc>
      </w:tr>
    </w:tbl>
    <w:p/>
    <w:p>
      <w:pPr>
        <w:pStyle w:val="Heading2"/>
      </w:pPr>
      <w:r>
        <w:t>3.5 Router-Aware MoE Expert-Channel Pruning</w:t>
      </w:r>
    </w:p>
    <w:p>
      <w:r>
        <w:t>The MoE extension targets Qwen3-30B-A3B, an open mixture-of-experts model with 48 layers, 128 experts, and 8 activated experts per token. The implementation discovered that the tested Hugging Face layout is UNPACKED: each layer has a ModuleList of experts, and each expert contains gate_proj, up_proj, and down_proj weights of shapes [768,2048], [768,2048], and [2048,768], respectively.</w:t>
      </w:r>
    </w:p>
    <w:p>
      <w:r>
        <w:t>To preserve tensor alignment and simplify comparison, the selected MoE mode prunes the same intermediate channel from all experts in a layer. A selection unit is therefore a (layer, channel) pair. Removing one such pair deletes that channel in all 128 experts of the layer, which corresponds to 128 expert-neurons. This is why actual pruning percentages can overshoot target percentages slightly after alignment.</w:t>
      </w:r>
    </w:p>
    <w:p>
      <w:r>
        <w:t>The router is not pruned. Calibration tokens are routed through the model, and residual repair is attempted only for experts with enough routed tokens and stable local reconstruction. The benchmark reports residual_applied_experts and residual_coverage_pct. In the selected full benchmark, residual coverage is only about 6.2-6.4%, which explains why residual effects are smaller than in dense non-MoE models.</w:t>
      </w:r>
    </w:p>
    <w:p>
      <w:pPr>
        <w:pStyle w:val="Heading1"/>
      </w:pPr>
      <w:r>
        <w:t>4. Implementation and Reproducibility Achievements</w:t>
      </w:r>
    </w:p>
    <w:p>
      <w:r>
        <w:t>A substantial part of the project was turning a research prototype into a reproducible benchmark workflow. Several failure modes were found and fixed: generated YAML configs initially used the wrong key names, the summarizer mixed old CSVs and per-layer CSVs, result rows crashed when actual_method was uninitialized, and early residual runs silently fell back to pure deletion for the unpacked expert layout. The current scripts now validate configs, use timestamped run directories, copy main CSV/JSON files rather than only per-layer files, and report requested_method, actual_method, residual_variant, residual_fallback_used, and residual coverage.</w:t>
      </w:r>
    </w:p>
    <w:p>
      <w:r>
        <w:t>Pruning-plan save/load was added to ensure fair method comparison. For a fixed dataset, target percentage, selector, calibration size, and alignment, the first run saves selected layer/channel indices, and all residual variants load the same plan. This prevents the method comparison from being confounded by different pruned channels.</w:t>
      </w:r>
    </w:p>
    <w:p>
      <w:r>
        <w:t>The selected full benchmark script was derived from the already-debugged quick residual sweep script rather than rewritten from scratch. This avoided reintroducing previously fixed bugs in failure detection, run manifests, and current-run-only summarization.</w:t>
      </w:r>
    </w:p>
    <w:p>
      <w:r>
        <w:t>Version 3 adds an explicit allocation/ranking experiment interface. Every hybrid run is validated against the allocation source's per-layer count vector, starts from a freshly loaded unpruned checkpoint, preserves the requested alignment and layer caps, and records allocation source, ranking source, actual removed layer-channels, removed expert-neurons, token counts, and result paths. This prevents the ranking comparison from being confounded by cumulative pruning or different layer budgets.</w:t>
      </w:r>
    </w:p>
    <w:p>
      <w:r>
        <w:t>For the target-6 primary experiment, per-document negative log-likelihood values were retained and paired bootstrap comparisons used 10,000 resamples over the same 1,024 evaluation documents. This is preferable to treating deterministic reruns as independent samples. The bound audit separately sampled 4,276 experts, 25,376 routed inputs, and 3,283,968 expert-channel contributions.</w:t>
      </w:r>
    </w:p>
    <w:p>
      <w:pPr>
        <w:pStyle w:val="Caption"/>
      </w:pPr>
      <w:r>
        <w:rPr>
          <w:b/>
        </w:rPr>
        <w:t>Table 4. Reproducibility infrastructure added during the project.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6"/>
              </w:rPr>
              <w:t>Component</w:t>
            </w:r>
          </w:p>
        </w:tc>
        <w:tc>
          <w:tcPr>
            <w:tcW w:type="dxa" w:w="5040"/>
            <w:vAlign w:val="center"/>
            <w:shd w:fill="D9EAF7"/>
          </w:tcPr>
          <w:p>
            <w:r/>
            <w:r>
              <w:rPr>
                <w:b/>
                <w:sz w:val="16"/>
              </w:rPr>
              <w:t>Current behavior</w:t>
            </w:r>
          </w:p>
        </w:tc>
      </w:tr>
      <w:tr>
        <w:tc>
          <w:tcPr>
            <w:tcW w:type="dxa" w:w="5040"/>
            <w:vAlign w:val="center"/>
          </w:tcPr>
          <w:p>
            <w:r/>
            <w:r>
              <w:rPr>
                <w:b w:val="0"/>
                <w:sz w:val="16"/>
              </w:rPr>
              <w:t>Environment check</w:t>
            </w:r>
          </w:p>
        </w:tc>
        <w:tc>
          <w:tcPr>
            <w:tcW w:type="dxa" w:w="5040"/>
            <w:vAlign w:val="center"/>
          </w:tcPr>
          <w:p>
            <w:r/>
            <w:r>
              <w:rPr>
                <w:b w:val="0"/>
                <w:sz w:val="16"/>
              </w:rPr>
              <w:t>Verifies Python, PyTorch/CUDA, Transformers, dataset packages, Qwen3 config, and model layout before benchmark.</w:t>
            </w:r>
          </w:p>
        </w:tc>
      </w:tr>
      <w:tr>
        <w:tc>
          <w:tcPr>
            <w:tcW w:type="dxa" w:w="5040"/>
            <w:vAlign w:val="center"/>
          </w:tcPr>
          <w:p>
            <w:r/>
            <w:r>
              <w:rPr>
                <w:b w:val="0"/>
                <w:sz w:val="16"/>
              </w:rPr>
              <w:t>Config generation</w:t>
            </w:r>
          </w:p>
        </w:tc>
        <w:tc>
          <w:tcPr>
            <w:tcW w:type="dxa" w:w="5040"/>
            <w:vAlign w:val="center"/>
          </w:tcPr>
          <w:p>
            <w:r/>
            <w:r>
              <w:rPr>
                <w:b w:val="0"/>
                <w:sz w:val="16"/>
              </w:rPr>
              <w:t>Creates method/target/dataset YAML files matching run_experiment.py schema.</w:t>
            </w:r>
          </w:p>
        </w:tc>
      </w:tr>
      <w:tr>
        <w:tc>
          <w:tcPr>
            <w:tcW w:type="dxa" w:w="5040"/>
            <w:vAlign w:val="center"/>
          </w:tcPr>
          <w:p>
            <w:r/>
            <w:r>
              <w:rPr>
                <w:b w:val="0"/>
                <w:sz w:val="16"/>
              </w:rPr>
              <w:t>Pruning-plan control</w:t>
            </w:r>
          </w:p>
        </w:tc>
        <w:tc>
          <w:tcPr>
            <w:tcW w:type="dxa" w:w="5040"/>
            <w:vAlign w:val="center"/>
          </w:tcPr>
          <w:p>
            <w:r/>
            <w:r>
              <w:rPr>
                <w:b w:val="0"/>
                <w:sz w:val="16"/>
              </w:rPr>
              <w:t>Saves and loads per-target plans so all methods prune identical channels.</w:t>
            </w:r>
          </w:p>
        </w:tc>
      </w:tr>
      <w:tr>
        <w:tc>
          <w:tcPr>
            <w:tcW w:type="dxa" w:w="5040"/>
            <w:vAlign w:val="center"/>
          </w:tcPr>
          <w:p>
            <w:r/>
            <w:r>
              <w:rPr>
                <w:b w:val="0"/>
                <w:sz w:val="16"/>
              </w:rPr>
              <w:t>Failure detection</w:t>
            </w:r>
          </w:p>
        </w:tc>
        <w:tc>
          <w:tcPr>
            <w:tcW w:type="dxa" w:w="5040"/>
            <w:vAlign w:val="center"/>
          </w:tcPr>
          <w:p>
            <w:r/>
            <w:r>
              <w:rPr>
                <w:b w:val="0"/>
                <w:sz w:val="16"/>
              </w:rPr>
              <w:t>Checks process exit, ERROR lines, missing main CSV/JSON, and per-layer-only outputs.</w:t>
            </w:r>
          </w:p>
        </w:tc>
      </w:tr>
      <w:tr>
        <w:tc>
          <w:tcPr>
            <w:tcW w:type="dxa" w:w="5040"/>
            <w:vAlign w:val="center"/>
          </w:tcPr>
          <w:p>
            <w:r/>
            <w:r>
              <w:rPr>
                <w:b w:val="0"/>
                <w:sz w:val="16"/>
              </w:rPr>
              <w:t>Summarization</w:t>
            </w:r>
          </w:p>
        </w:tc>
        <w:tc>
          <w:tcPr>
            <w:tcW w:type="dxa" w:w="5040"/>
            <w:vAlign w:val="center"/>
          </w:tcPr>
          <w:p>
            <w:r/>
            <w:r>
              <w:rPr>
                <w:b w:val="0"/>
                <w:sz w:val="16"/>
              </w:rPr>
              <w:t>Reads only current run directory and reports residual-aware fields.</w:t>
            </w:r>
          </w:p>
        </w:tc>
      </w:tr>
      <w:tr>
        <w:tc>
          <w:tcPr>
            <w:tcW w:type="dxa" w:w="5040"/>
            <w:vAlign w:val="center"/>
          </w:tcPr>
          <w:p>
            <w:r/>
            <w:r>
              <w:rPr>
                <w:b w:val="0"/>
                <w:sz w:val="16"/>
              </w:rPr>
              <w:t>Selected full benchmark</w:t>
            </w:r>
          </w:p>
        </w:tc>
        <w:tc>
          <w:tcPr>
            <w:tcW w:type="dxa" w:w="5040"/>
            <w:vAlign w:val="center"/>
          </w:tcPr>
          <w:p>
            <w:r/>
            <w:r>
              <w:rPr>
                <w:b w:val="0"/>
                <w:sz w:val="16"/>
              </w:rPr>
              <w:t>Runs 24 configs: 4 targets × 3 methods × 2 datasets at n_eval=512.</w:t>
            </w:r>
          </w:p>
        </w:tc>
      </w:tr>
    </w:tbl>
    <w:p/>
    <w:p>
      <w:pPr>
        <w:pStyle w:val="Heading1"/>
      </w:pPr>
      <w:r>
        <w:t>5. Experimental Setup</w:t>
      </w:r>
    </w:p>
    <w:p>
      <w:pPr>
        <w:pStyle w:val="Caption"/>
      </w:pPr>
      <w:r>
        <w:rPr>
          <w:b/>
        </w:rPr>
        <w:t>Table 5. Experimental setup summary.</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6"/>
              </w:rPr>
              <w:t>Category</w:t>
            </w:r>
          </w:p>
        </w:tc>
        <w:tc>
          <w:tcPr>
            <w:tcW w:type="dxa" w:w="3360"/>
            <w:vAlign w:val="center"/>
            <w:shd w:fill="D9EAF7"/>
          </w:tcPr>
          <w:p>
            <w:r/>
            <w:r>
              <w:rPr>
                <w:b/>
                <w:sz w:val="16"/>
              </w:rPr>
              <w:t>Dense Qwen2.5 setup</w:t>
            </w:r>
          </w:p>
        </w:tc>
        <w:tc>
          <w:tcPr>
            <w:tcW w:type="dxa" w:w="3360"/>
            <w:vAlign w:val="center"/>
            <w:shd w:fill="D9EAF7"/>
          </w:tcPr>
          <w:p>
            <w:r/>
            <w:r>
              <w:rPr>
                <w:b/>
                <w:sz w:val="16"/>
              </w:rPr>
              <w:t>MoE Qwen3 setup</w:t>
            </w:r>
          </w:p>
        </w:tc>
      </w:tr>
      <w:tr>
        <w:tc>
          <w:tcPr>
            <w:tcW w:type="dxa" w:w="3360"/>
            <w:vAlign w:val="center"/>
          </w:tcPr>
          <w:p>
            <w:r/>
            <w:r>
              <w:rPr>
                <w:b w:val="0"/>
                <w:sz w:val="16"/>
              </w:rPr>
              <w:t>Models</w:t>
            </w:r>
          </w:p>
        </w:tc>
        <w:tc>
          <w:tcPr>
            <w:tcW w:type="dxa" w:w="3360"/>
            <w:vAlign w:val="center"/>
          </w:tcPr>
          <w:p>
            <w:r/>
            <w:r>
              <w:rPr>
                <w:b w:val="0"/>
                <w:sz w:val="16"/>
              </w:rPr>
              <w:t>Qwen/Qwen2.5-3B and Qwen/Qwen2.5-7B.</w:t>
            </w:r>
          </w:p>
        </w:tc>
        <w:tc>
          <w:tcPr>
            <w:tcW w:type="dxa" w:w="3360"/>
            <w:vAlign w:val="center"/>
          </w:tcPr>
          <w:p>
            <w:r/>
            <w:r>
              <w:rPr>
                <w:b w:val="0"/>
                <w:sz w:val="16"/>
              </w:rPr>
              <w:t>Qwen/Qwen3-30B-A3B.</w:t>
            </w:r>
          </w:p>
        </w:tc>
      </w:tr>
      <w:tr>
        <w:tc>
          <w:tcPr>
            <w:tcW w:type="dxa" w:w="3360"/>
            <w:vAlign w:val="center"/>
          </w:tcPr>
          <w:p>
            <w:r/>
            <w:r>
              <w:rPr>
                <w:b w:val="0"/>
                <w:sz w:val="16"/>
              </w:rPr>
              <w:t>Pruning unit</w:t>
            </w:r>
          </w:p>
        </w:tc>
        <w:tc>
          <w:tcPr>
            <w:tcW w:type="dxa" w:w="3360"/>
            <w:vAlign w:val="center"/>
          </w:tcPr>
          <w:p>
            <w:r/>
            <w:r>
              <w:rPr>
                <w:b w:val="0"/>
                <w:sz w:val="16"/>
              </w:rPr>
              <w:t>One SwiGLU MLP intermediate channel: gate row + up row + down column.</w:t>
            </w:r>
          </w:p>
        </w:tc>
        <w:tc>
          <w:tcPr>
            <w:tcW w:type="dxa" w:w="3360"/>
            <w:vAlign w:val="center"/>
          </w:tcPr>
          <w:p>
            <w:r/>
            <w:r>
              <w:rPr>
                <w:b w:val="0"/>
                <w:sz w:val="16"/>
              </w:rPr>
              <w:t>One layer-channel selected globally; physically removed from all experts in that layer.</w:t>
            </w:r>
          </w:p>
        </w:tc>
      </w:tr>
      <w:tr>
        <w:tc>
          <w:tcPr>
            <w:tcW w:type="dxa" w:w="3360"/>
            <w:vAlign w:val="center"/>
          </w:tcPr>
          <w:p>
            <w:r/>
            <w:r>
              <w:rPr>
                <w:b w:val="0"/>
                <w:sz w:val="16"/>
              </w:rPr>
              <w:t>Targets</w:t>
            </w:r>
          </w:p>
        </w:tc>
        <w:tc>
          <w:tcPr>
            <w:tcW w:type="dxa" w:w="3360"/>
            <w:vAlign w:val="center"/>
          </w:tcPr>
          <w:p>
            <w:r/>
            <w:r>
              <w:rPr>
                <w:b w:val="0"/>
                <w:sz w:val="16"/>
              </w:rPr>
              <w:t>2%, 4%, 6%, 8% MLP-channel pruning.</w:t>
            </w:r>
          </w:p>
        </w:tc>
        <w:tc>
          <w:tcPr>
            <w:tcW w:type="dxa" w:w="3360"/>
            <w:vAlign w:val="center"/>
          </w:tcPr>
          <w:p>
            <w:r/>
            <w:r>
              <w:rPr>
                <w:b w:val="0"/>
                <w:sz w:val="16"/>
              </w:rPr>
              <w:t>2%, 4%, 6%, 8% expert-channel pruning; actual percentages 2.3%, 4.3%, 6.2%, 8.0%.</w:t>
            </w:r>
          </w:p>
        </w:tc>
      </w:tr>
      <w:tr>
        <w:tc>
          <w:tcPr>
            <w:tcW w:type="dxa" w:w="3360"/>
            <w:vAlign w:val="center"/>
          </w:tcPr>
          <w:p>
            <w:r/>
            <w:r>
              <w:rPr>
                <w:b w:val="0"/>
                <w:sz w:val="16"/>
              </w:rPr>
              <w:t>Methods</w:t>
            </w:r>
          </w:p>
        </w:tc>
        <w:tc>
          <w:tcPr>
            <w:tcW w:type="dxa" w:w="3360"/>
            <w:vAlign w:val="center"/>
          </w:tcPr>
          <w:p>
            <w:r/>
            <w:r>
              <w:rPr>
                <w:b w:val="0"/>
                <w:sz w:val="16"/>
              </w:rPr>
              <w:t>Pure deletion and residual_full; local top-k residual explored.</w:t>
            </w:r>
          </w:p>
        </w:tc>
        <w:tc>
          <w:tcPr>
            <w:tcW w:type="dxa" w:w="3360"/>
            <w:vAlign w:val="center"/>
          </w:tcPr>
          <w:p>
            <w:r/>
            <w:r>
              <w:rPr>
                <w:b w:val="0"/>
                <w:sz w:val="16"/>
              </w:rPr>
              <w:t>Pure deletion, residual_nearest_channel_merge_moe, residual_ridge_moe with λ=1e-3 in selected full benchmark.</w:t>
            </w:r>
          </w:p>
        </w:tc>
      </w:tr>
      <w:tr>
        <w:tc>
          <w:tcPr>
            <w:tcW w:type="dxa" w:w="3360"/>
            <w:vAlign w:val="center"/>
          </w:tcPr>
          <w:p>
            <w:r/>
            <w:r>
              <w:rPr>
                <w:b w:val="0"/>
                <w:sz w:val="16"/>
              </w:rPr>
              <w:t>Datasets</w:t>
            </w:r>
          </w:p>
        </w:tc>
        <w:tc>
          <w:tcPr>
            <w:tcW w:type="dxa" w:w="3360"/>
            <w:vAlign w:val="center"/>
          </w:tcPr>
          <w:p>
            <w:r/>
            <w:r>
              <w:rPr>
                <w:b w:val="0"/>
                <w:sz w:val="16"/>
              </w:rPr>
              <w:t>WikiText2, n_eval=1024 for main dense table.</w:t>
            </w:r>
          </w:p>
        </w:tc>
        <w:tc>
          <w:tcPr>
            <w:tcW w:type="dxa" w:w="3360"/>
            <w:vAlign w:val="center"/>
          </w:tcPr>
          <w:p>
            <w:r/>
            <w:r>
              <w:rPr>
                <w:b w:val="0"/>
                <w:sz w:val="16"/>
              </w:rPr>
              <w:t>WikiText2 and C4, n_eval=512 in selected full benchmark.</w:t>
            </w:r>
          </w:p>
        </w:tc>
      </w:tr>
      <w:tr>
        <w:tc>
          <w:tcPr>
            <w:tcW w:type="dxa" w:w="3360"/>
            <w:vAlign w:val="center"/>
          </w:tcPr>
          <w:p>
            <w:r/>
            <w:r>
              <w:rPr>
                <w:b w:val="0"/>
                <w:sz w:val="16"/>
              </w:rPr>
              <w:t>Primary metrics</w:t>
            </w:r>
          </w:p>
        </w:tc>
        <w:tc>
          <w:tcPr>
            <w:tcW w:type="dxa" w:w="3360"/>
            <w:vAlign w:val="center"/>
          </w:tcPr>
          <w:p>
            <w:r/>
            <w:r>
              <w:rPr>
                <w:b w:val="0"/>
                <w:sz w:val="16"/>
              </w:rPr>
              <w:t>Perplexity and relative PPL increase.</w:t>
            </w:r>
          </w:p>
        </w:tc>
        <w:tc>
          <w:tcPr>
            <w:tcW w:type="dxa" w:w="3360"/>
            <w:vAlign w:val="center"/>
          </w:tcPr>
          <w:p>
            <w:r/>
            <w:r>
              <w:rPr>
                <w:b w:val="0"/>
                <w:sz w:val="16"/>
              </w:rPr>
              <w:t>Perplexity, relative PPL increase, expert parameter reduction, active expert FLOP reduction, residual coverage, forward-pass check.</w:t>
            </w:r>
          </w:p>
        </w:tc>
      </w:tr>
      <w:tr>
        <w:tc>
          <w:tcPr>
            <w:tcW w:type="dxa" w:w="3360"/>
            <w:vAlign w:val="center"/>
          </w:tcPr>
          <w:p>
            <w:r/>
            <w:r>
              <w:rPr>
                <w:b w:val="0"/>
                <w:sz w:val="16"/>
              </w:rPr>
              <w:t>Important limitation</w:t>
            </w:r>
          </w:p>
        </w:tc>
        <w:tc>
          <w:tcPr>
            <w:tcW w:type="dxa" w:w="3360"/>
            <w:vAlign w:val="center"/>
          </w:tcPr>
          <w:p>
            <w:r/>
            <w:r>
              <w:rPr>
                <w:b w:val="0"/>
                <w:sz w:val="16"/>
              </w:rPr>
              <w:t>No speed or downstream task results yet.</w:t>
            </w:r>
          </w:p>
        </w:tc>
        <w:tc>
          <w:tcPr>
            <w:tcW w:type="dxa" w:w="3360"/>
            <w:vAlign w:val="center"/>
          </w:tcPr>
          <w:p>
            <w:r/>
            <w:r>
              <w:rPr>
                <w:b w:val="0"/>
                <w:sz w:val="16"/>
              </w:rPr>
              <w:t>Residual coverage is low because each expert has sparse routed-token support; speed and downstream tasks are still needed.</w:t>
            </w:r>
          </w:p>
        </w:tc>
      </w:tr>
    </w:tbl>
    <w:p/>
    <w:p>
      <w:pPr>
        <w:pStyle w:val="Heading2"/>
      </w:pPr>
      <w:r>
        <w:t>5.1 Version 3 Controlled Allocation/Ranking Protocol</w:t>
      </w:r>
    </w:p>
    <w:p>
      <w:pPr/>
      <w:r>
        <w:t>The new Qwen3-30B-A3B experiments use two independent selector roles. The allocation selector determines an aligned per-layer removal-count vector; the ranking selector chooses channel identities within each layer. The principal comparison fixes RMSNorm-bound allocation and substitutes original-bound, activation, or ellipsoid ranking. A secondary comparison fixes down-norm allocation and substitutes down-norm or ellipsoid ranking. Unless stated otherwise, expert scores are aggregated by p95 across the 128 experts sharing a channel ID.</w:t>
      </w:r>
    </w:p>
    <w:p>
      <w:pPr/>
      <w:r>
        <w:t>The target-4 and target-6 experiments evaluate 1,024 documents. WikiText-2 contains 170,564 evaluated tokens. C4 contains 285,750 evaluated tokens. Baseline PPL values differ slightly between target groups because the current artifacts were produced by separate runs; comparisons within a row group use the same baseline and exact samples. These Version 3 results must not be numerically merged with the n_eval=512 Version 2 benchmark, whose baselines were 12.3194 on WikiText-2 and 14.4115 on C4.</w:t>
      </w:r>
    </w:p>
    <w:p>
      <w:pPr/>
      <w:r>
        <w:t>Activation ranking is calibration-dependent; the bound rankings are weight-only after model loading. The Version 3 interpretation therefore distinguishes predictive performance from calibration cost. Final reporting must also confirm calibration/evaluation disjointness for every activation-based run.</w:t>
      </w:r>
    </w:p>
    <w:p>
      <w:pPr>
        <w:pStyle w:val="Heading1"/>
      </w:pPr>
      <w:r>
        <w:t>6. Dense Qwen2.5 Results</w:t>
      </w:r>
    </w:p>
    <w:p>
      <w:r>
        <w:t>The dense experiments validate the original idea before extending it to MoE. The strongest dense observation remains that target-based global pruning is much better behaved than the early alpha-budget rule. At 2-4%, pure deletion is nearly lossless; at 6-8%, residual reconstruction reduces degradation.</w:t>
      </w:r>
    </w:p>
    <w:p>
      <w:pPr/>
      <w:r>
        <w:t>Version 3 retention note. These dense tables are preserved from the original implementation and have not yet been rerun with ellipsoid ranking. They remain evidence for physical target pruning and residual reconstruction, not a direct evaluation of the new selector.</w:t>
      </w:r>
    </w:p>
    <w:p>
      <w:pPr>
        <w:pStyle w:val="Caption"/>
      </w:pPr>
      <w:r>
        <w:rPr>
          <w:b/>
        </w:rPr>
        <w:t>Table 6. Dense Qwen2.5 target-pruning results on WikiText2 (n_eval=1024).</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vAlign w:val="center"/>
            <w:shd w:fill="D9EAF7"/>
          </w:tcPr>
          <w:p>
            <w:r/>
            <w:r>
              <w:rPr>
                <w:b/>
                <w:sz w:val="14"/>
              </w:rPr>
              <w:t>Model</w:t>
            </w:r>
          </w:p>
        </w:tc>
        <w:tc>
          <w:tcPr>
            <w:tcW w:type="dxa" w:w="1440"/>
            <w:vAlign w:val="center"/>
            <w:shd w:fill="D9EAF7"/>
          </w:tcPr>
          <w:p>
            <w:r/>
            <w:r>
              <w:rPr>
                <w:b/>
                <w:sz w:val="14"/>
              </w:rPr>
              <w:t>Target</w:t>
            </w:r>
          </w:p>
        </w:tc>
        <w:tc>
          <w:tcPr>
            <w:tcW w:type="dxa" w:w="1440"/>
            <w:vAlign w:val="center"/>
            <w:shd w:fill="D9EAF7"/>
          </w:tcPr>
          <w:p>
            <w:r/>
            <w:r>
              <w:rPr>
                <w:b/>
                <w:sz w:val="14"/>
              </w:rPr>
              <w:t>Method</w:t>
            </w:r>
          </w:p>
        </w:tc>
        <w:tc>
          <w:tcPr>
            <w:tcW w:type="dxa" w:w="1440"/>
            <w:vAlign w:val="center"/>
            <w:shd w:fill="D9EAF7"/>
          </w:tcPr>
          <w:p>
            <w:r/>
            <w:r>
              <w:rPr>
                <w:b/>
                <w:sz w:val="14"/>
              </w:rPr>
              <w:t>Base PPL</w:t>
            </w:r>
          </w:p>
        </w:tc>
        <w:tc>
          <w:tcPr>
            <w:tcW w:type="dxa" w:w="1440"/>
            <w:vAlign w:val="center"/>
            <w:shd w:fill="D9EAF7"/>
          </w:tcPr>
          <w:p>
            <w:r/>
            <w:r>
              <w:rPr>
                <w:b/>
                <w:sz w:val="14"/>
              </w:rPr>
              <w:t>PPL</w:t>
            </w:r>
          </w:p>
        </w:tc>
        <w:tc>
          <w:tcPr>
            <w:tcW w:type="dxa" w:w="1440"/>
            <w:vAlign w:val="center"/>
            <w:shd w:fill="D9EAF7"/>
          </w:tcPr>
          <w:p>
            <w:r/>
            <w:r>
              <w:rPr>
                <w:b/>
                <w:sz w:val="14"/>
              </w:rPr>
              <w:t>Delta</w:t>
            </w:r>
          </w:p>
        </w:tc>
        <w:tc>
          <w:tcPr>
            <w:tcW w:type="dxa" w:w="1440"/>
            <w:vAlign w:val="center"/>
            <w:shd w:fill="D9EAF7"/>
          </w:tcPr>
          <w:p>
            <w:r/>
            <w:r>
              <w:rPr>
                <w:b/>
                <w:sz w:val="14"/>
              </w:rPr>
              <w:t>Rel. inc.</w:t>
            </w:r>
          </w:p>
        </w:tc>
      </w:tr>
      <w:tr>
        <w:tc>
          <w:tcPr>
            <w:tcW w:type="dxa" w:w="1440"/>
            <w:vAlign w:val="center"/>
          </w:tcPr>
          <w:p>
            <w:r/>
            <w:r>
              <w:rPr>
                <w:b w:val="0"/>
                <w:sz w:val="14"/>
              </w:rPr>
              <w:t>Qwen2.5-3B</w:t>
            </w:r>
          </w:p>
        </w:tc>
        <w:tc>
          <w:tcPr>
            <w:tcW w:type="dxa" w:w="1440"/>
            <w:vAlign w:val="center"/>
          </w:tcPr>
          <w:p>
            <w:r/>
            <w:r>
              <w:rPr>
                <w:b w:val="0"/>
                <w:sz w:val="14"/>
              </w:rPr>
              <w:t>2%</w:t>
            </w:r>
          </w:p>
        </w:tc>
        <w:tc>
          <w:tcPr>
            <w:tcW w:type="dxa" w:w="1440"/>
            <w:vAlign w:val="center"/>
          </w:tcPr>
          <w:p>
            <w:r/>
            <w:r>
              <w:rPr>
                <w:b w:val="0"/>
                <w:sz w:val="14"/>
              </w:rPr>
              <w:t>Pure delete</w:t>
            </w:r>
          </w:p>
        </w:tc>
        <w:tc>
          <w:tcPr>
            <w:tcW w:type="dxa" w:w="1440"/>
            <w:vAlign w:val="center"/>
          </w:tcPr>
          <w:p>
            <w:r/>
            <w:r>
              <w:rPr>
                <w:b w:val="0"/>
                <w:sz w:val="14"/>
              </w:rPr>
              <w:t>12.4377</w:t>
            </w:r>
          </w:p>
        </w:tc>
        <w:tc>
          <w:tcPr>
            <w:tcW w:type="dxa" w:w="1440"/>
            <w:vAlign w:val="center"/>
          </w:tcPr>
          <w:p>
            <w:r/>
            <w:r>
              <w:rPr>
                <w:b w:val="0"/>
                <w:sz w:val="14"/>
              </w:rPr>
              <w:t>12.4393</w:t>
            </w:r>
          </w:p>
        </w:tc>
        <w:tc>
          <w:tcPr>
            <w:tcW w:type="dxa" w:w="1440"/>
            <w:vAlign w:val="center"/>
          </w:tcPr>
          <w:p>
            <w:r/>
            <w:r>
              <w:rPr>
                <w:b w:val="0"/>
                <w:sz w:val="14"/>
              </w:rPr>
              <w:t>+0.0016</w:t>
            </w:r>
          </w:p>
        </w:tc>
        <w:tc>
          <w:tcPr>
            <w:tcW w:type="dxa" w:w="1440"/>
            <w:vAlign w:val="center"/>
          </w:tcPr>
          <w:p>
            <w:r/>
            <w:r>
              <w:rPr>
                <w:b w:val="0"/>
                <w:sz w:val="14"/>
              </w:rPr>
              <w:t>+0.01%</w:t>
            </w:r>
          </w:p>
        </w:tc>
      </w:tr>
      <w:tr>
        <w:tc>
          <w:tcPr>
            <w:tcW w:type="dxa" w:w="1440"/>
            <w:vAlign w:val="center"/>
          </w:tcPr>
          <w:p>
            <w:r/>
            <w:r>
              <w:rPr>
                <w:b w:val="0"/>
                <w:sz w:val="14"/>
              </w:rPr>
              <w:t>Qwen2.5-3B</w:t>
            </w:r>
          </w:p>
        </w:tc>
        <w:tc>
          <w:tcPr>
            <w:tcW w:type="dxa" w:w="1440"/>
            <w:vAlign w:val="center"/>
          </w:tcPr>
          <w:p>
            <w:r/>
            <w:r>
              <w:rPr>
                <w:b w:val="0"/>
                <w:sz w:val="14"/>
              </w:rPr>
              <w:t>2%</w:t>
            </w:r>
          </w:p>
        </w:tc>
        <w:tc>
          <w:tcPr>
            <w:tcW w:type="dxa" w:w="1440"/>
            <w:vAlign w:val="center"/>
          </w:tcPr>
          <w:p>
            <w:r/>
            <w:r>
              <w:rPr>
                <w:b w:val="0"/>
                <w:sz w:val="14"/>
              </w:rPr>
              <w:t>Residual full</w:t>
            </w:r>
          </w:p>
        </w:tc>
        <w:tc>
          <w:tcPr>
            <w:tcW w:type="dxa" w:w="1440"/>
            <w:vAlign w:val="center"/>
          </w:tcPr>
          <w:p>
            <w:r/>
            <w:r>
              <w:rPr>
                <w:b w:val="0"/>
                <w:sz w:val="14"/>
              </w:rPr>
              <w:t>12.4377</w:t>
            </w:r>
          </w:p>
        </w:tc>
        <w:tc>
          <w:tcPr>
            <w:tcW w:type="dxa" w:w="1440"/>
            <w:vAlign w:val="center"/>
          </w:tcPr>
          <w:p>
            <w:r/>
            <w:r>
              <w:rPr>
                <w:b w:val="0"/>
                <w:sz w:val="14"/>
              </w:rPr>
              <w:t>12.4399</w:t>
            </w:r>
          </w:p>
        </w:tc>
        <w:tc>
          <w:tcPr>
            <w:tcW w:type="dxa" w:w="1440"/>
            <w:vAlign w:val="center"/>
          </w:tcPr>
          <w:p>
            <w:r/>
            <w:r>
              <w:rPr>
                <w:b w:val="0"/>
                <w:sz w:val="14"/>
              </w:rPr>
              <w:t>+0.0022</w:t>
            </w:r>
          </w:p>
        </w:tc>
        <w:tc>
          <w:tcPr>
            <w:tcW w:type="dxa" w:w="1440"/>
            <w:vAlign w:val="center"/>
          </w:tcPr>
          <w:p>
            <w:r/>
            <w:r>
              <w:rPr>
                <w:b w:val="0"/>
                <w:sz w:val="14"/>
              </w:rPr>
              <w:t>+0.02%</w:t>
            </w:r>
          </w:p>
        </w:tc>
      </w:tr>
      <w:tr>
        <w:tc>
          <w:tcPr>
            <w:tcW w:type="dxa" w:w="1440"/>
            <w:vAlign w:val="center"/>
          </w:tcPr>
          <w:p>
            <w:r/>
            <w:r>
              <w:rPr>
                <w:b w:val="0"/>
                <w:sz w:val="14"/>
              </w:rPr>
              <w:t>Qwen2.5-3B</w:t>
            </w:r>
          </w:p>
        </w:tc>
        <w:tc>
          <w:tcPr>
            <w:tcW w:type="dxa" w:w="1440"/>
            <w:vAlign w:val="center"/>
          </w:tcPr>
          <w:p>
            <w:r/>
            <w:r>
              <w:rPr>
                <w:b w:val="0"/>
                <w:sz w:val="14"/>
              </w:rPr>
              <w:t>4%</w:t>
            </w:r>
          </w:p>
        </w:tc>
        <w:tc>
          <w:tcPr>
            <w:tcW w:type="dxa" w:w="1440"/>
            <w:vAlign w:val="center"/>
          </w:tcPr>
          <w:p>
            <w:r/>
            <w:r>
              <w:rPr>
                <w:b w:val="0"/>
                <w:sz w:val="14"/>
              </w:rPr>
              <w:t>Pure delete</w:t>
            </w:r>
          </w:p>
        </w:tc>
        <w:tc>
          <w:tcPr>
            <w:tcW w:type="dxa" w:w="1440"/>
            <w:vAlign w:val="center"/>
          </w:tcPr>
          <w:p>
            <w:r/>
            <w:r>
              <w:rPr>
                <w:b w:val="0"/>
                <w:sz w:val="14"/>
              </w:rPr>
              <w:t>12.4377</w:t>
            </w:r>
          </w:p>
        </w:tc>
        <w:tc>
          <w:tcPr>
            <w:tcW w:type="dxa" w:w="1440"/>
            <w:vAlign w:val="center"/>
          </w:tcPr>
          <w:p>
            <w:r/>
            <w:r>
              <w:rPr>
                <w:b w:val="0"/>
                <w:sz w:val="14"/>
              </w:rPr>
              <w:t>12.4418</w:t>
            </w:r>
          </w:p>
        </w:tc>
        <w:tc>
          <w:tcPr>
            <w:tcW w:type="dxa" w:w="1440"/>
            <w:vAlign w:val="center"/>
          </w:tcPr>
          <w:p>
            <w:r/>
            <w:r>
              <w:rPr>
                <w:b w:val="0"/>
                <w:sz w:val="14"/>
              </w:rPr>
              <w:t>+0.0041</w:t>
            </w:r>
          </w:p>
        </w:tc>
        <w:tc>
          <w:tcPr>
            <w:tcW w:type="dxa" w:w="1440"/>
            <w:vAlign w:val="center"/>
          </w:tcPr>
          <w:p>
            <w:r/>
            <w:r>
              <w:rPr>
                <w:b w:val="0"/>
                <w:sz w:val="14"/>
              </w:rPr>
              <w:t>+0.03%</w:t>
            </w:r>
          </w:p>
        </w:tc>
      </w:tr>
      <w:tr>
        <w:tc>
          <w:tcPr>
            <w:tcW w:type="dxa" w:w="1440"/>
            <w:vAlign w:val="center"/>
          </w:tcPr>
          <w:p>
            <w:r/>
            <w:r>
              <w:rPr>
                <w:b w:val="0"/>
                <w:sz w:val="14"/>
              </w:rPr>
              <w:t>Qwen2.5-3B</w:t>
            </w:r>
          </w:p>
        </w:tc>
        <w:tc>
          <w:tcPr>
            <w:tcW w:type="dxa" w:w="1440"/>
            <w:vAlign w:val="center"/>
          </w:tcPr>
          <w:p>
            <w:r/>
            <w:r>
              <w:rPr>
                <w:b w:val="0"/>
                <w:sz w:val="14"/>
              </w:rPr>
              <w:t>4%</w:t>
            </w:r>
          </w:p>
        </w:tc>
        <w:tc>
          <w:tcPr>
            <w:tcW w:type="dxa" w:w="1440"/>
            <w:vAlign w:val="center"/>
          </w:tcPr>
          <w:p>
            <w:r/>
            <w:r>
              <w:rPr>
                <w:b w:val="0"/>
                <w:sz w:val="14"/>
              </w:rPr>
              <w:t>Residual full</w:t>
            </w:r>
          </w:p>
        </w:tc>
        <w:tc>
          <w:tcPr>
            <w:tcW w:type="dxa" w:w="1440"/>
            <w:vAlign w:val="center"/>
          </w:tcPr>
          <w:p>
            <w:r/>
            <w:r>
              <w:rPr>
                <w:b w:val="0"/>
                <w:sz w:val="14"/>
              </w:rPr>
              <w:t>12.4377</w:t>
            </w:r>
          </w:p>
        </w:tc>
        <w:tc>
          <w:tcPr>
            <w:tcW w:type="dxa" w:w="1440"/>
            <w:vAlign w:val="center"/>
          </w:tcPr>
          <w:p>
            <w:r/>
            <w:r>
              <w:rPr>
                <w:b w:val="0"/>
                <w:sz w:val="14"/>
              </w:rPr>
              <w:t>12.4390</w:t>
            </w:r>
          </w:p>
        </w:tc>
        <w:tc>
          <w:tcPr>
            <w:tcW w:type="dxa" w:w="1440"/>
            <w:vAlign w:val="center"/>
          </w:tcPr>
          <w:p>
            <w:r/>
            <w:r>
              <w:rPr>
                <w:b w:val="0"/>
                <w:sz w:val="14"/>
              </w:rPr>
              <w:t>+0.0013</w:t>
            </w:r>
          </w:p>
        </w:tc>
        <w:tc>
          <w:tcPr>
            <w:tcW w:type="dxa" w:w="1440"/>
            <w:vAlign w:val="center"/>
          </w:tcPr>
          <w:p>
            <w:r/>
            <w:r>
              <w:rPr>
                <w:b w:val="0"/>
                <w:sz w:val="14"/>
              </w:rPr>
              <w:t>+0.01%</w:t>
            </w:r>
          </w:p>
        </w:tc>
      </w:tr>
      <w:tr>
        <w:tc>
          <w:tcPr>
            <w:tcW w:type="dxa" w:w="1440"/>
            <w:vAlign w:val="center"/>
          </w:tcPr>
          <w:p>
            <w:r/>
            <w:r>
              <w:rPr>
                <w:b w:val="0"/>
                <w:sz w:val="14"/>
              </w:rPr>
              <w:t>Qwen2.5-3B</w:t>
            </w:r>
          </w:p>
        </w:tc>
        <w:tc>
          <w:tcPr>
            <w:tcW w:type="dxa" w:w="1440"/>
            <w:vAlign w:val="center"/>
          </w:tcPr>
          <w:p>
            <w:r/>
            <w:r>
              <w:rPr>
                <w:b w:val="0"/>
                <w:sz w:val="14"/>
              </w:rPr>
              <w:t>6%</w:t>
            </w:r>
          </w:p>
        </w:tc>
        <w:tc>
          <w:tcPr>
            <w:tcW w:type="dxa" w:w="1440"/>
            <w:vAlign w:val="center"/>
          </w:tcPr>
          <w:p>
            <w:r/>
            <w:r>
              <w:rPr>
                <w:b w:val="0"/>
                <w:sz w:val="14"/>
              </w:rPr>
              <w:t>Pure delete</w:t>
            </w:r>
          </w:p>
        </w:tc>
        <w:tc>
          <w:tcPr>
            <w:tcW w:type="dxa" w:w="1440"/>
            <w:vAlign w:val="center"/>
          </w:tcPr>
          <w:p>
            <w:r/>
            <w:r>
              <w:rPr>
                <w:b w:val="0"/>
                <w:sz w:val="14"/>
              </w:rPr>
              <w:t>12.4377</w:t>
            </w:r>
          </w:p>
        </w:tc>
        <w:tc>
          <w:tcPr>
            <w:tcW w:type="dxa" w:w="1440"/>
            <w:vAlign w:val="center"/>
          </w:tcPr>
          <w:p>
            <w:r/>
            <w:r>
              <w:rPr>
                <w:b w:val="0"/>
                <w:sz w:val="14"/>
              </w:rPr>
              <w:t>13.1064</w:t>
            </w:r>
          </w:p>
        </w:tc>
        <w:tc>
          <w:tcPr>
            <w:tcW w:type="dxa" w:w="1440"/>
            <w:vAlign w:val="center"/>
          </w:tcPr>
          <w:p>
            <w:r/>
            <w:r>
              <w:rPr>
                <w:b w:val="0"/>
                <w:sz w:val="14"/>
              </w:rPr>
              <w:t>+0.6687</w:t>
            </w:r>
          </w:p>
        </w:tc>
        <w:tc>
          <w:tcPr>
            <w:tcW w:type="dxa" w:w="1440"/>
            <w:vAlign w:val="center"/>
          </w:tcPr>
          <w:p>
            <w:r/>
            <w:r>
              <w:rPr>
                <w:b w:val="0"/>
                <w:sz w:val="14"/>
              </w:rPr>
              <w:t>+5.38%</w:t>
            </w:r>
          </w:p>
        </w:tc>
      </w:tr>
      <w:tr>
        <w:tc>
          <w:tcPr>
            <w:tcW w:type="dxa" w:w="1440"/>
            <w:vAlign w:val="center"/>
          </w:tcPr>
          <w:p>
            <w:r/>
            <w:r>
              <w:rPr>
                <w:b w:val="0"/>
                <w:sz w:val="14"/>
              </w:rPr>
              <w:t>Qwen2.5-3B</w:t>
            </w:r>
          </w:p>
        </w:tc>
        <w:tc>
          <w:tcPr>
            <w:tcW w:type="dxa" w:w="1440"/>
            <w:vAlign w:val="center"/>
          </w:tcPr>
          <w:p>
            <w:r/>
            <w:r>
              <w:rPr>
                <w:b w:val="0"/>
                <w:sz w:val="14"/>
              </w:rPr>
              <w:t>6%</w:t>
            </w:r>
          </w:p>
        </w:tc>
        <w:tc>
          <w:tcPr>
            <w:tcW w:type="dxa" w:w="1440"/>
            <w:vAlign w:val="center"/>
          </w:tcPr>
          <w:p>
            <w:r/>
            <w:r>
              <w:rPr>
                <w:b w:val="0"/>
                <w:sz w:val="14"/>
              </w:rPr>
              <w:t>Residual full</w:t>
            </w:r>
          </w:p>
        </w:tc>
        <w:tc>
          <w:tcPr>
            <w:tcW w:type="dxa" w:w="1440"/>
            <w:vAlign w:val="center"/>
          </w:tcPr>
          <w:p>
            <w:r/>
            <w:r>
              <w:rPr>
                <w:b w:val="0"/>
                <w:sz w:val="14"/>
              </w:rPr>
              <w:t>12.4377</w:t>
            </w:r>
          </w:p>
        </w:tc>
        <w:tc>
          <w:tcPr>
            <w:tcW w:type="dxa" w:w="1440"/>
            <w:vAlign w:val="center"/>
          </w:tcPr>
          <w:p>
            <w:r/>
            <w:r>
              <w:rPr>
                <w:b w:val="0"/>
                <w:sz w:val="14"/>
              </w:rPr>
              <w:t>13.0124</w:t>
            </w:r>
          </w:p>
        </w:tc>
        <w:tc>
          <w:tcPr>
            <w:tcW w:type="dxa" w:w="1440"/>
            <w:vAlign w:val="center"/>
          </w:tcPr>
          <w:p>
            <w:r/>
            <w:r>
              <w:rPr>
                <w:b w:val="0"/>
                <w:sz w:val="14"/>
              </w:rPr>
              <w:t>+0.5747</w:t>
            </w:r>
          </w:p>
        </w:tc>
        <w:tc>
          <w:tcPr>
            <w:tcW w:type="dxa" w:w="1440"/>
            <w:vAlign w:val="center"/>
          </w:tcPr>
          <w:p>
            <w:r/>
            <w:r>
              <w:rPr>
                <w:b w:val="0"/>
                <w:sz w:val="14"/>
              </w:rPr>
              <w:t>+4.62%</w:t>
            </w:r>
          </w:p>
        </w:tc>
      </w:tr>
      <w:tr>
        <w:tc>
          <w:tcPr>
            <w:tcW w:type="dxa" w:w="1440"/>
            <w:vAlign w:val="center"/>
          </w:tcPr>
          <w:p>
            <w:r/>
            <w:r>
              <w:rPr>
                <w:b w:val="0"/>
                <w:sz w:val="14"/>
              </w:rPr>
              <w:t>Qwen2.5-3B</w:t>
            </w:r>
          </w:p>
        </w:tc>
        <w:tc>
          <w:tcPr>
            <w:tcW w:type="dxa" w:w="1440"/>
            <w:vAlign w:val="center"/>
          </w:tcPr>
          <w:p>
            <w:r/>
            <w:r>
              <w:rPr>
                <w:b w:val="0"/>
                <w:sz w:val="14"/>
              </w:rPr>
              <w:t>8%</w:t>
            </w:r>
          </w:p>
        </w:tc>
        <w:tc>
          <w:tcPr>
            <w:tcW w:type="dxa" w:w="1440"/>
            <w:vAlign w:val="center"/>
          </w:tcPr>
          <w:p>
            <w:r/>
            <w:r>
              <w:rPr>
                <w:b w:val="0"/>
                <w:sz w:val="14"/>
              </w:rPr>
              <w:t>Pure delete</w:t>
            </w:r>
          </w:p>
        </w:tc>
        <w:tc>
          <w:tcPr>
            <w:tcW w:type="dxa" w:w="1440"/>
            <w:vAlign w:val="center"/>
          </w:tcPr>
          <w:p>
            <w:r/>
            <w:r>
              <w:rPr>
                <w:b w:val="0"/>
                <w:sz w:val="14"/>
              </w:rPr>
              <w:t>12.4377</w:t>
            </w:r>
          </w:p>
        </w:tc>
        <w:tc>
          <w:tcPr>
            <w:tcW w:type="dxa" w:w="1440"/>
            <w:vAlign w:val="center"/>
          </w:tcPr>
          <w:p>
            <w:r/>
            <w:r>
              <w:rPr>
                <w:b w:val="0"/>
                <w:sz w:val="14"/>
              </w:rPr>
              <w:t>14.7634</w:t>
            </w:r>
          </w:p>
        </w:tc>
        <w:tc>
          <w:tcPr>
            <w:tcW w:type="dxa" w:w="1440"/>
            <w:vAlign w:val="center"/>
          </w:tcPr>
          <w:p>
            <w:r/>
            <w:r>
              <w:rPr>
                <w:b w:val="0"/>
                <w:sz w:val="14"/>
              </w:rPr>
              <w:t>+2.3257</w:t>
            </w:r>
          </w:p>
        </w:tc>
        <w:tc>
          <w:tcPr>
            <w:tcW w:type="dxa" w:w="1440"/>
            <w:vAlign w:val="center"/>
          </w:tcPr>
          <w:p>
            <w:r/>
            <w:r>
              <w:rPr>
                <w:b w:val="0"/>
                <w:sz w:val="14"/>
              </w:rPr>
              <w:t>+18.70%</w:t>
            </w:r>
          </w:p>
        </w:tc>
      </w:tr>
      <w:tr>
        <w:tc>
          <w:tcPr>
            <w:tcW w:type="dxa" w:w="1440"/>
            <w:vAlign w:val="center"/>
          </w:tcPr>
          <w:p>
            <w:r/>
            <w:r>
              <w:rPr>
                <w:b w:val="0"/>
                <w:sz w:val="14"/>
              </w:rPr>
              <w:t>Qwen2.5-3B</w:t>
            </w:r>
          </w:p>
        </w:tc>
        <w:tc>
          <w:tcPr>
            <w:tcW w:type="dxa" w:w="1440"/>
            <w:vAlign w:val="center"/>
          </w:tcPr>
          <w:p>
            <w:r/>
            <w:r>
              <w:rPr>
                <w:b w:val="0"/>
                <w:sz w:val="14"/>
              </w:rPr>
              <w:t>8%</w:t>
            </w:r>
          </w:p>
        </w:tc>
        <w:tc>
          <w:tcPr>
            <w:tcW w:type="dxa" w:w="1440"/>
            <w:vAlign w:val="center"/>
          </w:tcPr>
          <w:p>
            <w:r/>
            <w:r>
              <w:rPr>
                <w:b w:val="0"/>
                <w:sz w:val="14"/>
              </w:rPr>
              <w:t>Residual full</w:t>
            </w:r>
          </w:p>
        </w:tc>
        <w:tc>
          <w:tcPr>
            <w:tcW w:type="dxa" w:w="1440"/>
            <w:vAlign w:val="center"/>
          </w:tcPr>
          <w:p>
            <w:r/>
            <w:r>
              <w:rPr>
                <w:b w:val="0"/>
                <w:sz w:val="14"/>
              </w:rPr>
              <w:t>12.4377</w:t>
            </w:r>
          </w:p>
        </w:tc>
        <w:tc>
          <w:tcPr>
            <w:tcW w:type="dxa" w:w="1440"/>
            <w:vAlign w:val="center"/>
          </w:tcPr>
          <w:p>
            <w:r/>
            <w:r>
              <w:rPr>
                <w:b w:val="0"/>
                <w:sz w:val="14"/>
              </w:rPr>
              <w:t>14.1717</w:t>
            </w:r>
          </w:p>
        </w:tc>
        <w:tc>
          <w:tcPr>
            <w:tcW w:type="dxa" w:w="1440"/>
            <w:vAlign w:val="center"/>
          </w:tcPr>
          <w:p>
            <w:r/>
            <w:r>
              <w:rPr>
                <w:b w:val="0"/>
                <w:sz w:val="14"/>
              </w:rPr>
              <w:t>+1.7340</w:t>
            </w:r>
          </w:p>
        </w:tc>
        <w:tc>
          <w:tcPr>
            <w:tcW w:type="dxa" w:w="1440"/>
            <w:vAlign w:val="center"/>
          </w:tcPr>
          <w:p>
            <w:r/>
            <w:r>
              <w:rPr>
                <w:b w:val="0"/>
                <w:sz w:val="14"/>
              </w:rPr>
              <w:t>+13.94%</w:t>
            </w:r>
          </w:p>
        </w:tc>
      </w:tr>
      <w:tr>
        <w:tc>
          <w:tcPr>
            <w:tcW w:type="dxa" w:w="1440"/>
            <w:vAlign w:val="center"/>
          </w:tcPr>
          <w:p>
            <w:r/>
            <w:r>
              <w:rPr>
                <w:b w:val="0"/>
                <w:sz w:val="14"/>
              </w:rPr>
              <w:t>Qwen2.5-7B</w:t>
            </w:r>
          </w:p>
        </w:tc>
        <w:tc>
          <w:tcPr>
            <w:tcW w:type="dxa" w:w="1440"/>
            <w:vAlign w:val="center"/>
          </w:tcPr>
          <w:p>
            <w:r/>
            <w:r>
              <w:rPr>
                <w:b w:val="0"/>
                <w:sz w:val="14"/>
              </w:rPr>
              <w:t>2%</w:t>
            </w:r>
          </w:p>
        </w:tc>
        <w:tc>
          <w:tcPr>
            <w:tcW w:type="dxa" w:w="1440"/>
            <w:vAlign w:val="center"/>
          </w:tcPr>
          <w:p>
            <w:r/>
            <w:r>
              <w:rPr>
                <w:b w:val="0"/>
                <w:sz w:val="14"/>
              </w:rPr>
              <w:t>Pure delete</w:t>
            </w:r>
          </w:p>
        </w:tc>
        <w:tc>
          <w:tcPr>
            <w:tcW w:type="dxa" w:w="1440"/>
            <w:vAlign w:val="center"/>
          </w:tcPr>
          <w:p>
            <w:r/>
            <w:r>
              <w:rPr>
                <w:b w:val="0"/>
                <w:sz w:val="14"/>
              </w:rPr>
              <w:t>10.3160</w:t>
            </w:r>
          </w:p>
        </w:tc>
        <w:tc>
          <w:tcPr>
            <w:tcW w:type="dxa" w:w="1440"/>
            <w:vAlign w:val="center"/>
          </w:tcPr>
          <w:p>
            <w:r/>
            <w:r>
              <w:rPr>
                <w:b w:val="0"/>
                <w:sz w:val="14"/>
              </w:rPr>
              <w:t>10.3174</w:t>
            </w:r>
          </w:p>
        </w:tc>
        <w:tc>
          <w:tcPr>
            <w:tcW w:type="dxa" w:w="1440"/>
            <w:vAlign w:val="center"/>
          </w:tcPr>
          <w:p>
            <w:r/>
            <w:r>
              <w:rPr>
                <w:b w:val="0"/>
                <w:sz w:val="14"/>
              </w:rPr>
              <w:t>+0.0014</w:t>
            </w:r>
          </w:p>
        </w:tc>
        <w:tc>
          <w:tcPr>
            <w:tcW w:type="dxa" w:w="1440"/>
            <w:vAlign w:val="center"/>
          </w:tcPr>
          <w:p>
            <w:r/>
            <w:r>
              <w:rPr>
                <w:b w:val="0"/>
                <w:sz w:val="14"/>
              </w:rPr>
              <w:t>+0.01%</w:t>
            </w:r>
          </w:p>
        </w:tc>
      </w:tr>
      <w:tr>
        <w:tc>
          <w:tcPr>
            <w:tcW w:type="dxa" w:w="1440"/>
            <w:vAlign w:val="center"/>
          </w:tcPr>
          <w:p>
            <w:r/>
            <w:r>
              <w:rPr>
                <w:b w:val="0"/>
                <w:sz w:val="14"/>
              </w:rPr>
              <w:t>Qwen2.5-7B</w:t>
            </w:r>
          </w:p>
        </w:tc>
        <w:tc>
          <w:tcPr>
            <w:tcW w:type="dxa" w:w="1440"/>
            <w:vAlign w:val="center"/>
          </w:tcPr>
          <w:p>
            <w:r/>
            <w:r>
              <w:rPr>
                <w:b w:val="0"/>
                <w:sz w:val="14"/>
              </w:rPr>
              <w:t>2%</w:t>
            </w:r>
          </w:p>
        </w:tc>
        <w:tc>
          <w:tcPr>
            <w:tcW w:type="dxa" w:w="1440"/>
            <w:vAlign w:val="center"/>
          </w:tcPr>
          <w:p>
            <w:r/>
            <w:r>
              <w:rPr>
                <w:b w:val="0"/>
                <w:sz w:val="14"/>
              </w:rPr>
              <w:t>Residual full</w:t>
            </w:r>
          </w:p>
        </w:tc>
        <w:tc>
          <w:tcPr>
            <w:tcW w:type="dxa" w:w="1440"/>
            <w:vAlign w:val="center"/>
          </w:tcPr>
          <w:p>
            <w:r/>
            <w:r>
              <w:rPr>
                <w:b w:val="0"/>
                <w:sz w:val="14"/>
              </w:rPr>
              <w:t>10.3160</w:t>
            </w:r>
          </w:p>
        </w:tc>
        <w:tc>
          <w:tcPr>
            <w:tcW w:type="dxa" w:w="1440"/>
            <w:vAlign w:val="center"/>
          </w:tcPr>
          <w:p>
            <w:r/>
            <w:r>
              <w:rPr>
                <w:b w:val="0"/>
                <w:sz w:val="14"/>
              </w:rPr>
              <w:t>10.3157</w:t>
            </w:r>
          </w:p>
        </w:tc>
        <w:tc>
          <w:tcPr>
            <w:tcW w:type="dxa" w:w="1440"/>
            <w:vAlign w:val="center"/>
          </w:tcPr>
          <w:p>
            <w:r/>
            <w:r>
              <w:rPr>
                <w:b w:val="0"/>
                <w:sz w:val="14"/>
              </w:rPr>
              <w:t>-0.0003</w:t>
            </w:r>
          </w:p>
        </w:tc>
        <w:tc>
          <w:tcPr>
            <w:tcW w:type="dxa" w:w="1440"/>
            <w:vAlign w:val="center"/>
          </w:tcPr>
          <w:p>
            <w:r/>
            <w:r>
              <w:rPr>
                <w:b w:val="0"/>
                <w:sz w:val="14"/>
              </w:rPr>
              <w:t>-0.00%</w:t>
            </w:r>
          </w:p>
        </w:tc>
      </w:tr>
      <w:tr>
        <w:tc>
          <w:tcPr>
            <w:tcW w:type="dxa" w:w="1440"/>
            <w:vAlign w:val="center"/>
          </w:tcPr>
          <w:p>
            <w:r/>
            <w:r>
              <w:rPr>
                <w:b w:val="0"/>
                <w:sz w:val="14"/>
              </w:rPr>
              <w:t>Qwen2.5-7B</w:t>
            </w:r>
          </w:p>
        </w:tc>
        <w:tc>
          <w:tcPr>
            <w:tcW w:type="dxa" w:w="1440"/>
            <w:vAlign w:val="center"/>
          </w:tcPr>
          <w:p>
            <w:r/>
            <w:r>
              <w:rPr>
                <w:b w:val="0"/>
                <w:sz w:val="14"/>
              </w:rPr>
              <w:t>4%</w:t>
            </w:r>
          </w:p>
        </w:tc>
        <w:tc>
          <w:tcPr>
            <w:tcW w:type="dxa" w:w="1440"/>
            <w:vAlign w:val="center"/>
          </w:tcPr>
          <w:p>
            <w:r/>
            <w:r>
              <w:rPr>
                <w:b w:val="0"/>
                <w:sz w:val="14"/>
              </w:rPr>
              <w:t>Pure delete</w:t>
            </w:r>
          </w:p>
        </w:tc>
        <w:tc>
          <w:tcPr>
            <w:tcW w:type="dxa" w:w="1440"/>
            <w:vAlign w:val="center"/>
          </w:tcPr>
          <w:p>
            <w:r/>
            <w:r>
              <w:rPr>
                <w:b w:val="0"/>
                <w:sz w:val="14"/>
              </w:rPr>
              <w:t>10.3160</w:t>
            </w:r>
          </w:p>
        </w:tc>
        <w:tc>
          <w:tcPr>
            <w:tcW w:type="dxa" w:w="1440"/>
            <w:vAlign w:val="center"/>
          </w:tcPr>
          <w:p>
            <w:r/>
            <w:r>
              <w:rPr>
                <w:b w:val="0"/>
                <w:sz w:val="14"/>
              </w:rPr>
              <w:t>10.4682</w:t>
            </w:r>
          </w:p>
        </w:tc>
        <w:tc>
          <w:tcPr>
            <w:tcW w:type="dxa" w:w="1440"/>
            <w:vAlign w:val="center"/>
          </w:tcPr>
          <w:p>
            <w:r/>
            <w:r>
              <w:rPr>
                <w:b w:val="0"/>
                <w:sz w:val="14"/>
              </w:rPr>
              <w:t>+0.1521</w:t>
            </w:r>
          </w:p>
        </w:tc>
        <w:tc>
          <w:tcPr>
            <w:tcW w:type="dxa" w:w="1440"/>
            <w:vAlign w:val="center"/>
          </w:tcPr>
          <w:p>
            <w:r/>
            <w:r>
              <w:rPr>
                <w:b w:val="0"/>
                <w:sz w:val="14"/>
              </w:rPr>
              <w:t>+1.47%</w:t>
            </w:r>
          </w:p>
        </w:tc>
      </w:tr>
      <w:tr>
        <w:tc>
          <w:tcPr>
            <w:tcW w:type="dxa" w:w="1440"/>
            <w:vAlign w:val="center"/>
          </w:tcPr>
          <w:p>
            <w:r/>
            <w:r>
              <w:rPr>
                <w:b w:val="0"/>
                <w:sz w:val="14"/>
              </w:rPr>
              <w:t>Qwen2.5-7B</w:t>
            </w:r>
          </w:p>
        </w:tc>
        <w:tc>
          <w:tcPr>
            <w:tcW w:type="dxa" w:w="1440"/>
            <w:vAlign w:val="center"/>
          </w:tcPr>
          <w:p>
            <w:r/>
            <w:r>
              <w:rPr>
                <w:b w:val="0"/>
                <w:sz w:val="14"/>
              </w:rPr>
              <w:t>4%</w:t>
            </w:r>
          </w:p>
        </w:tc>
        <w:tc>
          <w:tcPr>
            <w:tcW w:type="dxa" w:w="1440"/>
            <w:vAlign w:val="center"/>
          </w:tcPr>
          <w:p>
            <w:r/>
            <w:r>
              <w:rPr>
                <w:b w:val="0"/>
                <w:sz w:val="14"/>
              </w:rPr>
              <w:t>Residual full</w:t>
            </w:r>
          </w:p>
        </w:tc>
        <w:tc>
          <w:tcPr>
            <w:tcW w:type="dxa" w:w="1440"/>
            <w:vAlign w:val="center"/>
          </w:tcPr>
          <w:p>
            <w:r/>
            <w:r>
              <w:rPr>
                <w:b w:val="0"/>
                <w:sz w:val="14"/>
              </w:rPr>
              <w:t>10.3160</w:t>
            </w:r>
          </w:p>
        </w:tc>
        <w:tc>
          <w:tcPr>
            <w:tcW w:type="dxa" w:w="1440"/>
            <w:vAlign w:val="center"/>
          </w:tcPr>
          <w:p>
            <w:r/>
            <w:r>
              <w:rPr>
                <w:b w:val="0"/>
                <w:sz w:val="14"/>
              </w:rPr>
              <w:t>10.4597</w:t>
            </w:r>
          </w:p>
        </w:tc>
        <w:tc>
          <w:tcPr>
            <w:tcW w:type="dxa" w:w="1440"/>
            <w:vAlign w:val="center"/>
          </w:tcPr>
          <w:p>
            <w:r/>
            <w:r>
              <w:rPr>
                <w:b w:val="0"/>
                <w:sz w:val="14"/>
              </w:rPr>
              <w:t>+0.1437</w:t>
            </w:r>
          </w:p>
        </w:tc>
        <w:tc>
          <w:tcPr>
            <w:tcW w:type="dxa" w:w="1440"/>
            <w:vAlign w:val="center"/>
          </w:tcPr>
          <w:p>
            <w:r/>
            <w:r>
              <w:rPr>
                <w:b w:val="0"/>
                <w:sz w:val="14"/>
              </w:rPr>
              <w:t>+1.39%</w:t>
            </w:r>
          </w:p>
        </w:tc>
      </w:tr>
      <w:tr>
        <w:tc>
          <w:tcPr>
            <w:tcW w:type="dxa" w:w="1440"/>
            <w:vAlign w:val="center"/>
          </w:tcPr>
          <w:p>
            <w:r/>
            <w:r>
              <w:rPr>
                <w:b w:val="0"/>
                <w:sz w:val="14"/>
              </w:rPr>
              <w:t>Qwen2.5-7B</w:t>
            </w:r>
          </w:p>
        </w:tc>
        <w:tc>
          <w:tcPr>
            <w:tcW w:type="dxa" w:w="1440"/>
            <w:vAlign w:val="center"/>
          </w:tcPr>
          <w:p>
            <w:r/>
            <w:r>
              <w:rPr>
                <w:b w:val="0"/>
                <w:sz w:val="14"/>
              </w:rPr>
              <w:t>6%</w:t>
            </w:r>
          </w:p>
        </w:tc>
        <w:tc>
          <w:tcPr>
            <w:tcW w:type="dxa" w:w="1440"/>
            <w:vAlign w:val="center"/>
          </w:tcPr>
          <w:p>
            <w:r/>
            <w:r>
              <w:rPr>
                <w:b w:val="0"/>
                <w:sz w:val="14"/>
              </w:rPr>
              <w:t>Pure delete</w:t>
            </w:r>
          </w:p>
        </w:tc>
        <w:tc>
          <w:tcPr>
            <w:tcW w:type="dxa" w:w="1440"/>
            <w:vAlign w:val="center"/>
          </w:tcPr>
          <w:p>
            <w:r/>
            <w:r>
              <w:rPr>
                <w:b w:val="0"/>
                <w:sz w:val="14"/>
              </w:rPr>
              <w:t>10.3160</w:t>
            </w:r>
          </w:p>
        </w:tc>
        <w:tc>
          <w:tcPr>
            <w:tcW w:type="dxa" w:w="1440"/>
            <w:vAlign w:val="center"/>
          </w:tcPr>
          <w:p>
            <w:r/>
            <w:r>
              <w:rPr>
                <w:b w:val="0"/>
                <w:sz w:val="14"/>
              </w:rPr>
              <w:t>11.0123</w:t>
            </w:r>
          </w:p>
        </w:tc>
        <w:tc>
          <w:tcPr>
            <w:tcW w:type="dxa" w:w="1440"/>
            <w:vAlign w:val="center"/>
          </w:tcPr>
          <w:p>
            <w:r/>
            <w:r>
              <w:rPr>
                <w:b w:val="0"/>
                <w:sz w:val="14"/>
              </w:rPr>
              <w:t>+0.6963</w:t>
            </w:r>
          </w:p>
        </w:tc>
        <w:tc>
          <w:tcPr>
            <w:tcW w:type="dxa" w:w="1440"/>
            <w:vAlign w:val="center"/>
          </w:tcPr>
          <w:p>
            <w:r/>
            <w:r>
              <w:rPr>
                <w:b w:val="0"/>
                <w:sz w:val="14"/>
              </w:rPr>
              <w:t>+6.75%</w:t>
            </w:r>
          </w:p>
        </w:tc>
      </w:tr>
      <w:tr>
        <w:tc>
          <w:tcPr>
            <w:tcW w:type="dxa" w:w="1440"/>
            <w:vAlign w:val="center"/>
          </w:tcPr>
          <w:p>
            <w:r/>
            <w:r>
              <w:rPr>
                <w:b w:val="0"/>
                <w:sz w:val="14"/>
              </w:rPr>
              <w:t>Qwen2.5-7B</w:t>
            </w:r>
          </w:p>
        </w:tc>
        <w:tc>
          <w:tcPr>
            <w:tcW w:type="dxa" w:w="1440"/>
            <w:vAlign w:val="center"/>
          </w:tcPr>
          <w:p>
            <w:r/>
            <w:r>
              <w:rPr>
                <w:b w:val="0"/>
                <w:sz w:val="14"/>
              </w:rPr>
              <w:t>6%</w:t>
            </w:r>
          </w:p>
        </w:tc>
        <w:tc>
          <w:tcPr>
            <w:tcW w:type="dxa" w:w="1440"/>
            <w:vAlign w:val="center"/>
          </w:tcPr>
          <w:p>
            <w:r/>
            <w:r>
              <w:rPr>
                <w:b w:val="0"/>
                <w:sz w:val="14"/>
              </w:rPr>
              <w:t>Residual full</w:t>
            </w:r>
          </w:p>
        </w:tc>
        <w:tc>
          <w:tcPr>
            <w:tcW w:type="dxa" w:w="1440"/>
            <w:vAlign w:val="center"/>
          </w:tcPr>
          <w:p>
            <w:r/>
            <w:r>
              <w:rPr>
                <w:b w:val="0"/>
                <w:sz w:val="14"/>
              </w:rPr>
              <w:t>10.3160</w:t>
            </w:r>
          </w:p>
        </w:tc>
        <w:tc>
          <w:tcPr>
            <w:tcW w:type="dxa" w:w="1440"/>
            <w:vAlign w:val="center"/>
          </w:tcPr>
          <w:p>
            <w:r/>
            <w:r>
              <w:rPr>
                <w:b w:val="0"/>
                <w:sz w:val="14"/>
              </w:rPr>
              <w:t>10.8785</w:t>
            </w:r>
          </w:p>
        </w:tc>
        <w:tc>
          <w:tcPr>
            <w:tcW w:type="dxa" w:w="1440"/>
            <w:vAlign w:val="center"/>
          </w:tcPr>
          <w:p>
            <w:r/>
            <w:r>
              <w:rPr>
                <w:b w:val="0"/>
                <w:sz w:val="14"/>
              </w:rPr>
              <w:t>+0.5625</w:t>
            </w:r>
          </w:p>
        </w:tc>
        <w:tc>
          <w:tcPr>
            <w:tcW w:type="dxa" w:w="1440"/>
            <w:vAlign w:val="center"/>
          </w:tcPr>
          <w:p>
            <w:r/>
            <w:r>
              <w:rPr>
                <w:b w:val="0"/>
                <w:sz w:val="14"/>
              </w:rPr>
              <w:t>+5.45%</w:t>
            </w:r>
          </w:p>
        </w:tc>
      </w:tr>
      <w:tr>
        <w:tc>
          <w:tcPr>
            <w:tcW w:type="dxa" w:w="1440"/>
            <w:vAlign w:val="center"/>
          </w:tcPr>
          <w:p>
            <w:r/>
            <w:r>
              <w:rPr>
                <w:b w:val="0"/>
                <w:sz w:val="14"/>
              </w:rPr>
              <w:t>Qwen2.5-7B</w:t>
            </w:r>
          </w:p>
        </w:tc>
        <w:tc>
          <w:tcPr>
            <w:tcW w:type="dxa" w:w="1440"/>
            <w:vAlign w:val="center"/>
          </w:tcPr>
          <w:p>
            <w:r/>
            <w:r>
              <w:rPr>
                <w:b w:val="0"/>
                <w:sz w:val="14"/>
              </w:rPr>
              <w:t>8%</w:t>
            </w:r>
          </w:p>
        </w:tc>
        <w:tc>
          <w:tcPr>
            <w:tcW w:type="dxa" w:w="1440"/>
            <w:vAlign w:val="center"/>
          </w:tcPr>
          <w:p>
            <w:r/>
            <w:r>
              <w:rPr>
                <w:b w:val="0"/>
                <w:sz w:val="14"/>
              </w:rPr>
              <w:t>Pure delete</w:t>
            </w:r>
          </w:p>
        </w:tc>
        <w:tc>
          <w:tcPr>
            <w:tcW w:type="dxa" w:w="1440"/>
            <w:vAlign w:val="center"/>
          </w:tcPr>
          <w:p>
            <w:r/>
            <w:r>
              <w:rPr>
                <w:b w:val="0"/>
                <w:sz w:val="14"/>
              </w:rPr>
              <w:t>10.3160</w:t>
            </w:r>
          </w:p>
        </w:tc>
        <w:tc>
          <w:tcPr>
            <w:tcW w:type="dxa" w:w="1440"/>
            <w:vAlign w:val="center"/>
          </w:tcPr>
          <w:p>
            <w:r/>
            <w:r>
              <w:rPr>
                <w:b w:val="0"/>
                <w:sz w:val="14"/>
              </w:rPr>
              <w:t>11.7149</w:t>
            </w:r>
          </w:p>
        </w:tc>
        <w:tc>
          <w:tcPr>
            <w:tcW w:type="dxa" w:w="1440"/>
            <w:vAlign w:val="center"/>
          </w:tcPr>
          <w:p>
            <w:r/>
            <w:r>
              <w:rPr>
                <w:b w:val="0"/>
                <w:sz w:val="14"/>
              </w:rPr>
              <w:t>+1.3988</w:t>
            </w:r>
          </w:p>
        </w:tc>
        <w:tc>
          <w:tcPr>
            <w:tcW w:type="dxa" w:w="1440"/>
            <w:vAlign w:val="center"/>
          </w:tcPr>
          <w:p>
            <w:r/>
            <w:r>
              <w:rPr>
                <w:b w:val="0"/>
                <w:sz w:val="14"/>
              </w:rPr>
              <w:t>+13.56%</w:t>
            </w:r>
          </w:p>
        </w:tc>
      </w:tr>
      <w:tr>
        <w:tc>
          <w:tcPr>
            <w:tcW w:type="dxa" w:w="1440"/>
            <w:vAlign w:val="center"/>
          </w:tcPr>
          <w:p>
            <w:r/>
            <w:r>
              <w:rPr>
                <w:b w:val="0"/>
                <w:sz w:val="14"/>
              </w:rPr>
              <w:t>Qwen2.5-7B</w:t>
            </w:r>
          </w:p>
        </w:tc>
        <w:tc>
          <w:tcPr>
            <w:tcW w:type="dxa" w:w="1440"/>
            <w:vAlign w:val="center"/>
          </w:tcPr>
          <w:p>
            <w:r/>
            <w:r>
              <w:rPr>
                <w:b w:val="0"/>
                <w:sz w:val="14"/>
              </w:rPr>
              <w:t>8%</w:t>
            </w:r>
          </w:p>
        </w:tc>
        <w:tc>
          <w:tcPr>
            <w:tcW w:type="dxa" w:w="1440"/>
            <w:vAlign w:val="center"/>
          </w:tcPr>
          <w:p>
            <w:r/>
            <w:r>
              <w:rPr>
                <w:b w:val="0"/>
                <w:sz w:val="14"/>
              </w:rPr>
              <w:t>Residual full</w:t>
            </w:r>
          </w:p>
        </w:tc>
        <w:tc>
          <w:tcPr>
            <w:tcW w:type="dxa" w:w="1440"/>
            <w:vAlign w:val="center"/>
          </w:tcPr>
          <w:p>
            <w:r/>
            <w:r>
              <w:rPr>
                <w:b w:val="0"/>
                <w:sz w:val="14"/>
              </w:rPr>
              <w:t>10.3160</w:t>
            </w:r>
          </w:p>
        </w:tc>
        <w:tc>
          <w:tcPr>
            <w:tcW w:type="dxa" w:w="1440"/>
            <w:vAlign w:val="center"/>
          </w:tcPr>
          <w:p>
            <w:r/>
            <w:r>
              <w:rPr>
                <w:b w:val="0"/>
                <w:sz w:val="14"/>
              </w:rPr>
              <w:t>11.3433</w:t>
            </w:r>
          </w:p>
        </w:tc>
        <w:tc>
          <w:tcPr>
            <w:tcW w:type="dxa" w:w="1440"/>
            <w:vAlign w:val="center"/>
          </w:tcPr>
          <w:p>
            <w:r/>
            <w:r>
              <w:rPr>
                <w:b w:val="0"/>
                <w:sz w:val="14"/>
              </w:rPr>
              <w:t>+1.0273</w:t>
            </w:r>
          </w:p>
        </w:tc>
        <w:tc>
          <w:tcPr>
            <w:tcW w:type="dxa" w:w="1440"/>
            <w:vAlign w:val="center"/>
          </w:tcPr>
          <w:p>
            <w:r/>
            <w:r>
              <w:rPr>
                <w:b w:val="0"/>
                <w:sz w:val="14"/>
              </w:rPr>
              <w:t>+9.96%</w:t>
            </w:r>
          </w:p>
        </w:tc>
      </w:tr>
    </w:tbl>
    <w:p/>
    <w:p>
      <w:pPr>
        <w:pStyle w:val="Caption"/>
      </w:pPr>
      <w:r>
        <w:rPr>
          <w:b/>
        </w:rPr>
        <w:t>Figure 1. Dense Qwen2.5 relative PPL increase versus target MLP-channel pruning.</w:t>
      </w:r>
    </w:p>
    <w:p>
      <w:r>
        <w:drawing>
          <wp:inline xmlns:a="http://schemas.openxmlformats.org/drawingml/2006/main" xmlns:pic="http://schemas.openxmlformats.org/drawingml/2006/picture">
            <wp:extent cx="5669280" cy="3488788"/>
            <wp:docPr id="1" name="Picture 1"/>
            <wp:cNvGraphicFramePr>
              <a:graphicFrameLocks noChangeAspect="1"/>
            </wp:cNvGraphicFramePr>
            <a:graphic>
              <a:graphicData uri="http://schemas.openxmlformats.org/drawingml/2006/picture">
                <pic:pic>
                  <pic:nvPicPr>
                    <pic:cNvPr id="0" name="dense_relative_ppl.png"/>
                    <pic:cNvPicPr/>
                  </pic:nvPicPr>
                  <pic:blipFill>
                    <a:blip r:embed="rId9"/>
                    <a:stretch>
                      <a:fillRect/>
                    </a:stretch>
                  </pic:blipFill>
                  <pic:spPr>
                    <a:xfrm>
                      <a:off x="0" y="0"/>
                      <a:ext cx="5669280" cy="3488788"/>
                    </a:xfrm>
                    <a:prstGeom prst="rect"/>
                  </pic:spPr>
                </pic:pic>
              </a:graphicData>
            </a:graphic>
          </wp:inline>
        </w:drawing>
      </w:r>
    </w:p>
    <w:p>
      <w:r>
        <w:t>At 2-4% target pruning, both 3B and 7B models show negligible degradation, suggesting that the bound-guided selector identifies genuinely weak SwiGLU channels. At 6% and 8%, pure deletion starts to induce substantial error, and residual_full consistently reduces degradation.</w:t>
      </w:r>
    </w:p>
    <w:p>
      <w:r>
        <w:t>Dense residual reconstruction is more effective than MoE residual reconstruction because dense MLP layers see all calibration tokens. Therefore the least-squares problem has much stronger sample support than per-expert MoE residual repair.</w:t>
      </w:r>
    </w:p>
    <w:p>
      <w:pPr>
        <w:pStyle w:val="Heading1"/>
      </w:pPr>
      <w:r>
        <w:t>7. Qwen3-30B-A3B MoE Results</w:t>
      </w:r>
    </w:p>
    <w:p>
      <w:r>
        <w:t>The main new result is the selected full MoE benchmark. The benchmark completed 24/24 runs across two datasets, four target ratios, and three selected methods: pure deletion, nearest-channel residual merge, and ridge residual. All rows passed the forward check, had status ok, and did not use residual fallback.</w:t>
      </w:r>
    </w:p>
    <w:p>
      <w:pPr/>
      <w:r>
        <w:t>Version 3 retention note. Section 7.1 reports the complete Version 2 n_eval=512 MoE residual benchmark. Section 7.2 adds the later n_eval=1024 allocation/ranking experiments. Because baseline PPL values changed, the two protocols are interpreted separately.</w:t>
      </w:r>
    </w:p>
    <w:p>
      <w:pPr>
        <w:pStyle w:val="Caption"/>
      </w:pPr>
      <w:r>
        <w:rPr>
          <w:b/>
        </w:rPr>
        <w:t>Table 7. Selected full MoE benchmark on Qwen3-30B-A3B (n_eval=512).</w:t>
      </w:r>
    </w:p>
    <w:tbl>
      <w:tblPr>
        <w:tblStyle w:val="TableGrid"/>
        <w:tblW w:type="auto" w:w="0"/>
        <w:jc w:val="center"/>
        <w:tblLook w:firstColumn="1" w:firstRow="1" w:lastColumn="0" w:lastRow="0" w:noHBand="0" w:noVBand="1" w:val="04A0"/>
      </w:tblPr>
      <w:tblGrid>
        <w:gridCol w:w="1008"/>
        <w:gridCol w:w="1008"/>
        <w:gridCol w:w="1008"/>
        <w:gridCol w:w="1008"/>
        <w:gridCol w:w="1008"/>
        <w:gridCol w:w="1008"/>
        <w:gridCol w:w="1008"/>
        <w:gridCol w:w="1008"/>
        <w:gridCol w:w="1008"/>
        <w:gridCol w:w="1008"/>
      </w:tblGrid>
      <w:tr>
        <w:tc>
          <w:tcPr>
            <w:tcW w:type="dxa" w:w="1008"/>
            <w:vAlign w:val="center"/>
            <w:shd w:fill="D9EAF7"/>
          </w:tcPr>
          <w:p>
            <w:r/>
            <w:r>
              <w:rPr>
                <w:b/>
                <w:sz w:val="13"/>
              </w:rPr>
              <w:t>Dataset</w:t>
            </w:r>
          </w:p>
        </w:tc>
        <w:tc>
          <w:tcPr>
            <w:tcW w:type="dxa" w:w="1008"/>
            <w:vAlign w:val="center"/>
            <w:shd w:fill="D9EAF7"/>
          </w:tcPr>
          <w:p>
            <w:r/>
            <w:r>
              <w:rPr>
                <w:b/>
                <w:sz w:val="13"/>
              </w:rPr>
              <w:t>Target</w:t>
            </w:r>
          </w:p>
        </w:tc>
        <w:tc>
          <w:tcPr>
            <w:tcW w:type="dxa" w:w="1008"/>
            <w:vAlign w:val="center"/>
            <w:shd w:fill="D9EAF7"/>
          </w:tcPr>
          <w:p>
            <w:r/>
            <w:r>
              <w:rPr>
                <w:b/>
                <w:sz w:val="13"/>
              </w:rPr>
              <w:t>Actual</w:t>
            </w:r>
          </w:p>
        </w:tc>
        <w:tc>
          <w:tcPr>
            <w:tcW w:type="dxa" w:w="1008"/>
            <w:vAlign w:val="center"/>
            <w:shd w:fill="D9EAF7"/>
          </w:tcPr>
          <w:p>
            <w:r/>
            <w:r>
              <w:rPr>
                <w:b/>
                <w:sz w:val="13"/>
              </w:rPr>
              <w:t>Method</w:t>
            </w:r>
          </w:p>
        </w:tc>
        <w:tc>
          <w:tcPr>
            <w:tcW w:type="dxa" w:w="1008"/>
            <w:vAlign w:val="center"/>
            <w:shd w:fill="D9EAF7"/>
          </w:tcPr>
          <w:p>
            <w:r/>
            <w:r>
              <w:rPr>
                <w:b/>
                <w:sz w:val="13"/>
              </w:rPr>
              <w:t>Res. cov.</w:t>
            </w:r>
          </w:p>
        </w:tc>
        <w:tc>
          <w:tcPr>
            <w:tcW w:type="dxa" w:w="1008"/>
            <w:vAlign w:val="center"/>
            <w:shd w:fill="D9EAF7"/>
          </w:tcPr>
          <w:p>
            <w:r/>
            <w:r>
              <w:rPr>
                <w:b/>
                <w:sz w:val="13"/>
              </w:rPr>
              <w:t>Expert red.</w:t>
            </w:r>
          </w:p>
        </w:tc>
        <w:tc>
          <w:tcPr>
            <w:tcW w:type="dxa" w:w="1008"/>
            <w:vAlign w:val="center"/>
            <w:shd w:fill="D9EAF7"/>
          </w:tcPr>
          <w:p>
            <w:r/>
            <w:r>
              <w:rPr>
                <w:b/>
                <w:sz w:val="13"/>
              </w:rPr>
              <w:t>Base PPL</w:t>
            </w:r>
          </w:p>
        </w:tc>
        <w:tc>
          <w:tcPr>
            <w:tcW w:type="dxa" w:w="1008"/>
            <w:vAlign w:val="center"/>
            <w:shd w:fill="D9EAF7"/>
          </w:tcPr>
          <w:p>
            <w:r/>
            <w:r>
              <w:rPr>
                <w:b/>
                <w:sz w:val="13"/>
              </w:rPr>
              <w:t>PPL</w:t>
            </w:r>
          </w:p>
        </w:tc>
        <w:tc>
          <w:tcPr>
            <w:tcW w:type="dxa" w:w="1008"/>
            <w:vAlign w:val="center"/>
            <w:shd w:fill="D9EAF7"/>
          </w:tcPr>
          <w:p>
            <w:r/>
            <w:r>
              <w:rPr>
                <w:b/>
                <w:sz w:val="13"/>
              </w:rPr>
              <w:t>Delta</w:t>
            </w:r>
          </w:p>
        </w:tc>
        <w:tc>
          <w:tcPr>
            <w:tcW w:type="dxa" w:w="1008"/>
            <w:vAlign w:val="center"/>
            <w:shd w:fill="D9EAF7"/>
          </w:tcPr>
          <w:p>
            <w:r/>
            <w:r>
              <w:rPr>
                <w:b/>
                <w:sz w:val="13"/>
              </w:rPr>
              <w:t>Rel. inc.</w:t>
            </w:r>
          </w:p>
        </w:tc>
      </w:tr>
      <w:tr>
        <w:tc>
          <w:tcPr>
            <w:tcW w:type="dxa" w:w="1008"/>
            <w:vAlign w:val="center"/>
          </w:tcPr>
          <w:p>
            <w:r/>
            <w:r>
              <w:rPr>
                <w:b w:val="0"/>
                <w:sz w:val="13"/>
              </w:rPr>
              <w:t>WikiText2</w:t>
            </w:r>
          </w:p>
        </w:tc>
        <w:tc>
          <w:tcPr>
            <w:tcW w:type="dxa" w:w="1008"/>
            <w:vAlign w:val="center"/>
          </w:tcPr>
          <w:p>
            <w:r/>
            <w:r>
              <w:rPr>
                <w:b w:val="0"/>
                <w:sz w:val="13"/>
              </w:rPr>
              <w:t>2%</w:t>
            </w:r>
          </w:p>
        </w:tc>
        <w:tc>
          <w:tcPr>
            <w:tcW w:type="dxa" w:w="1008"/>
            <w:vAlign w:val="center"/>
          </w:tcPr>
          <w:p>
            <w:r/>
            <w:r>
              <w:rPr>
                <w:b w:val="0"/>
                <w:sz w:val="13"/>
              </w:rPr>
              <w:t>2.3%</w:t>
            </w:r>
          </w:p>
        </w:tc>
        <w:tc>
          <w:tcPr>
            <w:tcW w:type="dxa" w:w="1008"/>
            <w:vAlign w:val="center"/>
          </w:tcPr>
          <w:p>
            <w:r/>
            <w:r>
              <w:rPr>
                <w:b w:val="0"/>
                <w:sz w:val="13"/>
              </w:rPr>
              <w:t>pure_delete</w:t>
            </w:r>
          </w:p>
        </w:tc>
        <w:tc>
          <w:tcPr>
            <w:tcW w:type="dxa" w:w="1008"/>
            <w:vAlign w:val="center"/>
          </w:tcPr>
          <w:p>
            <w:r/>
            <w:r>
              <w:rPr>
                <w:b w:val="0"/>
                <w:sz w:val="13"/>
              </w:rPr>
              <w:t>0.0%</w:t>
            </w:r>
          </w:p>
        </w:tc>
        <w:tc>
          <w:tcPr>
            <w:tcW w:type="dxa" w:w="1008"/>
            <w:vAlign w:val="center"/>
          </w:tcPr>
          <w:p>
            <w:r/>
            <w:r>
              <w:rPr>
                <w:b w:val="0"/>
                <w:sz w:val="13"/>
              </w:rPr>
              <w:t>2.3%</w:t>
            </w:r>
          </w:p>
        </w:tc>
        <w:tc>
          <w:tcPr>
            <w:tcW w:type="dxa" w:w="1008"/>
            <w:vAlign w:val="center"/>
          </w:tcPr>
          <w:p>
            <w:r/>
            <w:r>
              <w:rPr>
                <w:b w:val="0"/>
                <w:sz w:val="13"/>
              </w:rPr>
              <w:t>12.3194</w:t>
            </w:r>
          </w:p>
        </w:tc>
        <w:tc>
          <w:tcPr>
            <w:tcW w:type="dxa" w:w="1008"/>
            <w:vAlign w:val="center"/>
          </w:tcPr>
          <w:p>
            <w:r/>
            <w:r>
              <w:rPr>
                <w:b w:val="0"/>
                <w:sz w:val="13"/>
              </w:rPr>
              <w:t>12.3699</w:t>
            </w:r>
          </w:p>
        </w:tc>
        <w:tc>
          <w:tcPr>
            <w:tcW w:type="dxa" w:w="1008"/>
            <w:vAlign w:val="center"/>
          </w:tcPr>
          <w:p>
            <w:r/>
            <w:r>
              <w:rPr>
                <w:b w:val="0"/>
                <w:sz w:val="13"/>
              </w:rPr>
              <w:t>+0.0505</w:t>
            </w:r>
          </w:p>
        </w:tc>
        <w:tc>
          <w:tcPr>
            <w:tcW w:type="dxa" w:w="1008"/>
            <w:vAlign w:val="center"/>
          </w:tcPr>
          <w:p>
            <w:r/>
            <w:r>
              <w:rPr>
                <w:b w:val="0"/>
                <w:sz w:val="13"/>
              </w:rPr>
              <w:t>+0.4%</w:t>
            </w:r>
          </w:p>
        </w:tc>
      </w:tr>
      <w:tr>
        <w:tc>
          <w:tcPr>
            <w:tcW w:type="dxa" w:w="1008"/>
            <w:vAlign w:val="center"/>
          </w:tcPr>
          <w:p>
            <w:r/>
            <w:r>
              <w:rPr>
                <w:b w:val="0"/>
                <w:sz w:val="13"/>
              </w:rPr>
              <w:t>WikiText2</w:t>
            </w:r>
          </w:p>
        </w:tc>
        <w:tc>
          <w:tcPr>
            <w:tcW w:type="dxa" w:w="1008"/>
            <w:vAlign w:val="center"/>
          </w:tcPr>
          <w:p>
            <w:r/>
            <w:r>
              <w:rPr>
                <w:b w:val="0"/>
                <w:sz w:val="13"/>
              </w:rPr>
              <w:t>2%</w:t>
            </w:r>
          </w:p>
        </w:tc>
        <w:tc>
          <w:tcPr>
            <w:tcW w:type="dxa" w:w="1008"/>
            <w:vAlign w:val="center"/>
          </w:tcPr>
          <w:p>
            <w:r/>
            <w:r>
              <w:rPr>
                <w:b w:val="0"/>
                <w:sz w:val="13"/>
              </w:rPr>
              <w:t>2.3%</w:t>
            </w:r>
          </w:p>
        </w:tc>
        <w:tc>
          <w:tcPr>
            <w:tcW w:type="dxa" w:w="1008"/>
            <w:vAlign w:val="center"/>
          </w:tcPr>
          <w:p>
            <w:r/>
            <w:r>
              <w:rPr>
                <w:b w:val="0"/>
                <w:sz w:val="13"/>
              </w:rPr>
              <w:t>nearest_channel_merge</w:t>
            </w:r>
          </w:p>
        </w:tc>
        <w:tc>
          <w:tcPr>
            <w:tcW w:type="dxa" w:w="1008"/>
            <w:vAlign w:val="center"/>
          </w:tcPr>
          <w:p>
            <w:r/>
            <w:r>
              <w:rPr>
                <w:b w:val="0"/>
                <w:sz w:val="13"/>
              </w:rPr>
              <w:t>6.2%</w:t>
            </w:r>
          </w:p>
        </w:tc>
        <w:tc>
          <w:tcPr>
            <w:tcW w:type="dxa" w:w="1008"/>
            <w:vAlign w:val="center"/>
          </w:tcPr>
          <w:p>
            <w:r/>
            <w:r>
              <w:rPr>
                <w:b w:val="0"/>
                <w:sz w:val="13"/>
              </w:rPr>
              <w:t>2.3%</w:t>
            </w:r>
          </w:p>
        </w:tc>
        <w:tc>
          <w:tcPr>
            <w:tcW w:type="dxa" w:w="1008"/>
            <w:vAlign w:val="center"/>
          </w:tcPr>
          <w:p>
            <w:r/>
            <w:r>
              <w:rPr>
                <w:b w:val="0"/>
                <w:sz w:val="13"/>
              </w:rPr>
              <w:t>12.3194</w:t>
            </w:r>
          </w:p>
        </w:tc>
        <w:tc>
          <w:tcPr>
            <w:tcW w:type="dxa" w:w="1008"/>
            <w:vAlign w:val="center"/>
          </w:tcPr>
          <w:p>
            <w:r/>
            <w:r>
              <w:rPr>
                <w:b w:val="0"/>
                <w:sz w:val="13"/>
              </w:rPr>
              <w:t>12.3367</w:t>
            </w:r>
          </w:p>
        </w:tc>
        <w:tc>
          <w:tcPr>
            <w:tcW w:type="dxa" w:w="1008"/>
            <w:vAlign w:val="center"/>
          </w:tcPr>
          <w:p>
            <w:r/>
            <w:r>
              <w:rPr>
                <w:b w:val="0"/>
                <w:sz w:val="13"/>
              </w:rPr>
              <w:t>+0.0172</w:t>
            </w:r>
          </w:p>
        </w:tc>
        <w:tc>
          <w:tcPr>
            <w:tcW w:type="dxa" w:w="1008"/>
            <w:vAlign w:val="center"/>
          </w:tcPr>
          <w:p>
            <w:r/>
            <w:r>
              <w:rPr>
                <w:b w:val="0"/>
                <w:sz w:val="13"/>
              </w:rPr>
              <w:t>+0.1%</w:t>
            </w:r>
          </w:p>
        </w:tc>
      </w:tr>
      <w:tr>
        <w:tc>
          <w:tcPr>
            <w:tcW w:type="dxa" w:w="1008"/>
            <w:vAlign w:val="center"/>
          </w:tcPr>
          <w:p>
            <w:r/>
            <w:r>
              <w:rPr>
                <w:b w:val="0"/>
                <w:sz w:val="13"/>
              </w:rPr>
              <w:t>WikiText2</w:t>
            </w:r>
          </w:p>
        </w:tc>
        <w:tc>
          <w:tcPr>
            <w:tcW w:type="dxa" w:w="1008"/>
            <w:vAlign w:val="center"/>
          </w:tcPr>
          <w:p>
            <w:r/>
            <w:r>
              <w:rPr>
                <w:b w:val="0"/>
                <w:sz w:val="13"/>
              </w:rPr>
              <w:t>2%</w:t>
            </w:r>
          </w:p>
        </w:tc>
        <w:tc>
          <w:tcPr>
            <w:tcW w:type="dxa" w:w="1008"/>
            <w:vAlign w:val="center"/>
          </w:tcPr>
          <w:p>
            <w:r/>
            <w:r>
              <w:rPr>
                <w:b w:val="0"/>
                <w:sz w:val="13"/>
              </w:rPr>
              <w:t>2.3%</w:t>
            </w:r>
          </w:p>
        </w:tc>
        <w:tc>
          <w:tcPr>
            <w:tcW w:type="dxa" w:w="1008"/>
            <w:vAlign w:val="center"/>
          </w:tcPr>
          <w:p>
            <w:r/>
            <w:r>
              <w:rPr>
                <w:b w:val="0"/>
                <w:sz w:val="13"/>
              </w:rPr>
              <w:t>ridge</w:t>
            </w:r>
          </w:p>
        </w:tc>
        <w:tc>
          <w:tcPr>
            <w:tcW w:type="dxa" w:w="1008"/>
            <w:vAlign w:val="center"/>
          </w:tcPr>
          <w:p>
            <w:r/>
            <w:r>
              <w:rPr>
                <w:b w:val="0"/>
                <w:sz w:val="13"/>
              </w:rPr>
              <w:t>6.2%</w:t>
            </w:r>
          </w:p>
        </w:tc>
        <w:tc>
          <w:tcPr>
            <w:tcW w:type="dxa" w:w="1008"/>
            <w:vAlign w:val="center"/>
          </w:tcPr>
          <w:p>
            <w:r/>
            <w:r>
              <w:rPr>
                <w:b w:val="0"/>
                <w:sz w:val="13"/>
              </w:rPr>
              <w:t>2.3%</w:t>
            </w:r>
          </w:p>
        </w:tc>
        <w:tc>
          <w:tcPr>
            <w:tcW w:type="dxa" w:w="1008"/>
            <w:vAlign w:val="center"/>
          </w:tcPr>
          <w:p>
            <w:r/>
            <w:r>
              <w:rPr>
                <w:b w:val="0"/>
                <w:sz w:val="13"/>
              </w:rPr>
              <w:t>12.3194</w:t>
            </w:r>
          </w:p>
        </w:tc>
        <w:tc>
          <w:tcPr>
            <w:tcW w:type="dxa" w:w="1008"/>
            <w:vAlign w:val="center"/>
          </w:tcPr>
          <w:p>
            <w:r/>
            <w:r>
              <w:rPr>
                <w:b w:val="0"/>
                <w:sz w:val="13"/>
              </w:rPr>
              <w:t>12.3588</w:t>
            </w:r>
          </w:p>
        </w:tc>
        <w:tc>
          <w:tcPr>
            <w:tcW w:type="dxa" w:w="1008"/>
            <w:vAlign w:val="center"/>
          </w:tcPr>
          <w:p>
            <w:r/>
            <w:r>
              <w:rPr>
                <w:b w:val="0"/>
                <w:sz w:val="13"/>
              </w:rPr>
              <w:t>+0.0394</w:t>
            </w:r>
          </w:p>
        </w:tc>
        <w:tc>
          <w:tcPr>
            <w:tcW w:type="dxa" w:w="1008"/>
            <w:vAlign w:val="center"/>
          </w:tcPr>
          <w:p>
            <w:r/>
            <w:r>
              <w:rPr>
                <w:b w:val="0"/>
                <w:sz w:val="13"/>
              </w:rPr>
              <w:t>+0.3%</w:t>
            </w:r>
          </w:p>
        </w:tc>
      </w:tr>
      <w:tr>
        <w:tc>
          <w:tcPr>
            <w:tcW w:type="dxa" w:w="1008"/>
            <w:vAlign w:val="center"/>
          </w:tcPr>
          <w:p>
            <w:r/>
            <w:r>
              <w:rPr>
                <w:b w:val="0"/>
                <w:sz w:val="13"/>
              </w:rPr>
              <w:t>C4</w:t>
            </w:r>
          </w:p>
        </w:tc>
        <w:tc>
          <w:tcPr>
            <w:tcW w:type="dxa" w:w="1008"/>
            <w:vAlign w:val="center"/>
          </w:tcPr>
          <w:p>
            <w:r/>
            <w:r>
              <w:rPr>
                <w:b w:val="0"/>
                <w:sz w:val="13"/>
              </w:rPr>
              <w:t>2%</w:t>
            </w:r>
          </w:p>
        </w:tc>
        <w:tc>
          <w:tcPr>
            <w:tcW w:type="dxa" w:w="1008"/>
            <w:vAlign w:val="center"/>
          </w:tcPr>
          <w:p>
            <w:r/>
            <w:r>
              <w:rPr>
                <w:b w:val="0"/>
                <w:sz w:val="13"/>
              </w:rPr>
              <w:t>2.3%</w:t>
            </w:r>
          </w:p>
        </w:tc>
        <w:tc>
          <w:tcPr>
            <w:tcW w:type="dxa" w:w="1008"/>
            <w:vAlign w:val="center"/>
          </w:tcPr>
          <w:p>
            <w:r/>
            <w:r>
              <w:rPr>
                <w:b w:val="0"/>
                <w:sz w:val="13"/>
              </w:rPr>
              <w:t>pure_delete</w:t>
            </w:r>
          </w:p>
        </w:tc>
        <w:tc>
          <w:tcPr>
            <w:tcW w:type="dxa" w:w="1008"/>
            <w:vAlign w:val="center"/>
          </w:tcPr>
          <w:p>
            <w:r/>
            <w:r>
              <w:rPr>
                <w:b w:val="0"/>
                <w:sz w:val="13"/>
              </w:rPr>
              <w:t>0.0%</w:t>
            </w:r>
          </w:p>
        </w:tc>
        <w:tc>
          <w:tcPr>
            <w:tcW w:type="dxa" w:w="1008"/>
            <w:vAlign w:val="center"/>
          </w:tcPr>
          <w:p>
            <w:r/>
            <w:r>
              <w:rPr>
                <w:b w:val="0"/>
                <w:sz w:val="13"/>
              </w:rPr>
              <w:t>2.3%</w:t>
            </w:r>
          </w:p>
        </w:tc>
        <w:tc>
          <w:tcPr>
            <w:tcW w:type="dxa" w:w="1008"/>
            <w:vAlign w:val="center"/>
          </w:tcPr>
          <w:p>
            <w:r/>
            <w:r>
              <w:rPr>
                <w:b w:val="0"/>
                <w:sz w:val="13"/>
              </w:rPr>
              <w:t>14.4115</w:t>
            </w:r>
          </w:p>
        </w:tc>
        <w:tc>
          <w:tcPr>
            <w:tcW w:type="dxa" w:w="1008"/>
            <w:vAlign w:val="center"/>
          </w:tcPr>
          <w:p>
            <w:r/>
            <w:r>
              <w:rPr>
                <w:b w:val="0"/>
                <w:sz w:val="13"/>
              </w:rPr>
              <w:t>14.5326</w:t>
            </w:r>
          </w:p>
        </w:tc>
        <w:tc>
          <w:tcPr>
            <w:tcW w:type="dxa" w:w="1008"/>
            <w:vAlign w:val="center"/>
          </w:tcPr>
          <w:p>
            <w:r/>
            <w:r>
              <w:rPr>
                <w:b w:val="0"/>
                <w:sz w:val="13"/>
              </w:rPr>
              <w:t>+0.1210</w:t>
            </w:r>
          </w:p>
        </w:tc>
        <w:tc>
          <w:tcPr>
            <w:tcW w:type="dxa" w:w="1008"/>
            <w:vAlign w:val="center"/>
          </w:tcPr>
          <w:p>
            <w:r/>
            <w:r>
              <w:rPr>
                <w:b w:val="0"/>
                <w:sz w:val="13"/>
              </w:rPr>
              <w:t>+0.8%</w:t>
            </w:r>
          </w:p>
        </w:tc>
      </w:tr>
      <w:tr>
        <w:tc>
          <w:tcPr>
            <w:tcW w:type="dxa" w:w="1008"/>
            <w:vAlign w:val="center"/>
          </w:tcPr>
          <w:p>
            <w:r/>
            <w:r>
              <w:rPr>
                <w:b w:val="0"/>
                <w:sz w:val="13"/>
              </w:rPr>
              <w:t>C4</w:t>
            </w:r>
          </w:p>
        </w:tc>
        <w:tc>
          <w:tcPr>
            <w:tcW w:type="dxa" w:w="1008"/>
            <w:vAlign w:val="center"/>
          </w:tcPr>
          <w:p>
            <w:r/>
            <w:r>
              <w:rPr>
                <w:b w:val="0"/>
                <w:sz w:val="13"/>
              </w:rPr>
              <w:t>2%</w:t>
            </w:r>
          </w:p>
        </w:tc>
        <w:tc>
          <w:tcPr>
            <w:tcW w:type="dxa" w:w="1008"/>
            <w:vAlign w:val="center"/>
          </w:tcPr>
          <w:p>
            <w:r/>
            <w:r>
              <w:rPr>
                <w:b w:val="0"/>
                <w:sz w:val="13"/>
              </w:rPr>
              <w:t>2.3%</w:t>
            </w:r>
          </w:p>
        </w:tc>
        <w:tc>
          <w:tcPr>
            <w:tcW w:type="dxa" w:w="1008"/>
            <w:vAlign w:val="center"/>
          </w:tcPr>
          <w:p>
            <w:r/>
            <w:r>
              <w:rPr>
                <w:b w:val="0"/>
                <w:sz w:val="13"/>
              </w:rPr>
              <w:t>nearest_channel_merge</w:t>
            </w:r>
          </w:p>
        </w:tc>
        <w:tc>
          <w:tcPr>
            <w:tcW w:type="dxa" w:w="1008"/>
            <w:vAlign w:val="center"/>
          </w:tcPr>
          <w:p>
            <w:r/>
            <w:r>
              <w:rPr>
                <w:b w:val="0"/>
                <w:sz w:val="13"/>
              </w:rPr>
              <w:t>6.2%</w:t>
            </w:r>
          </w:p>
        </w:tc>
        <w:tc>
          <w:tcPr>
            <w:tcW w:type="dxa" w:w="1008"/>
            <w:vAlign w:val="center"/>
          </w:tcPr>
          <w:p>
            <w:r/>
            <w:r>
              <w:rPr>
                <w:b w:val="0"/>
                <w:sz w:val="13"/>
              </w:rPr>
              <w:t>2.3%</w:t>
            </w:r>
          </w:p>
        </w:tc>
        <w:tc>
          <w:tcPr>
            <w:tcW w:type="dxa" w:w="1008"/>
            <w:vAlign w:val="center"/>
          </w:tcPr>
          <w:p>
            <w:r/>
            <w:r>
              <w:rPr>
                <w:b w:val="0"/>
                <w:sz w:val="13"/>
              </w:rPr>
              <w:t>14.4115</w:t>
            </w:r>
          </w:p>
        </w:tc>
        <w:tc>
          <w:tcPr>
            <w:tcW w:type="dxa" w:w="1008"/>
            <w:vAlign w:val="center"/>
          </w:tcPr>
          <w:p>
            <w:r/>
            <w:r>
              <w:rPr>
                <w:b w:val="0"/>
                <w:sz w:val="13"/>
              </w:rPr>
              <w:t>14.5224</w:t>
            </w:r>
          </w:p>
        </w:tc>
        <w:tc>
          <w:tcPr>
            <w:tcW w:type="dxa" w:w="1008"/>
            <w:vAlign w:val="center"/>
          </w:tcPr>
          <w:p>
            <w:r/>
            <w:r>
              <w:rPr>
                <w:b w:val="0"/>
                <w:sz w:val="13"/>
              </w:rPr>
              <w:t>+0.1109</w:t>
            </w:r>
          </w:p>
        </w:tc>
        <w:tc>
          <w:tcPr>
            <w:tcW w:type="dxa" w:w="1008"/>
            <w:vAlign w:val="center"/>
          </w:tcPr>
          <w:p>
            <w:r/>
            <w:r>
              <w:rPr>
                <w:b w:val="0"/>
                <w:sz w:val="13"/>
              </w:rPr>
              <w:t>+0.8%</w:t>
            </w:r>
          </w:p>
        </w:tc>
      </w:tr>
      <w:tr>
        <w:tc>
          <w:tcPr>
            <w:tcW w:type="dxa" w:w="1008"/>
            <w:vAlign w:val="center"/>
          </w:tcPr>
          <w:p>
            <w:r/>
            <w:r>
              <w:rPr>
                <w:b w:val="0"/>
                <w:sz w:val="13"/>
              </w:rPr>
              <w:t>C4</w:t>
            </w:r>
          </w:p>
        </w:tc>
        <w:tc>
          <w:tcPr>
            <w:tcW w:type="dxa" w:w="1008"/>
            <w:vAlign w:val="center"/>
          </w:tcPr>
          <w:p>
            <w:r/>
            <w:r>
              <w:rPr>
                <w:b w:val="0"/>
                <w:sz w:val="13"/>
              </w:rPr>
              <w:t>2%</w:t>
            </w:r>
          </w:p>
        </w:tc>
        <w:tc>
          <w:tcPr>
            <w:tcW w:type="dxa" w:w="1008"/>
            <w:vAlign w:val="center"/>
          </w:tcPr>
          <w:p>
            <w:r/>
            <w:r>
              <w:rPr>
                <w:b w:val="0"/>
                <w:sz w:val="13"/>
              </w:rPr>
              <w:t>2.3%</w:t>
            </w:r>
          </w:p>
        </w:tc>
        <w:tc>
          <w:tcPr>
            <w:tcW w:type="dxa" w:w="1008"/>
            <w:vAlign w:val="center"/>
          </w:tcPr>
          <w:p>
            <w:r/>
            <w:r>
              <w:rPr>
                <w:b w:val="0"/>
                <w:sz w:val="13"/>
              </w:rPr>
              <w:t>ridge</w:t>
            </w:r>
          </w:p>
        </w:tc>
        <w:tc>
          <w:tcPr>
            <w:tcW w:type="dxa" w:w="1008"/>
            <w:vAlign w:val="center"/>
          </w:tcPr>
          <w:p>
            <w:r/>
            <w:r>
              <w:rPr>
                <w:b w:val="0"/>
                <w:sz w:val="13"/>
              </w:rPr>
              <w:t>6.2%</w:t>
            </w:r>
          </w:p>
        </w:tc>
        <w:tc>
          <w:tcPr>
            <w:tcW w:type="dxa" w:w="1008"/>
            <w:vAlign w:val="center"/>
          </w:tcPr>
          <w:p>
            <w:r/>
            <w:r>
              <w:rPr>
                <w:b w:val="0"/>
                <w:sz w:val="13"/>
              </w:rPr>
              <w:t>2.3%</w:t>
            </w:r>
          </w:p>
        </w:tc>
        <w:tc>
          <w:tcPr>
            <w:tcW w:type="dxa" w:w="1008"/>
            <w:vAlign w:val="center"/>
          </w:tcPr>
          <w:p>
            <w:r/>
            <w:r>
              <w:rPr>
                <w:b w:val="0"/>
                <w:sz w:val="13"/>
              </w:rPr>
              <w:t>14.4115</w:t>
            </w:r>
          </w:p>
        </w:tc>
        <w:tc>
          <w:tcPr>
            <w:tcW w:type="dxa" w:w="1008"/>
            <w:vAlign w:val="center"/>
          </w:tcPr>
          <w:p>
            <w:r/>
            <w:r>
              <w:rPr>
                <w:b w:val="0"/>
                <w:sz w:val="13"/>
              </w:rPr>
              <w:t>14.5226</w:t>
            </w:r>
          </w:p>
        </w:tc>
        <w:tc>
          <w:tcPr>
            <w:tcW w:type="dxa" w:w="1008"/>
            <w:vAlign w:val="center"/>
          </w:tcPr>
          <w:p>
            <w:r/>
            <w:r>
              <w:rPr>
                <w:b w:val="0"/>
                <w:sz w:val="13"/>
              </w:rPr>
              <w:t>+0.1111</w:t>
            </w:r>
          </w:p>
        </w:tc>
        <w:tc>
          <w:tcPr>
            <w:tcW w:type="dxa" w:w="1008"/>
            <w:vAlign w:val="center"/>
          </w:tcPr>
          <w:p>
            <w:r/>
            <w:r>
              <w:rPr>
                <w:b w:val="0"/>
                <w:sz w:val="13"/>
              </w:rPr>
              <w:t>+0.8%</w:t>
            </w:r>
          </w:p>
        </w:tc>
      </w:tr>
      <w:tr>
        <w:tc>
          <w:tcPr>
            <w:tcW w:type="dxa" w:w="1008"/>
            <w:vAlign w:val="center"/>
          </w:tcPr>
          <w:p>
            <w:r/>
            <w:r>
              <w:rPr>
                <w:b w:val="0"/>
                <w:sz w:val="13"/>
              </w:rPr>
              <w:t>WikiText2</w:t>
            </w:r>
          </w:p>
        </w:tc>
        <w:tc>
          <w:tcPr>
            <w:tcW w:type="dxa" w:w="1008"/>
            <w:vAlign w:val="center"/>
          </w:tcPr>
          <w:p>
            <w:r/>
            <w:r>
              <w:rPr>
                <w:b w:val="0"/>
                <w:sz w:val="13"/>
              </w:rPr>
              <w:t>4%</w:t>
            </w:r>
          </w:p>
        </w:tc>
        <w:tc>
          <w:tcPr>
            <w:tcW w:type="dxa" w:w="1008"/>
            <w:vAlign w:val="center"/>
          </w:tcPr>
          <w:p>
            <w:r/>
            <w:r>
              <w:rPr>
                <w:b w:val="0"/>
                <w:sz w:val="13"/>
              </w:rPr>
              <w:t>4.3%</w:t>
            </w:r>
          </w:p>
        </w:tc>
        <w:tc>
          <w:tcPr>
            <w:tcW w:type="dxa" w:w="1008"/>
            <w:vAlign w:val="center"/>
          </w:tcPr>
          <w:p>
            <w:r/>
            <w:r>
              <w:rPr>
                <w:b w:val="0"/>
                <w:sz w:val="13"/>
              </w:rPr>
              <w:t>pure_delete</w:t>
            </w:r>
          </w:p>
        </w:tc>
        <w:tc>
          <w:tcPr>
            <w:tcW w:type="dxa" w:w="1008"/>
            <w:vAlign w:val="center"/>
          </w:tcPr>
          <w:p>
            <w:r/>
            <w:r>
              <w:rPr>
                <w:b w:val="0"/>
                <w:sz w:val="13"/>
              </w:rPr>
              <w:t>0.0%</w:t>
            </w:r>
          </w:p>
        </w:tc>
        <w:tc>
          <w:tcPr>
            <w:tcW w:type="dxa" w:w="1008"/>
            <w:vAlign w:val="center"/>
          </w:tcPr>
          <w:p>
            <w:r/>
            <w:r>
              <w:rPr>
                <w:b w:val="0"/>
                <w:sz w:val="13"/>
              </w:rPr>
              <w:t>4.3%</w:t>
            </w:r>
          </w:p>
        </w:tc>
        <w:tc>
          <w:tcPr>
            <w:tcW w:type="dxa" w:w="1008"/>
            <w:vAlign w:val="center"/>
          </w:tcPr>
          <w:p>
            <w:r/>
            <w:r>
              <w:rPr>
                <w:b w:val="0"/>
                <w:sz w:val="13"/>
              </w:rPr>
              <w:t>12.3194</w:t>
            </w:r>
          </w:p>
        </w:tc>
        <w:tc>
          <w:tcPr>
            <w:tcW w:type="dxa" w:w="1008"/>
            <w:vAlign w:val="center"/>
          </w:tcPr>
          <w:p>
            <w:r/>
            <w:r>
              <w:rPr>
                <w:b w:val="0"/>
                <w:sz w:val="13"/>
              </w:rPr>
              <w:t>12.6564</w:t>
            </w:r>
          </w:p>
        </w:tc>
        <w:tc>
          <w:tcPr>
            <w:tcW w:type="dxa" w:w="1008"/>
            <w:vAlign w:val="center"/>
          </w:tcPr>
          <w:p>
            <w:r/>
            <w:r>
              <w:rPr>
                <w:b w:val="0"/>
                <w:sz w:val="13"/>
              </w:rPr>
              <w:t>+0.3369</w:t>
            </w:r>
          </w:p>
        </w:tc>
        <w:tc>
          <w:tcPr>
            <w:tcW w:type="dxa" w:w="1008"/>
            <w:vAlign w:val="center"/>
          </w:tcPr>
          <w:p>
            <w:r/>
            <w:r>
              <w:rPr>
                <w:b w:val="0"/>
                <w:sz w:val="13"/>
              </w:rPr>
              <w:t>+2.7%</w:t>
            </w:r>
          </w:p>
        </w:tc>
      </w:tr>
      <w:tr>
        <w:tc>
          <w:tcPr>
            <w:tcW w:type="dxa" w:w="1008"/>
            <w:vAlign w:val="center"/>
          </w:tcPr>
          <w:p>
            <w:r/>
            <w:r>
              <w:rPr>
                <w:b w:val="0"/>
                <w:sz w:val="13"/>
              </w:rPr>
              <w:t>WikiText2</w:t>
            </w:r>
          </w:p>
        </w:tc>
        <w:tc>
          <w:tcPr>
            <w:tcW w:type="dxa" w:w="1008"/>
            <w:vAlign w:val="center"/>
          </w:tcPr>
          <w:p>
            <w:r/>
            <w:r>
              <w:rPr>
                <w:b w:val="0"/>
                <w:sz w:val="13"/>
              </w:rPr>
              <w:t>4%</w:t>
            </w:r>
          </w:p>
        </w:tc>
        <w:tc>
          <w:tcPr>
            <w:tcW w:type="dxa" w:w="1008"/>
            <w:vAlign w:val="center"/>
          </w:tcPr>
          <w:p>
            <w:r/>
            <w:r>
              <w:rPr>
                <w:b w:val="0"/>
                <w:sz w:val="13"/>
              </w:rPr>
              <w:t>4.3%</w:t>
            </w:r>
          </w:p>
        </w:tc>
        <w:tc>
          <w:tcPr>
            <w:tcW w:type="dxa" w:w="1008"/>
            <w:vAlign w:val="center"/>
          </w:tcPr>
          <w:p>
            <w:r/>
            <w:r>
              <w:rPr>
                <w:b w:val="0"/>
                <w:sz w:val="13"/>
              </w:rPr>
              <w:t>nearest_channel_merge</w:t>
            </w:r>
          </w:p>
        </w:tc>
        <w:tc>
          <w:tcPr>
            <w:tcW w:type="dxa" w:w="1008"/>
            <w:vAlign w:val="center"/>
          </w:tcPr>
          <w:p>
            <w:r/>
            <w:r>
              <w:rPr>
                <w:b w:val="0"/>
                <w:sz w:val="13"/>
              </w:rPr>
              <w:t>6.4%</w:t>
            </w:r>
          </w:p>
        </w:tc>
        <w:tc>
          <w:tcPr>
            <w:tcW w:type="dxa" w:w="1008"/>
            <w:vAlign w:val="center"/>
          </w:tcPr>
          <w:p>
            <w:r/>
            <w:r>
              <w:rPr>
                <w:b w:val="0"/>
                <w:sz w:val="13"/>
              </w:rPr>
              <w:t>4.3%</w:t>
            </w:r>
          </w:p>
        </w:tc>
        <w:tc>
          <w:tcPr>
            <w:tcW w:type="dxa" w:w="1008"/>
            <w:vAlign w:val="center"/>
          </w:tcPr>
          <w:p>
            <w:r/>
            <w:r>
              <w:rPr>
                <w:b w:val="0"/>
                <w:sz w:val="13"/>
              </w:rPr>
              <w:t>12.3194</w:t>
            </w:r>
          </w:p>
        </w:tc>
        <w:tc>
          <w:tcPr>
            <w:tcW w:type="dxa" w:w="1008"/>
            <w:vAlign w:val="center"/>
          </w:tcPr>
          <w:p>
            <w:r/>
            <w:r>
              <w:rPr>
                <w:b w:val="0"/>
                <w:sz w:val="13"/>
              </w:rPr>
              <w:t>12.6158</w:t>
            </w:r>
          </w:p>
        </w:tc>
        <w:tc>
          <w:tcPr>
            <w:tcW w:type="dxa" w:w="1008"/>
            <w:vAlign w:val="center"/>
          </w:tcPr>
          <w:p>
            <w:r/>
            <w:r>
              <w:rPr>
                <w:b w:val="0"/>
                <w:sz w:val="13"/>
              </w:rPr>
              <w:t>+0.2964</w:t>
            </w:r>
          </w:p>
        </w:tc>
        <w:tc>
          <w:tcPr>
            <w:tcW w:type="dxa" w:w="1008"/>
            <w:vAlign w:val="center"/>
          </w:tcPr>
          <w:p>
            <w:r/>
            <w:r>
              <w:rPr>
                <w:b w:val="0"/>
                <w:sz w:val="13"/>
              </w:rPr>
              <w:t>+2.4%</w:t>
            </w:r>
          </w:p>
        </w:tc>
      </w:tr>
      <w:tr>
        <w:tc>
          <w:tcPr>
            <w:tcW w:type="dxa" w:w="1008"/>
            <w:vAlign w:val="center"/>
          </w:tcPr>
          <w:p>
            <w:r/>
            <w:r>
              <w:rPr>
                <w:b w:val="0"/>
                <w:sz w:val="13"/>
              </w:rPr>
              <w:t>WikiText2</w:t>
            </w:r>
          </w:p>
        </w:tc>
        <w:tc>
          <w:tcPr>
            <w:tcW w:type="dxa" w:w="1008"/>
            <w:vAlign w:val="center"/>
          </w:tcPr>
          <w:p>
            <w:r/>
            <w:r>
              <w:rPr>
                <w:b w:val="0"/>
                <w:sz w:val="13"/>
              </w:rPr>
              <w:t>4%</w:t>
            </w:r>
          </w:p>
        </w:tc>
        <w:tc>
          <w:tcPr>
            <w:tcW w:type="dxa" w:w="1008"/>
            <w:vAlign w:val="center"/>
          </w:tcPr>
          <w:p>
            <w:r/>
            <w:r>
              <w:rPr>
                <w:b w:val="0"/>
                <w:sz w:val="13"/>
              </w:rPr>
              <w:t>4.3%</w:t>
            </w:r>
          </w:p>
        </w:tc>
        <w:tc>
          <w:tcPr>
            <w:tcW w:type="dxa" w:w="1008"/>
            <w:vAlign w:val="center"/>
          </w:tcPr>
          <w:p>
            <w:r/>
            <w:r>
              <w:rPr>
                <w:b w:val="0"/>
                <w:sz w:val="13"/>
              </w:rPr>
              <w:t>ridge</w:t>
            </w:r>
          </w:p>
        </w:tc>
        <w:tc>
          <w:tcPr>
            <w:tcW w:type="dxa" w:w="1008"/>
            <w:vAlign w:val="center"/>
          </w:tcPr>
          <w:p>
            <w:r/>
            <w:r>
              <w:rPr>
                <w:b w:val="0"/>
                <w:sz w:val="13"/>
              </w:rPr>
              <w:t>6.4%</w:t>
            </w:r>
          </w:p>
        </w:tc>
        <w:tc>
          <w:tcPr>
            <w:tcW w:type="dxa" w:w="1008"/>
            <w:vAlign w:val="center"/>
          </w:tcPr>
          <w:p>
            <w:r/>
            <w:r>
              <w:rPr>
                <w:b w:val="0"/>
                <w:sz w:val="13"/>
              </w:rPr>
              <w:t>4.3%</w:t>
            </w:r>
          </w:p>
        </w:tc>
        <w:tc>
          <w:tcPr>
            <w:tcW w:type="dxa" w:w="1008"/>
            <w:vAlign w:val="center"/>
          </w:tcPr>
          <w:p>
            <w:r/>
            <w:r>
              <w:rPr>
                <w:b w:val="0"/>
                <w:sz w:val="13"/>
              </w:rPr>
              <w:t>12.3194</w:t>
            </w:r>
          </w:p>
        </w:tc>
        <w:tc>
          <w:tcPr>
            <w:tcW w:type="dxa" w:w="1008"/>
            <w:vAlign w:val="center"/>
          </w:tcPr>
          <w:p>
            <w:r/>
            <w:r>
              <w:rPr>
                <w:b w:val="0"/>
                <w:sz w:val="13"/>
              </w:rPr>
              <w:t>12.6767</w:t>
            </w:r>
          </w:p>
        </w:tc>
        <w:tc>
          <w:tcPr>
            <w:tcW w:type="dxa" w:w="1008"/>
            <w:vAlign w:val="center"/>
          </w:tcPr>
          <w:p>
            <w:r/>
            <w:r>
              <w:rPr>
                <w:b w:val="0"/>
                <w:sz w:val="13"/>
              </w:rPr>
              <w:t>+0.3573</w:t>
            </w:r>
          </w:p>
        </w:tc>
        <w:tc>
          <w:tcPr>
            <w:tcW w:type="dxa" w:w="1008"/>
            <w:vAlign w:val="center"/>
          </w:tcPr>
          <w:p>
            <w:r/>
            <w:r>
              <w:rPr>
                <w:b w:val="0"/>
                <w:sz w:val="13"/>
              </w:rPr>
              <w:t>+2.9%</w:t>
            </w:r>
          </w:p>
        </w:tc>
      </w:tr>
      <w:tr>
        <w:tc>
          <w:tcPr>
            <w:tcW w:type="dxa" w:w="1008"/>
            <w:vAlign w:val="center"/>
          </w:tcPr>
          <w:p>
            <w:r/>
            <w:r>
              <w:rPr>
                <w:b w:val="0"/>
                <w:sz w:val="13"/>
              </w:rPr>
              <w:t>C4</w:t>
            </w:r>
          </w:p>
        </w:tc>
        <w:tc>
          <w:tcPr>
            <w:tcW w:type="dxa" w:w="1008"/>
            <w:vAlign w:val="center"/>
          </w:tcPr>
          <w:p>
            <w:r/>
            <w:r>
              <w:rPr>
                <w:b w:val="0"/>
                <w:sz w:val="13"/>
              </w:rPr>
              <w:t>4%</w:t>
            </w:r>
          </w:p>
        </w:tc>
        <w:tc>
          <w:tcPr>
            <w:tcW w:type="dxa" w:w="1008"/>
            <w:vAlign w:val="center"/>
          </w:tcPr>
          <w:p>
            <w:r/>
            <w:r>
              <w:rPr>
                <w:b w:val="0"/>
                <w:sz w:val="13"/>
              </w:rPr>
              <w:t>4.3%</w:t>
            </w:r>
          </w:p>
        </w:tc>
        <w:tc>
          <w:tcPr>
            <w:tcW w:type="dxa" w:w="1008"/>
            <w:vAlign w:val="center"/>
          </w:tcPr>
          <w:p>
            <w:r/>
            <w:r>
              <w:rPr>
                <w:b w:val="0"/>
                <w:sz w:val="13"/>
              </w:rPr>
              <w:t>pure_delete</w:t>
            </w:r>
          </w:p>
        </w:tc>
        <w:tc>
          <w:tcPr>
            <w:tcW w:type="dxa" w:w="1008"/>
            <w:vAlign w:val="center"/>
          </w:tcPr>
          <w:p>
            <w:r/>
            <w:r>
              <w:rPr>
                <w:b w:val="0"/>
                <w:sz w:val="13"/>
              </w:rPr>
              <w:t>0.0%</w:t>
            </w:r>
          </w:p>
        </w:tc>
        <w:tc>
          <w:tcPr>
            <w:tcW w:type="dxa" w:w="1008"/>
            <w:vAlign w:val="center"/>
          </w:tcPr>
          <w:p>
            <w:r/>
            <w:r>
              <w:rPr>
                <w:b w:val="0"/>
                <w:sz w:val="13"/>
              </w:rPr>
              <w:t>4.3%</w:t>
            </w:r>
          </w:p>
        </w:tc>
        <w:tc>
          <w:tcPr>
            <w:tcW w:type="dxa" w:w="1008"/>
            <w:vAlign w:val="center"/>
          </w:tcPr>
          <w:p>
            <w:r/>
            <w:r>
              <w:rPr>
                <w:b w:val="0"/>
                <w:sz w:val="13"/>
              </w:rPr>
              <w:t>14.4115</w:t>
            </w:r>
          </w:p>
        </w:tc>
        <w:tc>
          <w:tcPr>
            <w:tcW w:type="dxa" w:w="1008"/>
            <w:vAlign w:val="center"/>
          </w:tcPr>
          <w:p>
            <w:r/>
            <w:r>
              <w:rPr>
                <w:b w:val="0"/>
                <w:sz w:val="13"/>
              </w:rPr>
              <w:t>14.6093</w:t>
            </w:r>
          </w:p>
        </w:tc>
        <w:tc>
          <w:tcPr>
            <w:tcW w:type="dxa" w:w="1008"/>
            <w:vAlign w:val="center"/>
          </w:tcPr>
          <w:p>
            <w:r/>
            <w:r>
              <w:rPr>
                <w:b w:val="0"/>
                <w:sz w:val="13"/>
              </w:rPr>
              <w:t>+0.1978</w:t>
            </w:r>
          </w:p>
        </w:tc>
        <w:tc>
          <w:tcPr>
            <w:tcW w:type="dxa" w:w="1008"/>
            <w:vAlign w:val="center"/>
          </w:tcPr>
          <w:p>
            <w:r/>
            <w:r>
              <w:rPr>
                <w:b w:val="0"/>
                <w:sz w:val="13"/>
              </w:rPr>
              <w:t>+1.4%</w:t>
            </w:r>
          </w:p>
        </w:tc>
      </w:tr>
      <w:tr>
        <w:tc>
          <w:tcPr>
            <w:tcW w:type="dxa" w:w="1008"/>
            <w:vAlign w:val="center"/>
          </w:tcPr>
          <w:p>
            <w:r/>
            <w:r>
              <w:rPr>
                <w:b w:val="0"/>
                <w:sz w:val="13"/>
              </w:rPr>
              <w:t>C4</w:t>
            </w:r>
          </w:p>
        </w:tc>
        <w:tc>
          <w:tcPr>
            <w:tcW w:type="dxa" w:w="1008"/>
            <w:vAlign w:val="center"/>
          </w:tcPr>
          <w:p>
            <w:r/>
            <w:r>
              <w:rPr>
                <w:b w:val="0"/>
                <w:sz w:val="13"/>
              </w:rPr>
              <w:t>4%</w:t>
            </w:r>
          </w:p>
        </w:tc>
        <w:tc>
          <w:tcPr>
            <w:tcW w:type="dxa" w:w="1008"/>
            <w:vAlign w:val="center"/>
          </w:tcPr>
          <w:p>
            <w:r/>
            <w:r>
              <w:rPr>
                <w:b w:val="0"/>
                <w:sz w:val="13"/>
              </w:rPr>
              <w:t>4.3%</w:t>
            </w:r>
          </w:p>
        </w:tc>
        <w:tc>
          <w:tcPr>
            <w:tcW w:type="dxa" w:w="1008"/>
            <w:vAlign w:val="center"/>
          </w:tcPr>
          <w:p>
            <w:r/>
            <w:r>
              <w:rPr>
                <w:b w:val="0"/>
                <w:sz w:val="13"/>
              </w:rPr>
              <w:t>nearest_channel_merge</w:t>
            </w:r>
          </w:p>
        </w:tc>
        <w:tc>
          <w:tcPr>
            <w:tcW w:type="dxa" w:w="1008"/>
            <w:vAlign w:val="center"/>
          </w:tcPr>
          <w:p>
            <w:r/>
            <w:r>
              <w:rPr>
                <w:b w:val="0"/>
                <w:sz w:val="13"/>
              </w:rPr>
              <w:t>6.4%</w:t>
            </w:r>
          </w:p>
        </w:tc>
        <w:tc>
          <w:tcPr>
            <w:tcW w:type="dxa" w:w="1008"/>
            <w:vAlign w:val="center"/>
          </w:tcPr>
          <w:p>
            <w:r/>
            <w:r>
              <w:rPr>
                <w:b w:val="0"/>
                <w:sz w:val="13"/>
              </w:rPr>
              <w:t>4.3%</w:t>
            </w:r>
          </w:p>
        </w:tc>
        <w:tc>
          <w:tcPr>
            <w:tcW w:type="dxa" w:w="1008"/>
            <w:vAlign w:val="center"/>
          </w:tcPr>
          <w:p>
            <w:r/>
            <w:r>
              <w:rPr>
                <w:b w:val="0"/>
                <w:sz w:val="13"/>
              </w:rPr>
              <w:t>14.4115</w:t>
            </w:r>
          </w:p>
        </w:tc>
        <w:tc>
          <w:tcPr>
            <w:tcW w:type="dxa" w:w="1008"/>
            <w:vAlign w:val="center"/>
          </w:tcPr>
          <w:p>
            <w:r/>
            <w:r>
              <w:rPr>
                <w:b w:val="0"/>
                <w:sz w:val="13"/>
              </w:rPr>
              <w:t>14.6068</w:t>
            </w:r>
          </w:p>
        </w:tc>
        <w:tc>
          <w:tcPr>
            <w:tcW w:type="dxa" w:w="1008"/>
            <w:vAlign w:val="center"/>
          </w:tcPr>
          <w:p>
            <w:r/>
            <w:r>
              <w:rPr>
                <w:b w:val="0"/>
                <w:sz w:val="13"/>
              </w:rPr>
              <w:t>+0.1952</w:t>
            </w:r>
          </w:p>
        </w:tc>
        <w:tc>
          <w:tcPr>
            <w:tcW w:type="dxa" w:w="1008"/>
            <w:vAlign w:val="center"/>
          </w:tcPr>
          <w:p>
            <w:r/>
            <w:r>
              <w:rPr>
                <w:b w:val="0"/>
                <w:sz w:val="13"/>
              </w:rPr>
              <w:t>+1.4%</w:t>
            </w:r>
          </w:p>
        </w:tc>
      </w:tr>
      <w:tr>
        <w:tc>
          <w:tcPr>
            <w:tcW w:type="dxa" w:w="1008"/>
            <w:vAlign w:val="center"/>
          </w:tcPr>
          <w:p>
            <w:r/>
            <w:r>
              <w:rPr>
                <w:b w:val="0"/>
                <w:sz w:val="13"/>
              </w:rPr>
              <w:t>C4</w:t>
            </w:r>
          </w:p>
        </w:tc>
        <w:tc>
          <w:tcPr>
            <w:tcW w:type="dxa" w:w="1008"/>
            <w:vAlign w:val="center"/>
          </w:tcPr>
          <w:p>
            <w:r/>
            <w:r>
              <w:rPr>
                <w:b w:val="0"/>
                <w:sz w:val="13"/>
              </w:rPr>
              <w:t>4%</w:t>
            </w:r>
          </w:p>
        </w:tc>
        <w:tc>
          <w:tcPr>
            <w:tcW w:type="dxa" w:w="1008"/>
            <w:vAlign w:val="center"/>
          </w:tcPr>
          <w:p>
            <w:r/>
            <w:r>
              <w:rPr>
                <w:b w:val="0"/>
                <w:sz w:val="13"/>
              </w:rPr>
              <w:t>4.3%</w:t>
            </w:r>
          </w:p>
        </w:tc>
        <w:tc>
          <w:tcPr>
            <w:tcW w:type="dxa" w:w="1008"/>
            <w:vAlign w:val="center"/>
          </w:tcPr>
          <w:p>
            <w:r/>
            <w:r>
              <w:rPr>
                <w:b w:val="0"/>
                <w:sz w:val="13"/>
              </w:rPr>
              <w:t>ridge</w:t>
            </w:r>
          </w:p>
        </w:tc>
        <w:tc>
          <w:tcPr>
            <w:tcW w:type="dxa" w:w="1008"/>
            <w:vAlign w:val="center"/>
          </w:tcPr>
          <w:p>
            <w:r/>
            <w:r>
              <w:rPr>
                <w:b w:val="0"/>
                <w:sz w:val="13"/>
              </w:rPr>
              <w:t>6.4%</w:t>
            </w:r>
          </w:p>
        </w:tc>
        <w:tc>
          <w:tcPr>
            <w:tcW w:type="dxa" w:w="1008"/>
            <w:vAlign w:val="center"/>
          </w:tcPr>
          <w:p>
            <w:r/>
            <w:r>
              <w:rPr>
                <w:b w:val="0"/>
                <w:sz w:val="13"/>
              </w:rPr>
              <w:t>4.3%</w:t>
            </w:r>
          </w:p>
        </w:tc>
        <w:tc>
          <w:tcPr>
            <w:tcW w:type="dxa" w:w="1008"/>
            <w:vAlign w:val="center"/>
          </w:tcPr>
          <w:p>
            <w:r/>
            <w:r>
              <w:rPr>
                <w:b w:val="0"/>
                <w:sz w:val="13"/>
              </w:rPr>
              <w:t>14.4115</w:t>
            </w:r>
          </w:p>
        </w:tc>
        <w:tc>
          <w:tcPr>
            <w:tcW w:type="dxa" w:w="1008"/>
            <w:vAlign w:val="center"/>
          </w:tcPr>
          <w:p>
            <w:r/>
            <w:r>
              <w:rPr>
                <w:b w:val="0"/>
                <w:sz w:val="13"/>
              </w:rPr>
              <w:t>14.6122</w:t>
            </w:r>
          </w:p>
        </w:tc>
        <w:tc>
          <w:tcPr>
            <w:tcW w:type="dxa" w:w="1008"/>
            <w:vAlign w:val="center"/>
          </w:tcPr>
          <w:p>
            <w:r/>
            <w:r>
              <w:rPr>
                <w:b w:val="0"/>
                <w:sz w:val="13"/>
              </w:rPr>
              <w:t>+0.2007</w:t>
            </w:r>
          </w:p>
        </w:tc>
        <w:tc>
          <w:tcPr>
            <w:tcW w:type="dxa" w:w="1008"/>
            <w:vAlign w:val="center"/>
          </w:tcPr>
          <w:p>
            <w:r/>
            <w:r>
              <w:rPr>
                <w:b w:val="0"/>
                <w:sz w:val="13"/>
              </w:rPr>
              <w:t>+1.4%</w:t>
            </w:r>
          </w:p>
        </w:tc>
      </w:tr>
      <w:tr>
        <w:tc>
          <w:tcPr>
            <w:tcW w:type="dxa" w:w="1008"/>
            <w:vAlign w:val="center"/>
          </w:tcPr>
          <w:p>
            <w:r/>
            <w:r>
              <w:rPr>
                <w:b w:val="0"/>
                <w:sz w:val="13"/>
              </w:rPr>
              <w:t>WikiText2</w:t>
            </w:r>
          </w:p>
        </w:tc>
        <w:tc>
          <w:tcPr>
            <w:tcW w:type="dxa" w:w="1008"/>
            <w:vAlign w:val="center"/>
          </w:tcPr>
          <w:p>
            <w:r/>
            <w:r>
              <w:rPr>
                <w:b w:val="0"/>
                <w:sz w:val="13"/>
              </w:rPr>
              <w:t>6%</w:t>
            </w:r>
          </w:p>
        </w:tc>
        <w:tc>
          <w:tcPr>
            <w:tcW w:type="dxa" w:w="1008"/>
            <w:vAlign w:val="center"/>
          </w:tcPr>
          <w:p>
            <w:r/>
            <w:r>
              <w:rPr>
                <w:b w:val="0"/>
                <w:sz w:val="13"/>
              </w:rPr>
              <w:t>6.2%</w:t>
            </w:r>
          </w:p>
        </w:tc>
        <w:tc>
          <w:tcPr>
            <w:tcW w:type="dxa" w:w="1008"/>
            <w:vAlign w:val="center"/>
          </w:tcPr>
          <w:p>
            <w:r/>
            <w:r>
              <w:rPr>
                <w:b w:val="0"/>
                <w:sz w:val="13"/>
              </w:rPr>
              <w:t>pure_delete</w:t>
            </w:r>
          </w:p>
        </w:tc>
        <w:tc>
          <w:tcPr>
            <w:tcW w:type="dxa" w:w="1008"/>
            <w:vAlign w:val="center"/>
          </w:tcPr>
          <w:p>
            <w:r/>
            <w:r>
              <w:rPr>
                <w:b w:val="0"/>
                <w:sz w:val="13"/>
              </w:rPr>
              <w:t>0.0%</w:t>
            </w:r>
          </w:p>
        </w:tc>
        <w:tc>
          <w:tcPr>
            <w:tcW w:type="dxa" w:w="1008"/>
            <w:vAlign w:val="center"/>
          </w:tcPr>
          <w:p>
            <w:r/>
            <w:r>
              <w:rPr>
                <w:b w:val="0"/>
                <w:sz w:val="13"/>
              </w:rPr>
              <w:t>6.2%</w:t>
            </w:r>
          </w:p>
        </w:tc>
        <w:tc>
          <w:tcPr>
            <w:tcW w:type="dxa" w:w="1008"/>
            <w:vAlign w:val="center"/>
          </w:tcPr>
          <w:p>
            <w:r/>
            <w:r>
              <w:rPr>
                <w:b w:val="0"/>
                <w:sz w:val="13"/>
              </w:rPr>
              <w:t>12.3194</w:t>
            </w:r>
          </w:p>
        </w:tc>
        <w:tc>
          <w:tcPr>
            <w:tcW w:type="dxa" w:w="1008"/>
            <w:vAlign w:val="center"/>
          </w:tcPr>
          <w:p>
            <w:r/>
            <w:r>
              <w:rPr>
                <w:b w:val="0"/>
                <w:sz w:val="13"/>
              </w:rPr>
              <w:t>12.7873</w:t>
            </w:r>
          </w:p>
        </w:tc>
        <w:tc>
          <w:tcPr>
            <w:tcW w:type="dxa" w:w="1008"/>
            <w:vAlign w:val="center"/>
          </w:tcPr>
          <w:p>
            <w:r/>
            <w:r>
              <w:rPr>
                <w:b w:val="0"/>
                <w:sz w:val="13"/>
              </w:rPr>
              <w:t>+0.4679</w:t>
            </w:r>
          </w:p>
        </w:tc>
        <w:tc>
          <w:tcPr>
            <w:tcW w:type="dxa" w:w="1008"/>
            <w:vAlign w:val="center"/>
          </w:tcPr>
          <w:p>
            <w:r/>
            <w:r>
              <w:rPr>
                <w:b w:val="0"/>
                <w:sz w:val="13"/>
              </w:rPr>
              <w:t>+3.8%</w:t>
            </w:r>
          </w:p>
        </w:tc>
      </w:tr>
      <w:tr>
        <w:tc>
          <w:tcPr>
            <w:tcW w:type="dxa" w:w="1008"/>
            <w:vAlign w:val="center"/>
          </w:tcPr>
          <w:p>
            <w:r/>
            <w:r>
              <w:rPr>
                <w:b w:val="0"/>
                <w:sz w:val="13"/>
              </w:rPr>
              <w:t>WikiText2</w:t>
            </w:r>
          </w:p>
        </w:tc>
        <w:tc>
          <w:tcPr>
            <w:tcW w:type="dxa" w:w="1008"/>
            <w:vAlign w:val="center"/>
          </w:tcPr>
          <w:p>
            <w:r/>
            <w:r>
              <w:rPr>
                <w:b w:val="0"/>
                <w:sz w:val="13"/>
              </w:rPr>
              <w:t>6%</w:t>
            </w:r>
          </w:p>
        </w:tc>
        <w:tc>
          <w:tcPr>
            <w:tcW w:type="dxa" w:w="1008"/>
            <w:vAlign w:val="center"/>
          </w:tcPr>
          <w:p>
            <w:r/>
            <w:r>
              <w:rPr>
                <w:b w:val="0"/>
                <w:sz w:val="13"/>
              </w:rPr>
              <w:t>6.2%</w:t>
            </w:r>
          </w:p>
        </w:tc>
        <w:tc>
          <w:tcPr>
            <w:tcW w:type="dxa" w:w="1008"/>
            <w:vAlign w:val="center"/>
          </w:tcPr>
          <w:p>
            <w:r/>
            <w:r>
              <w:rPr>
                <w:b w:val="0"/>
                <w:sz w:val="13"/>
              </w:rPr>
              <w:t>nearest_channel_merge</w:t>
            </w:r>
          </w:p>
        </w:tc>
        <w:tc>
          <w:tcPr>
            <w:tcW w:type="dxa" w:w="1008"/>
            <w:vAlign w:val="center"/>
          </w:tcPr>
          <w:p>
            <w:r/>
            <w:r>
              <w:rPr>
                <w:b w:val="0"/>
                <w:sz w:val="13"/>
              </w:rPr>
              <w:t>6.2%</w:t>
            </w:r>
          </w:p>
        </w:tc>
        <w:tc>
          <w:tcPr>
            <w:tcW w:type="dxa" w:w="1008"/>
            <w:vAlign w:val="center"/>
          </w:tcPr>
          <w:p>
            <w:r/>
            <w:r>
              <w:rPr>
                <w:b w:val="0"/>
                <w:sz w:val="13"/>
              </w:rPr>
              <w:t>6.2%</w:t>
            </w:r>
          </w:p>
        </w:tc>
        <w:tc>
          <w:tcPr>
            <w:tcW w:type="dxa" w:w="1008"/>
            <w:vAlign w:val="center"/>
          </w:tcPr>
          <w:p>
            <w:r/>
            <w:r>
              <w:rPr>
                <w:b w:val="0"/>
                <w:sz w:val="13"/>
              </w:rPr>
              <w:t>12.3194</w:t>
            </w:r>
          </w:p>
        </w:tc>
        <w:tc>
          <w:tcPr>
            <w:tcW w:type="dxa" w:w="1008"/>
            <w:vAlign w:val="center"/>
          </w:tcPr>
          <w:p>
            <w:r/>
            <w:r>
              <w:rPr>
                <w:b w:val="0"/>
                <w:sz w:val="13"/>
              </w:rPr>
              <w:t>12.7779</w:t>
            </w:r>
          </w:p>
        </w:tc>
        <w:tc>
          <w:tcPr>
            <w:tcW w:type="dxa" w:w="1008"/>
            <w:vAlign w:val="center"/>
          </w:tcPr>
          <w:p>
            <w:r/>
            <w:r>
              <w:rPr>
                <w:b w:val="0"/>
                <w:sz w:val="13"/>
              </w:rPr>
              <w:t>+0.4585</w:t>
            </w:r>
          </w:p>
        </w:tc>
        <w:tc>
          <w:tcPr>
            <w:tcW w:type="dxa" w:w="1008"/>
            <w:vAlign w:val="center"/>
          </w:tcPr>
          <w:p>
            <w:r/>
            <w:r>
              <w:rPr>
                <w:b w:val="0"/>
                <w:sz w:val="13"/>
              </w:rPr>
              <w:t>+3.7%</w:t>
            </w:r>
          </w:p>
        </w:tc>
      </w:tr>
      <w:tr>
        <w:tc>
          <w:tcPr>
            <w:tcW w:type="dxa" w:w="1008"/>
            <w:vAlign w:val="center"/>
          </w:tcPr>
          <w:p>
            <w:r/>
            <w:r>
              <w:rPr>
                <w:b w:val="0"/>
                <w:sz w:val="13"/>
              </w:rPr>
              <w:t>WikiText2</w:t>
            </w:r>
          </w:p>
        </w:tc>
        <w:tc>
          <w:tcPr>
            <w:tcW w:type="dxa" w:w="1008"/>
            <w:vAlign w:val="center"/>
          </w:tcPr>
          <w:p>
            <w:r/>
            <w:r>
              <w:rPr>
                <w:b w:val="0"/>
                <w:sz w:val="13"/>
              </w:rPr>
              <w:t>6%</w:t>
            </w:r>
          </w:p>
        </w:tc>
        <w:tc>
          <w:tcPr>
            <w:tcW w:type="dxa" w:w="1008"/>
            <w:vAlign w:val="center"/>
          </w:tcPr>
          <w:p>
            <w:r/>
            <w:r>
              <w:rPr>
                <w:b w:val="0"/>
                <w:sz w:val="13"/>
              </w:rPr>
              <w:t>6.2%</w:t>
            </w:r>
          </w:p>
        </w:tc>
        <w:tc>
          <w:tcPr>
            <w:tcW w:type="dxa" w:w="1008"/>
            <w:vAlign w:val="center"/>
          </w:tcPr>
          <w:p>
            <w:r/>
            <w:r>
              <w:rPr>
                <w:b w:val="0"/>
                <w:sz w:val="13"/>
              </w:rPr>
              <w:t>ridge</w:t>
            </w:r>
          </w:p>
        </w:tc>
        <w:tc>
          <w:tcPr>
            <w:tcW w:type="dxa" w:w="1008"/>
            <w:vAlign w:val="center"/>
          </w:tcPr>
          <w:p>
            <w:r/>
            <w:r>
              <w:rPr>
                <w:b w:val="0"/>
                <w:sz w:val="13"/>
              </w:rPr>
              <w:t>6.2%</w:t>
            </w:r>
          </w:p>
        </w:tc>
        <w:tc>
          <w:tcPr>
            <w:tcW w:type="dxa" w:w="1008"/>
            <w:vAlign w:val="center"/>
          </w:tcPr>
          <w:p>
            <w:r/>
            <w:r>
              <w:rPr>
                <w:b w:val="0"/>
                <w:sz w:val="13"/>
              </w:rPr>
              <w:t>6.2%</w:t>
            </w:r>
          </w:p>
        </w:tc>
        <w:tc>
          <w:tcPr>
            <w:tcW w:type="dxa" w:w="1008"/>
            <w:vAlign w:val="center"/>
          </w:tcPr>
          <w:p>
            <w:r/>
            <w:r>
              <w:rPr>
                <w:b w:val="0"/>
                <w:sz w:val="13"/>
              </w:rPr>
              <w:t>12.3194</w:t>
            </w:r>
          </w:p>
        </w:tc>
        <w:tc>
          <w:tcPr>
            <w:tcW w:type="dxa" w:w="1008"/>
            <w:vAlign w:val="center"/>
          </w:tcPr>
          <w:p>
            <w:r/>
            <w:r>
              <w:rPr>
                <w:b w:val="0"/>
                <w:sz w:val="13"/>
              </w:rPr>
              <w:t>12.8449</w:t>
            </w:r>
          </w:p>
        </w:tc>
        <w:tc>
          <w:tcPr>
            <w:tcW w:type="dxa" w:w="1008"/>
            <w:vAlign w:val="center"/>
          </w:tcPr>
          <w:p>
            <w:r/>
            <w:r>
              <w:rPr>
                <w:b w:val="0"/>
                <w:sz w:val="13"/>
              </w:rPr>
              <w:t>+0.5255</w:t>
            </w:r>
          </w:p>
        </w:tc>
        <w:tc>
          <w:tcPr>
            <w:tcW w:type="dxa" w:w="1008"/>
            <w:vAlign w:val="center"/>
          </w:tcPr>
          <w:p>
            <w:r/>
            <w:r>
              <w:rPr>
                <w:b w:val="0"/>
                <w:sz w:val="13"/>
              </w:rPr>
              <w:t>+4.3%</w:t>
            </w:r>
          </w:p>
        </w:tc>
      </w:tr>
      <w:tr>
        <w:tc>
          <w:tcPr>
            <w:tcW w:type="dxa" w:w="1008"/>
            <w:vAlign w:val="center"/>
          </w:tcPr>
          <w:p>
            <w:r/>
            <w:r>
              <w:rPr>
                <w:b w:val="0"/>
                <w:sz w:val="13"/>
              </w:rPr>
              <w:t>C4</w:t>
            </w:r>
          </w:p>
        </w:tc>
        <w:tc>
          <w:tcPr>
            <w:tcW w:type="dxa" w:w="1008"/>
            <w:vAlign w:val="center"/>
          </w:tcPr>
          <w:p>
            <w:r/>
            <w:r>
              <w:rPr>
                <w:b w:val="0"/>
                <w:sz w:val="13"/>
              </w:rPr>
              <w:t>6%</w:t>
            </w:r>
          </w:p>
        </w:tc>
        <w:tc>
          <w:tcPr>
            <w:tcW w:type="dxa" w:w="1008"/>
            <w:vAlign w:val="center"/>
          </w:tcPr>
          <w:p>
            <w:r/>
            <w:r>
              <w:rPr>
                <w:b w:val="0"/>
                <w:sz w:val="13"/>
              </w:rPr>
              <w:t>6.2%</w:t>
            </w:r>
          </w:p>
        </w:tc>
        <w:tc>
          <w:tcPr>
            <w:tcW w:type="dxa" w:w="1008"/>
            <w:vAlign w:val="center"/>
          </w:tcPr>
          <w:p>
            <w:r/>
            <w:r>
              <w:rPr>
                <w:b w:val="0"/>
                <w:sz w:val="13"/>
              </w:rPr>
              <w:t>pure_delete</w:t>
            </w:r>
          </w:p>
        </w:tc>
        <w:tc>
          <w:tcPr>
            <w:tcW w:type="dxa" w:w="1008"/>
            <w:vAlign w:val="center"/>
          </w:tcPr>
          <w:p>
            <w:r/>
            <w:r>
              <w:rPr>
                <w:b w:val="0"/>
                <w:sz w:val="13"/>
              </w:rPr>
              <w:t>0.0%</w:t>
            </w:r>
          </w:p>
        </w:tc>
        <w:tc>
          <w:tcPr>
            <w:tcW w:type="dxa" w:w="1008"/>
            <w:vAlign w:val="center"/>
          </w:tcPr>
          <w:p>
            <w:r/>
            <w:r>
              <w:rPr>
                <w:b w:val="0"/>
                <w:sz w:val="13"/>
              </w:rPr>
              <w:t>6.2%</w:t>
            </w:r>
          </w:p>
        </w:tc>
        <w:tc>
          <w:tcPr>
            <w:tcW w:type="dxa" w:w="1008"/>
            <w:vAlign w:val="center"/>
          </w:tcPr>
          <w:p>
            <w:r/>
            <w:r>
              <w:rPr>
                <w:b w:val="0"/>
                <w:sz w:val="13"/>
              </w:rPr>
              <w:t>14.4115</w:t>
            </w:r>
          </w:p>
        </w:tc>
        <w:tc>
          <w:tcPr>
            <w:tcW w:type="dxa" w:w="1008"/>
            <w:vAlign w:val="center"/>
          </w:tcPr>
          <w:p>
            <w:r/>
            <w:r>
              <w:rPr>
                <w:b w:val="0"/>
                <w:sz w:val="13"/>
              </w:rPr>
              <w:t>14.7240</w:t>
            </w:r>
          </w:p>
        </w:tc>
        <w:tc>
          <w:tcPr>
            <w:tcW w:type="dxa" w:w="1008"/>
            <w:vAlign w:val="center"/>
          </w:tcPr>
          <w:p>
            <w:r/>
            <w:r>
              <w:rPr>
                <w:b w:val="0"/>
                <w:sz w:val="13"/>
              </w:rPr>
              <w:t>+0.3125</w:t>
            </w:r>
          </w:p>
        </w:tc>
        <w:tc>
          <w:tcPr>
            <w:tcW w:type="dxa" w:w="1008"/>
            <w:vAlign w:val="center"/>
          </w:tcPr>
          <w:p>
            <w:r/>
            <w:r>
              <w:rPr>
                <w:b w:val="0"/>
                <w:sz w:val="13"/>
              </w:rPr>
              <w:t>+2.2%</w:t>
            </w:r>
          </w:p>
        </w:tc>
      </w:tr>
      <w:tr>
        <w:tc>
          <w:tcPr>
            <w:tcW w:type="dxa" w:w="1008"/>
            <w:vAlign w:val="center"/>
          </w:tcPr>
          <w:p>
            <w:r/>
            <w:r>
              <w:rPr>
                <w:b w:val="0"/>
                <w:sz w:val="13"/>
              </w:rPr>
              <w:t>C4</w:t>
            </w:r>
          </w:p>
        </w:tc>
        <w:tc>
          <w:tcPr>
            <w:tcW w:type="dxa" w:w="1008"/>
            <w:vAlign w:val="center"/>
          </w:tcPr>
          <w:p>
            <w:r/>
            <w:r>
              <w:rPr>
                <w:b w:val="0"/>
                <w:sz w:val="13"/>
              </w:rPr>
              <w:t>6%</w:t>
            </w:r>
          </w:p>
        </w:tc>
        <w:tc>
          <w:tcPr>
            <w:tcW w:type="dxa" w:w="1008"/>
            <w:vAlign w:val="center"/>
          </w:tcPr>
          <w:p>
            <w:r/>
            <w:r>
              <w:rPr>
                <w:b w:val="0"/>
                <w:sz w:val="13"/>
              </w:rPr>
              <w:t>6.2%</w:t>
            </w:r>
          </w:p>
        </w:tc>
        <w:tc>
          <w:tcPr>
            <w:tcW w:type="dxa" w:w="1008"/>
            <w:vAlign w:val="center"/>
          </w:tcPr>
          <w:p>
            <w:r/>
            <w:r>
              <w:rPr>
                <w:b w:val="0"/>
                <w:sz w:val="13"/>
              </w:rPr>
              <w:t>nearest_channel_merge</w:t>
            </w:r>
          </w:p>
        </w:tc>
        <w:tc>
          <w:tcPr>
            <w:tcW w:type="dxa" w:w="1008"/>
            <w:vAlign w:val="center"/>
          </w:tcPr>
          <w:p>
            <w:r/>
            <w:r>
              <w:rPr>
                <w:b w:val="0"/>
                <w:sz w:val="13"/>
              </w:rPr>
              <w:t>6.2%</w:t>
            </w:r>
          </w:p>
        </w:tc>
        <w:tc>
          <w:tcPr>
            <w:tcW w:type="dxa" w:w="1008"/>
            <w:vAlign w:val="center"/>
          </w:tcPr>
          <w:p>
            <w:r/>
            <w:r>
              <w:rPr>
                <w:b w:val="0"/>
                <w:sz w:val="13"/>
              </w:rPr>
              <w:t>6.2%</w:t>
            </w:r>
          </w:p>
        </w:tc>
        <w:tc>
          <w:tcPr>
            <w:tcW w:type="dxa" w:w="1008"/>
            <w:vAlign w:val="center"/>
          </w:tcPr>
          <w:p>
            <w:r/>
            <w:r>
              <w:rPr>
                <w:b w:val="0"/>
                <w:sz w:val="13"/>
              </w:rPr>
              <w:t>14.4115</w:t>
            </w:r>
          </w:p>
        </w:tc>
        <w:tc>
          <w:tcPr>
            <w:tcW w:type="dxa" w:w="1008"/>
            <w:vAlign w:val="center"/>
          </w:tcPr>
          <w:p>
            <w:r/>
            <w:r>
              <w:rPr>
                <w:b w:val="0"/>
                <w:sz w:val="13"/>
              </w:rPr>
              <w:t>14.7176</w:t>
            </w:r>
          </w:p>
        </w:tc>
        <w:tc>
          <w:tcPr>
            <w:tcW w:type="dxa" w:w="1008"/>
            <w:vAlign w:val="center"/>
          </w:tcPr>
          <w:p>
            <w:r/>
            <w:r>
              <w:rPr>
                <w:b w:val="0"/>
                <w:sz w:val="13"/>
              </w:rPr>
              <w:t>+0.3061</w:t>
            </w:r>
          </w:p>
        </w:tc>
        <w:tc>
          <w:tcPr>
            <w:tcW w:type="dxa" w:w="1008"/>
            <w:vAlign w:val="center"/>
          </w:tcPr>
          <w:p>
            <w:r/>
            <w:r>
              <w:rPr>
                <w:b w:val="0"/>
                <w:sz w:val="13"/>
              </w:rPr>
              <w:t>+2.1%</w:t>
            </w:r>
          </w:p>
        </w:tc>
      </w:tr>
      <w:tr>
        <w:tc>
          <w:tcPr>
            <w:tcW w:type="dxa" w:w="1008"/>
            <w:vAlign w:val="center"/>
          </w:tcPr>
          <w:p>
            <w:r/>
            <w:r>
              <w:rPr>
                <w:b w:val="0"/>
                <w:sz w:val="13"/>
              </w:rPr>
              <w:t>C4</w:t>
            </w:r>
          </w:p>
        </w:tc>
        <w:tc>
          <w:tcPr>
            <w:tcW w:type="dxa" w:w="1008"/>
            <w:vAlign w:val="center"/>
          </w:tcPr>
          <w:p>
            <w:r/>
            <w:r>
              <w:rPr>
                <w:b w:val="0"/>
                <w:sz w:val="13"/>
              </w:rPr>
              <w:t>6%</w:t>
            </w:r>
          </w:p>
        </w:tc>
        <w:tc>
          <w:tcPr>
            <w:tcW w:type="dxa" w:w="1008"/>
            <w:vAlign w:val="center"/>
          </w:tcPr>
          <w:p>
            <w:r/>
            <w:r>
              <w:rPr>
                <w:b w:val="0"/>
                <w:sz w:val="13"/>
              </w:rPr>
              <w:t>6.2%</w:t>
            </w:r>
          </w:p>
        </w:tc>
        <w:tc>
          <w:tcPr>
            <w:tcW w:type="dxa" w:w="1008"/>
            <w:vAlign w:val="center"/>
          </w:tcPr>
          <w:p>
            <w:r/>
            <w:r>
              <w:rPr>
                <w:b w:val="0"/>
                <w:sz w:val="13"/>
              </w:rPr>
              <w:t>ridge</w:t>
            </w:r>
          </w:p>
        </w:tc>
        <w:tc>
          <w:tcPr>
            <w:tcW w:type="dxa" w:w="1008"/>
            <w:vAlign w:val="center"/>
          </w:tcPr>
          <w:p>
            <w:r/>
            <w:r>
              <w:rPr>
                <w:b w:val="0"/>
                <w:sz w:val="13"/>
              </w:rPr>
              <w:t>6.2%</w:t>
            </w:r>
          </w:p>
        </w:tc>
        <w:tc>
          <w:tcPr>
            <w:tcW w:type="dxa" w:w="1008"/>
            <w:vAlign w:val="center"/>
          </w:tcPr>
          <w:p>
            <w:r/>
            <w:r>
              <w:rPr>
                <w:b w:val="0"/>
                <w:sz w:val="13"/>
              </w:rPr>
              <w:t>6.2%</w:t>
            </w:r>
          </w:p>
        </w:tc>
        <w:tc>
          <w:tcPr>
            <w:tcW w:type="dxa" w:w="1008"/>
            <w:vAlign w:val="center"/>
          </w:tcPr>
          <w:p>
            <w:r/>
            <w:r>
              <w:rPr>
                <w:b w:val="0"/>
                <w:sz w:val="13"/>
              </w:rPr>
              <w:t>14.4115</w:t>
            </w:r>
          </w:p>
        </w:tc>
        <w:tc>
          <w:tcPr>
            <w:tcW w:type="dxa" w:w="1008"/>
            <w:vAlign w:val="center"/>
          </w:tcPr>
          <w:p>
            <w:r/>
            <w:r>
              <w:rPr>
                <w:b w:val="0"/>
                <w:sz w:val="13"/>
              </w:rPr>
              <w:t>14.7269</w:t>
            </w:r>
          </w:p>
        </w:tc>
        <w:tc>
          <w:tcPr>
            <w:tcW w:type="dxa" w:w="1008"/>
            <w:vAlign w:val="center"/>
          </w:tcPr>
          <w:p>
            <w:r/>
            <w:r>
              <w:rPr>
                <w:b w:val="0"/>
                <w:sz w:val="13"/>
              </w:rPr>
              <w:t>+0.3153</w:t>
            </w:r>
          </w:p>
        </w:tc>
        <w:tc>
          <w:tcPr>
            <w:tcW w:type="dxa" w:w="1008"/>
            <w:vAlign w:val="center"/>
          </w:tcPr>
          <w:p>
            <w:r/>
            <w:r>
              <w:rPr>
                <w:b w:val="0"/>
                <w:sz w:val="13"/>
              </w:rPr>
              <w:t>+2.2%</w:t>
            </w:r>
          </w:p>
        </w:tc>
      </w:tr>
      <w:tr>
        <w:tc>
          <w:tcPr>
            <w:tcW w:type="dxa" w:w="1008"/>
            <w:vAlign w:val="center"/>
          </w:tcPr>
          <w:p>
            <w:r/>
            <w:r>
              <w:rPr>
                <w:b w:val="0"/>
                <w:sz w:val="13"/>
              </w:rPr>
              <w:t>WikiText2</w:t>
            </w:r>
          </w:p>
        </w:tc>
        <w:tc>
          <w:tcPr>
            <w:tcW w:type="dxa" w:w="1008"/>
            <w:vAlign w:val="center"/>
          </w:tcPr>
          <w:p>
            <w:r/>
            <w:r>
              <w:rPr>
                <w:b w:val="0"/>
                <w:sz w:val="13"/>
              </w:rPr>
              <w:t>8%</w:t>
            </w:r>
          </w:p>
        </w:tc>
        <w:tc>
          <w:tcPr>
            <w:tcW w:type="dxa" w:w="1008"/>
            <w:vAlign w:val="center"/>
          </w:tcPr>
          <w:p>
            <w:r/>
            <w:r>
              <w:rPr>
                <w:b w:val="0"/>
                <w:sz w:val="13"/>
              </w:rPr>
              <w:t>8.0%</w:t>
            </w:r>
          </w:p>
        </w:tc>
        <w:tc>
          <w:tcPr>
            <w:tcW w:type="dxa" w:w="1008"/>
            <w:vAlign w:val="center"/>
          </w:tcPr>
          <w:p>
            <w:r/>
            <w:r>
              <w:rPr>
                <w:b w:val="0"/>
                <w:sz w:val="13"/>
              </w:rPr>
              <w:t>pure_delete</w:t>
            </w:r>
          </w:p>
        </w:tc>
        <w:tc>
          <w:tcPr>
            <w:tcW w:type="dxa" w:w="1008"/>
            <w:vAlign w:val="center"/>
          </w:tcPr>
          <w:p>
            <w:r/>
            <w:r>
              <w:rPr>
                <w:b w:val="0"/>
                <w:sz w:val="13"/>
              </w:rPr>
              <w:t>0.0%</w:t>
            </w:r>
          </w:p>
        </w:tc>
        <w:tc>
          <w:tcPr>
            <w:tcW w:type="dxa" w:w="1008"/>
            <w:vAlign w:val="center"/>
          </w:tcPr>
          <w:p>
            <w:r/>
            <w:r>
              <w:rPr>
                <w:b w:val="0"/>
                <w:sz w:val="13"/>
              </w:rPr>
              <w:t>8.0%</w:t>
            </w:r>
          </w:p>
        </w:tc>
        <w:tc>
          <w:tcPr>
            <w:tcW w:type="dxa" w:w="1008"/>
            <w:vAlign w:val="center"/>
          </w:tcPr>
          <w:p>
            <w:r/>
            <w:r>
              <w:rPr>
                <w:b w:val="0"/>
                <w:sz w:val="13"/>
              </w:rPr>
              <w:t>12.3194</w:t>
            </w:r>
          </w:p>
        </w:tc>
        <w:tc>
          <w:tcPr>
            <w:tcW w:type="dxa" w:w="1008"/>
            <w:vAlign w:val="center"/>
          </w:tcPr>
          <w:p>
            <w:r/>
            <w:r>
              <w:rPr>
                <w:b w:val="0"/>
                <w:sz w:val="13"/>
              </w:rPr>
              <w:t>13.2544</w:t>
            </w:r>
          </w:p>
        </w:tc>
        <w:tc>
          <w:tcPr>
            <w:tcW w:type="dxa" w:w="1008"/>
            <w:vAlign w:val="center"/>
          </w:tcPr>
          <w:p>
            <w:r/>
            <w:r>
              <w:rPr>
                <w:b w:val="0"/>
                <w:sz w:val="13"/>
              </w:rPr>
              <w:t>+0.9350</w:t>
            </w:r>
          </w:p>
        </w:tc>
        <w:tc>
          <w:tcPr>
            <w:tcW w:type="dxa" w:w="1008"/>
            <w:vAlign w:val="center"/>
          </w:tcPr>
          <w:p>
            <w:r/>
            <w:r>
              <w:rPr>
                <w:b w:val="0"/>
                <w:sz w:val="13"/>
              </w:rPr>
              <w:t>+7.6%</w:t>
            </w:r>
          </w:p>
        </w:tc>
      </w:tr>
      <w:tr>
        <w:tc>
          <w:tcPr>
            <w:tcW w:type="dxa" w:w="1008"/>
            <w:vAlign w:val="center"/>
          </w:tcPr>
          <w:p>
            <w:r/>
            <w:r>
              <w:rPr>
                <w:b w:val="0"/>
                <w:sz w:val="13"/>
              </w:rPr>
              <w:t>WikiText2</w:t>
            </w:r>
          </w:p>
        </w:tc>
        <w:tc>
          <w:tcPr>
            <w:tcW w:type="dxa" w:w="1008"/>
            <w:vAlign w:val="center"/>
          </w:tcPr>
          <w:p>
            <w:r/>
            <w:r>
              <w:rPr>
                <w:b w:val="0"/>
                <w:sz w:val="13"/>
              </w:rPr>
              <w:t>8%</w:t>
            </w:r>
          </w:p>
        </w:tc>
        <w:tc>
          <w:tcPr>
            <w:tcW w:type="dxa" w:w="1008"/>
            <w:vAlign w:val="center"/>
          </w:tcPr>
          <w:p>
            <w:r/>
            <w:r>
              <w:rPr>
                <w:b w:val="0"/>
                <w:sz w:val="13"/>
              </w:rPr>
              <w:t>8.0%</w:t>
            </w:r>
          </w:p>
        </w:tc>
        <w:tc>
          <w:tcPr>
            <w:tcW w:type="dxa" w:w="1008"/>
            <w:vAlign w:val="center"/>
          </w:tcPr>
          <w:p>
            <w:r/>
            <w:r>
              <w:rPr>
                <w:b w:val="0"/>
                <w:sz w:val="13"/>
              </w:rPr>
              <w:t>nearest_channel_merge</w:t>
            </w:r>
          </w:p>
        </w:tc>
        <w:tc>
          <w:tcPr>
            <w:tcW w:type="dxa" w:w="1008"/>
            <w:vAlign w:val="center"/>
          </w:tcPr>
          <w:p>
            <w:r/>
            <w:r>
              <w:rPr>
                <w:b w:val="0"/>
                <w:sz w:val="13"/>
              </w:rPr>
              <w:t>6.4%</w:t>
            </w:r>
          </w:p>
        </w:tc>
        <w:tc>
          <w:tcPr>
            <w:tcW w:type="dxa" w:w="1008"/>
            <w:vAlign w:val="center"/>
          </w:tcPr>
          <w:p>
            <w:r/>
            <w:r>
              <w:rPr>
                <w:b w:val="0"/>
                <w:sz w:val="13"/>
              </w:rPr>
              <w:t>8.0%</w:t>
            </w:r>
          </w:p>
        </w:tc>
        <w:tc>
          <w:tcPr>
            <w:tcW w:type="dxa" w:w="1008"/>
            <w:vAlign w:val="center"/>
          </w:tcPr>
          <w:p>
            <w:r/>
            <w:r>
              <w:rPr>
                <w:b w:val="0"/>
                <w:sz w:val="13"/>
              </w:rPr>
              <w:t>12.3194</w:t>
            </w:r>
          </w:p>
        </w:tc>
        <w:tc>
          <w:tcPr>
            <w:tcW w:type="dxa" w:w="1008"/>
            <w:vAlign w:val="center"/>
          </w:tcPr>
          <w:p>
            <w:r/>
            <w:r>
              <w:rPr>
                <w:b w:val="0"/>
                <w:sz w:val="13"/>
              </w:rPr>
              <w:t>13.2719</w:t>
            </w:r>
          </w:p>
        </w:tc>
        <w:tc>
          <w:tcPr>
            <w:tcW w:type="dxa" w:w="1008"/>
            <w:vAlign w:val="center"/>
          </w:tcPr>
          <w:p>
            <w:r/>
            <w:r>
              <w:rPr>
                <w:b w:val="0"/>
                <w:sz w:val="13"/>
              </w:rPr>
              <w:t>+0.9524</w:t>
            </w:r>
          </w:p>
        </w:tc>
        <w:tc>
          <w:tcPr>
            <w:tcW w:type="dxa" w:w="1008"/>
            <w:vAlign w:val="center"/>
          </w:tcPr>
          <w:p>
            <w:r/>
            <w:r>
              <w:rPr>
                <w:b w:val="0"/>
                <w:sz w:val="13"/>
              </w:rPr>
              <w:t>+7.7%</w:t>
            </w:r>
          </w:p>
        </w:tc>
      </w:tr>
      <w:tr>
        <w:tc>
          <w:tcPr>
            <w:tcW w:type="dxa" w:w="1008"/>
            <w:vAlign w:val="center"/>
          </w:tcPr>
          <w:p>
            <w:r/>
            <w:r>
              <w:rPr>
                <w:b w:val="0"/>
                <w:sz w:val="13"/>
              </w:rPr>
              <w:t>WikiText2</w:t>
            </w:r>
          </w:p>
        </w:tc>
        <w:tc>
          <w:tcPr>
            <w:tcW w:type="dxa" w:w="1008"/>
            <w:vAlign w:val="center"/>
          </w:tcPr>
          <w:p>
            <w:r/>
            <w:r>
              <w:rPr>
                <w:b w:val="0"/>
                <w:sz w:val="13"/>
              </w:rPr>
              <w:t>8%</w:t>
            </w:r>
          </w:p>
        </w:tc>
        <w:tc>
          <w:tcPr>
            <w:tcW w:type="dxa" w:w="1008"/>
            <w:vAlign w:val="center"/>
          </w:tcPr>
          <w:p>
            <w:r/>
            <w:r>
              <w:rPr>
                <w:b w:val="0"/>
                <w:sz w:val="13"/>
              </w:rPr>
              <w:t>8.0%</w:t>
            </w:r>
          </w:p>
        </w:tc>
        <w:tc>
          <w:tcPr>
            <w:tcW w:type="dxa" w:w="1008"/>
            <w:vAlign w:val="center"/>
          </w:tcPr>
          <w:p>
            <w:r/>
            <w:r>
              <w:rPr>
                <w:b w:val="0"/>
                <w:sz w:val="13"/>
              </w:rPr>
              <w:t>ridge</w:t>
            </w:r>
          </w:p>
        </w:tc>
        <w:tc>
          <w:tcPr>
            <w:tcW w:type="dxa" w:w="1008"/>
            <w:vAlign w:val="center"/>
          </w:tcPr>
          <w:p>
            <w:r/>
            <w:r>
              <w:rPr>
                <w:b w:val="0"/>
                <w:sz w:val="13"/>
              </w:rPr>
              <w:t>6.4%</w:t>
            </w:r>
          </w:p>
        </w:tc>
        <w:tc>
          <w:tcPr>
            <w:tcW w:type="dxa" w:w="1008"/>
            <w:vAlign w:val="center"/>
          </w:tcPr>
          <w:p>
            <w:r/>
            <w:r>
              <w:rPr>
                <w:b w:val="0"/>
                <w:sz w:val="13"/>
              </w:rPr>
              <w:t>8.0%</w:t>
            </w:r>
          </w:p>
        </w:tc>
        <w:tc>
          <w:tcPr>
            <w:tcW w:type="dxa" w:w="1008"/>
            <w:vAlign w:val="center"/>
          </w:tcPr>
          <w:p>
            <w:r/>
            <w:r>
              <w:rPr>
                <w:b w:val="0"/>
                <w:sz w:val="13"/>
              </w:rPr>
              <w:t>12.3194</w:t>
            </w:r>
          </w:p>
        </w:tc>
        <w:tc>
          <w:tcPr>
            <w:tcW w:type="dxa" w:w="1008"/>
            <w:vAlign w:val="center"/>
          </w:tcPr>
          <w:p>
            <w:r/>
            <w:r>
              <w:rPr>
                <w:b w:val="0"/>
                <w:sz w:val="13"/>
              </w:rPr>
              <w:t>13.3367</w:t>
            </w:r>
          </w:p>
        </w:tc>
        <w:tc>
          <w:tcPr>
            <w:tcW w:type="dxa" w:w="1008"/>
            <w:vAlign w:val="center"/>
          </w:tcPr>
          <w:p>
            <w:r/>
            <w:r>
              <w:rPr>
                <w:b w:val="0"/>
                <w:sz w:val="13"/>
              </w:rPr>
              <w:t>+1.0173</w:t>
            </w:r>
          </w:p>
        </w:tc>
        <w:tc>
          <w:tcPr>
            <w:tcW w:type="dxa" w:w="1008"/>
            <w:vAlign w:val="center"/>
          </w:tcPr>
          <w:p>
            <w:r/>
            <w:r>
              <w:rPr>
                <w:b w:val="0"/>
                <w:sz w:val="13"/>
              </w:rPr>
              <w:t>+8.3%</w:t>
            </w:r>
          </w:p>
        </w:tc>
      </w:tr>
      <w:tr>
        <w:tc>
          <w:tcPr>
            <w:tcW w:type="dxa" w:w="1008"/>
            <w:vAlign w:val="center"/>
          </w:tcPr>
          <w:p>
            <w:r/>
            <w:r>
              <w:rPr>
                <w:b w:val="0"/>
                <w:sz w:val="13"/>
              </w:rPr>
              <w:t>C4</w:t>
            </w:r>
          </w:p>
        </w:tc>
        <w:tc>
          <w:tcPr>
            <w:tcW w:type="dxa" w:w="1008"/>
            <w:vAlign w:val="center"/>
          </w:tcPr>
          <w:p>
            <w:r/>
            <w:r>
              <w:rPr>
                <w:b w:val="0"/>
                <w:sz w:val="13"/>
              </w:rPr>
              <w:t>8%</w:t>
            </w:r>
          </w:p>
        </w:tc>
        <w:tc>
          <w:tcPr>
            <w:tcW w:type="dxa" w:w="1008"/>
            <w:vAlign w:val="center"/>
          </w:tcPr>
          <w:p>
            <w:r/>
            <w:r>
              <w:rPr>
                <w:b w:val="0"/>
                <w:sz w:val="13"/>
              </w:rPr>
              <w:t>8.0%</w:t>
            </w:r>
          </w:p>
        </w:tc>
        <w:tc>
          <w:tcPr>
            <w:tcW w:type="dxa" w:w="1008"/>
            <w:vAlign w:val="center"/>
          </w:tcPr>
          <w:p>
            <w:r/>
            <w:r>
              <w:rPr>
                <w:b w:val="0"/>
                <w:sz w:val="13"/>
              </w:rPr>
              <w:t>pure_delete</w:t>
            </w:r>
          </w:p>
        </w:tc>
        <w:tc>
          <w:tcPr>
            <w:tcW w:type="dxa" w:w="1008"/>
            <w:vAlign w:val="center"/>
          </w:tcPr>
          <w:p>
            <w:r/>
            <w:r>
              <w:rPr>
                <w:b w:val="0"/>
                <w:sz w:val="13"/>
              </w:rPr>
              <w:t>0.0%</w:t>
            </w:r>
          </w:p>
        </w:tc>
        <w:tc>
          <w:tcPr>
            <w:tcW w:type="dxa" w:w="1008"/>
            <w:vAlign w:val="center"/>
          </w:tcPr>
          <w:p>
            <w:r/>
            <w:r>
              <w:rPr>
                <w:b w:val="0"/>
                <w:sz w:val="13"/>
              </w:rPr>
              <w:t>8.0%</w:t>
            </w:r>
          </w:p>
        </w:tc>
        <w:tc>
          <w:tcPr>
            <w:tcW w:type="dxa" w:w="1008"/>
            <w:vAlign w:val="center"/>
          </w:tcPr>
          <w:p>
            <w:r/>
            <w:r>
              <w:rPr>
                <w:b w:val="0"/>
                <w:sz w:val="13"/>
              </w:rPr>
              <w:t>14.4115</w:t>
            </w:r>
          </w:p>
        </w:tc>
        <w:tc>
          <w:tcPr>
            <w:tcW w:type="dxa" w:w="1008"/>
            <w:vAlign w:val="center"/>
          </w:tcPr>
          <w:p>
            <w:r/>
            <w:r>
              <w:rPr>
                <w:b w:val="0"/>
                <w:sz w:val="13"/>
              </w:rPr>
              <w:t>15.1080</w:t>
            </w:r>
          </w:p>
        </w:tc>
        <w:tc>
          <w:tcPr>
            <w:tcW w:type="dxa" w:w="1008"/>
            <w:vAlign w:val="center"/>
          </w:tcPr>
          <w:p>
            <w:r/>
            <w:r>
              <w:rPr>
                <w:b w:val="0"/>
                <w:sz w:val="13"/>
              </w:rPr>
              <w:t>+0.6965</w:t>
            </w:r>
          </w:p>
        </w:tc>
        <w:tc>
          <w:tcPr>
            <w:tcW w:type="dxa" w:w="1008"/>
            <w:vAlign w:val="center"/>
          </w:tcPr>
          <w:p>
            <w:r/>
            <w:r>
              <w:rPr>
                <w:b w:val="0"/>
                <w:sz w:val="13"/>
              </w:rPr>
              <w:t>+4.8%</w:t>
            </w:r>
          </w:p>
        </w:tc>
      </w:tr>
      <w:tr>
        <w:tc>
          <w:tcPr>
            <w:tcW w:type="dxa" w:w="1008"/>
            <w:vAlign w:val="center"/>
          </w:tcPr>
          <w:p>
            <w:r/>
            <w:r>
              <w:rPr>
                <w:b w:val="0"/>
                <w:sz w:val="13"/>
              </w:rPr>
              <w:t>C4</w:t>
            </w:r>
          </w:p>
        </w:tc>
        <w:tc>
          <w:tcPr>
            <w:tcW w:type="dxa" w:w="1008"/>
            <w:vAlign w:val="center"/>
          </w:tcPr>
          <w:p>
            <w:r/>
            <w:r>
              <w:rPr>
                <w:b w:val="0"/>
                <w:sz w:val="13"/>
              </w:rPr>
              <w:t>8%</w:t>
            </w:r>
          </w:p>
        </w:tc>
        <w:tc>
          <w:tcPr>
            <w:tcW w:type="dxa" w:w="1008"/>
            <w:vAlign w:val="center"/>
          </w:tcPr>
          <w:p>
            <w:r/>
            <w:r>
              <w:rPr>
                <w:b w:val="0"/>
                <w:sz w:val="13"/>
              </w:rPr>
              <w:t>8.0%</w:t>
            </w:r>
          </w:p>
        </w:tc>
        <w:tc>
          <w:tcPr>
            <w:tcW w:type="dxa" w:w="1008"/>
            <w:vAlign w:val="center"/>
          </w:tcPr>
          <w:p>
            <w:r/>
            <w:r>
              <w:rPr>
                <w:b w:val="0"/>
                <w:sz w:val="13"/>
              </w:rPr>
              <w:t>nearest_channel_merge</w:t>
            </w:r>
          </w:p>
        </w:tc>
        <w:tc>
          <w:tcPr>
            <w:tcW w:type="dxa" w:w="1008"/>
            <w:vAlign w:val="center"/>
          </w:tcPr>
          <w:p>
            <w:r/>
            <w:r>
              <w:rPr>
                <w:b w:val="0"/>
                <w:sz w:val="13"/>
              </w:rPr>
              <w:t>6.4%</w:t>
            </w:r>
          </w:p>
        </w:tc>
        <w:tc>
          <w:tcPr>
            <w:tcW w:type="dxa" w:w="1008"/>
            <w:vAlign w:val="center"/>
          </w:tcPr>
          <w:p>
            <w:r/>
            <w:r>
              <w:rPr>
                <w:b w:val="0"/>
                <w:sz w:val="13"/>
              </w:rPr>
              <w:t>8.0%</w:t>
            </w:r>
          </w:p>
        </w:tc>
        <w:tc>
          <w:tcPr>
            <w:tcW w:type="dxa" w:w="1008"/>
            <w:vAlign w:val="center"/>
          </w:tcPr>
          <w:p>
            <w:r/>
            <w:r>
              <w:rPr>
                <w:b w:val="0"/>
                <w:sz w:val="13"/>
              </w:rPr>
              <w:t>14.4115</w:t>
            </w:r>
          </w:p>
        </w:tc>
        <w:tc>
          <w:tcPr>
            <w:tcW w:type="dxa" w:w="1008"/>
            <w:vAlign w:val="center"/>
          </w:tcPr>
          <w:p>
            <w:r/>
            <w:r>
              <w:rPr>
                <w:b w:val="0"/>
                <w:sz w:val="13"/>
              </w:rPr>
              <w:t>15.1234</w:t>
            </w:r>
          </w:p>
        </w:tc>
        <w:tc>
          <w:tcPr>
            <w:tcW w:type="dxa" w:w="1008"/>
            <w:vAlign w:val="center"/>
          </w:tcPr>
          <w:p>
            <w:r/>
            <w:r>
              <w:rPr>
                <w:b w:val="0"/>
                <w:sz w:val="13"/>
              </w:rPr>
              <w:t>+0.7119</w:t>
            </w:r>
          </w:p>
        </w:tc>
        <w:tc>
          <w:tcPr>
            <w:tcW w:type="dxa" w:w="1008"/>
            <w:vAlign w:val="center"/>
          </w:tcPr>
          <w:p>
            <w:r/>
            <w:r>
              <w:rPr>
                <w:b w:val="0"/>
                <w:sz w:val="13"/>
              </w:rPr>
              <w:t>+4.9%</w:t>
            </w:r>
          </w:p>
        </w:tc>
      </w:tr>
      <w:tr>
        <w:tc>
          <w:tcPr>
            <w:tcW w:type="dxa" w:w="1008"/>
            <w:vAlign w:val="center"/>
          </w:tcPr>
          <w:p>
            <w:r/>
            <w:r>
              <w:rPr>
                <w:b w:val="0"/>
                <w:sz w:val="13"/>
              </w:rPr>
              <w:t>C4</w:t>
            </w:r>
          </w:p>
        </w:tc>
        <w:tc>
          <w:tcPr>
            <w:tcW w:type="dxa" w:w="1008"/>
            <w:vAlign w:val="center"/>
          </w:tcPr>
          <w:p>
            <w:r/>
            <w:r>
              <w:rPr>
                <w:b w:val="0"/>
                <w:sz w:val="13"/>
              </w:rPr>
              <w:t>8%</w:t>
            </w:r>
          </w:p>
        </w:tc>
        <w:tc>
          <w:tcPr>
            <w:tcW w:type="dxa" w:w="1008"/>
            <w:vAlign w:val="center"/>
          </w:tcPr>
          <w:p>
            <w:r/>
            <w:r>
              <w:rPr>
                <w:b w:val="0"/>
                <w:sz w:val="13"/>
              </w:rPr>
              <w:t>8.0%</w:t>
            </w:r>
          </w:p>
        </w:tc>
        <w:tc>
          <w:tcPr>
            <w:tcW w:type="dxa" w:w="1008"/>
            <w:vAlign w:val="center"/>
          </w:tcPr>
          <w:p>
            <w:r/>
            <w:r>
              <w:rPr>
                <w:b w:val="0"/>
                <w:sz w:val="13"/>
              </w:rPr>
              <w:t>ridge</w:t>
            </w:r>
          </w:p>
        </w:tc>
        <w:tc>
          <w:tcPr>
            <w:tcW w:type="dxa" w:w="1008"/>
            <w:vAlign w:val="center"/>
          </w:tcPr>
          <w:p>
            <w:r/>
            <w:r>
              <w:rPr>
                <w:b w:val="0"/>
                <w:sz w:val="13"/>
              </w:rPr>
              <w:t>6.4%</w:t>
            </w:r>
          </w:p>
        </w:tc>
        <w:tc>
          <w:tcPr>
            <w:tcW w:type="dxa" w:w="1008"/>
            <w:vAlign w:val="center"/>
          </w:tcPr>
          <w:p>
            <w:r/>
            <w:r>
              <w:rPr>
                <w:b w:val="0"/>
                <w:sz w:val="13"/>
              </w:rPr>
              <w:t>8.0%</w:t>
            </w:r>
          </w:p>
        </w:tc>
        <w:tc>
          <w:tcPr>
            <w:tcW w:type="dxa" w:w="1008"/>
            <w:vAlign w:val="center"/>
          </w:tcPr>
          <w:p>
            <w:r/>
            <w:r>
              <w:rPr>
                <w:b w:val="0"/>
                <w:sz w:val="13"/>
              </w:rPr>
              <w:t>14.4115</w:t>
            </w:r>
          </w:p>
        </w:tc>
        <w:tc>
          <w:tcPr>
            <w:tcW w:type="dxa" w:w="1008"/>
            <w:vAlign w:val="center"/>
          </w:tcPr>
          <w:p>
            <w:r/>
            <w:r>
              <w:rPr>
                <w:b w:val="0"/>
                <w:sz w:val="13"/>
              </w:rPr>
              <w:t>15.1256</w:t>
            </w:r>
          </w:p>
        </w:tc>
        <w:tc>
          <w:tcPr>
            <w:tcW w:type="dxa" w:w="1008"/>
            <w:vAlign w:val="center"/>
          </w:tcPr>
          <w:p>
            <w:r/>
            <w:r>
              <w:rPr>
                <w:b w:val="0"/>
                <w:sz w:val="13"/>
              </w:rPr>
              <w:t>+0.7141</w:t>
            </w:r>
          </w:p>
        </w:tc>
        <w:tc>
          <w:tcPr>
            <w:tcW w:type="dxa" w:w="1008"/>
            <w:vAlign w:val="center"/>
          </w:tcPr>
          <w:p>
            <w:r/>
            <w:r>
              <w:rPr>
                <w:b w:val="0"/>
                <w:sz w:val="13"/>
              </w:rPr>
              <w:t>+5.0%</w:t>
            </w:r>
          </w:p>
        </w:tc>
      </w:tr>
    </w:tbl>
    <w:p/>
    <w:p>
      <w:pPr>
        <w:pStyle w:val="Caption"/>
      </w:pPr>
      <w:r>
        <w:rPr>
          <w:b/>
        </w:rPr>
        <w:t>Figure 2. Selected full MoE benchmark: relative PPL increase by target and method.</w:t>
      </w:r>
    </w:p>
    <w:p>
      <w:r>
        <w:drawing>
          <wp:inline xmlns:a="http://schemas.openxmlformats.org/drawingml/2006/main" xmlns:pic="http://schemas.openxmlformats.org/drawingml/2006/picture">
            <wp:extent cx="5669280" cy="3488788"/>
            <wp:docPr id="2" name="Picture 2"/>
            <wp:cNvGraphicFramePr>
              <a:graphicFrameLocks noChangeAspect="1"/>
            </wp:cNvGraphicFramePr>
            <a:graphic>
              <a:graphicData uri="http://schemas.openxmlformats.org/drawingml/2006/picture">
                <pic:pic>
                  <pic:nvPicPr>
                    <pic:cNvPr id="0" name="moe_full_benchmark_relative_ppl.png"/>
                    <pic:cNvPicPr/>
                  </pic:nvPicPr>
                  <pic:blipFill>
                    <a:blip r:embed="rId10"/>
                    <a:stretch>
                      <a:fillRect/>
                    </a:stretch>
                  </pic:blipFill>
                  <pic:spPr>
                    <a:xfrm>
                      <a:off x="0" y="0"/>
                      <a:ext cx="5669280" cy="3488788"/>
                    </a:xfrm>
                    <a:prstGeom prst="rect"/>
                  </pic:spPr>
                </pic:pic>
              </a:graphicData>
            </a:graphic>
          </wp:inline>
        </w:drawing>
      </w:r>
    </w:p>
    <w:p>
      <w:pPr>
        <w:pStyle w:val="Caption"/>
      </w:pPr>
      <w:r>
        <w:rPr>
          <w:b/>
        </w:rPr>
        <w:t>Figure 3. Best method versus pure-deletion baseline for the MoE benchmark.</w:t>
      </w:r>
    </w:p>
    <w:p>
      <w:r>
        <w:drawing>
          <wp:inline xmlns:a="http://schemas.openxmlformats.org/drawingml/2006/main" xmlns:pic="http://schemas.openxmlformats.org/drawingml/2006/picture">
            <wp:extent cx="5669280" cy="3488788"/>
            <wp:docPr id="3" name="Picture 3"/>
            <wp:cNvGraphicFramePr>
              <a:graphicFrameLocks noChangeAspect="1"/>
            </wp:cNvGraphicFramePr>
            <a:graphic>
              <a:graphicData uri="http://schemas.openxmlformats.org/drawingml/2006/picture">
                <pic:pic>
                  <pic:nvPicPr>
                    <pic:cNvPr id="0" name="moe_best_vs_pure.png"/>
                    <pic:cNvPicPr/>
                  </pic:nvPicPr>
                  <pic:blipFill>
                    <a:blip r:embed="rId11"/>
                    <a:stretch>
                      <a:fillRect/>
                    </a:stretch>
                  </pic:blipFill>
                  <pic:spPr>
                    <a:xfrm>
                      <a:off x="0" y="0"/>
                      <a:ext cx="5669280" cy="3488788"/>
                    </a:xfrm>
                    <a:prstGeom prst="rect"/>
                  </pic:spPr>
                </pic:pic>
              </a:graphicData>
            </a:graphic>
          </wp:inline>
        </w:drawing>
      </w:r>
    </w:p>
    <w:p>
      <w:pPr>
        <w:pStyle w:val="Heading2"/>
      </w:pPr>
      <w:r>
        <w:t>7.1 MoE Interpretation</w:t>
      </w:r>
    </w:p>
    <w:p>
      <w:r>
        <w:t>The MoE results show a coherent pruning curve. At actual expert reduction of about 2.3%, the nearest-channel merge improves WikiText2 relative PPL increase from +0.4% to +0.1%, while C4 remains about +0.8%. At 4.3%, nearest merge improves WikiText2 from +2.7% to +2.4% and is tied or slightly better on C4 at +1.4%. At 6.2%, nearest merge is the best method on both datasets, with +3.7% on WikiText2 and +2.1% on C4. At 8.0%, pure deletion wins, indicating that residual corrections become noisy or insufficient at high expert-channel pruning.</w:t>
      </w:r>
    </w:p>
    <w:p>
      <w:r>
        <w:t>The ridge method with λ = 1e-3 is not competitive beyond the smallest pruning ratio. This is consistent with the routed-token sparsity of MoE experts: a regression update can overfit or introduce harmful corrections when only a small fraction of experts receive enough calibration tokens.</w:t>
      </w:r>
    </w:p>
    <w:p>
      <w:r>
        <w:t>Nearest-channel merge appears to be the most robust reconstruction mechanism in MoE. It is less expressive than full or ridge residual, but it makes conservative scalar updates between similar activation channels and therefore avoids the instability of high-dimensional per-expert least-squares solves.</w:t>
      </w:r>
    </w:p>
    <w:p>
      <w:r>
        <w:t>The main operating point suggested by the current data is 4-6% expert-channel pruning. At 4.3% actual expert reduction, relative PPL increases are roughly 1.4-2.4% with nearest merge; at 6.2%, they are about 2.1-3.7%. The 8% setting is still useful as a stress test, but the degradation is large enough that pure deletion is preferable and residual repair does not help.</w:t>
      </w:r>
    </w:p>
    <w:p>
      <w:r>
        <w:br w:type="page"/>
      </w:r>
    </w:p>
    <w:p>
      <w:pPr>
        <w:pStyle w:val="Caption"/>
      </w:pPr>
      <w:r>
        <w:rPr>
          <w:b/>
        </w:rPr>
        <w:t>Table 8. Best selected method per dataset and target.</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vAlign w:val="center"/>
            <w:shd w:fill="D9EAF7"/>
          </w:tcPr>
          <w:p>
            <w:r/>
            <w:r>
              <w:rPr>
                <w:b/>
                <w:sz w:val="16"/>
              </w:rPr>
              <w:t>Dataset</w:t>
            </w:r>
          </w:p>
        </w:tc>
        <w:tc>
          <w:tcPr>
            <w:tcW w:type="dxa" w:w="1440"/>
            <w:vAlign w:val="center"/>
            <w:shd w:fill="D9EAF7"/>
          </w:tcPr>
          <w:p>
            <w:r/>
            <w:r>
              <w:rPr>
                <w:b/>
                <w:sz w:val="16"/>
              </w:rPr>
              <w:t>Target</w:t>
            </w:r>
          </w:p>
        </w:tc>
        <w:tc>
          <w:tcPr>
            <w:tcW w:type="dxa" w:w="1440"/>
            <w:vAlign w:val="center"/>
            <w:shd w:fill="D9EAF7"/>
          </w:tcPr>
          <w:p>
            <w:r/>
            <w:r>
              <w:rPr>
                <w:b/>
                <w:sz w:val="16"/>
              </w:rPr>
              <w:t>Actual</w:t>
            </w:r>
          </w:p>
        </w:tc>
        <w:tc>
          <w:tcPr>
            <w:tcW w:type="dxa" w:w="1440"/>
            <w:vAlign w:val="center"/>
            <w:shd w:fill="D9EAF7"/>
          </w:tcPr>
          <w:p>
            <w:r/>
            <w:r>
              <w:rPr>
                <w:b/>
                <w:sz w:val="16"/>
              </w:rPr>
              <w:t>Best method</w:t>
            </w:r>
          </w:p>
        </w:tc>
        <w:tc>
          <w:tcPr>
            <w:tcW w:type="dxa" w:w="1440"/>
            <w:vAlign w:val="center"/>
            <w:shd w:fill="D9EAF7"/>
          </w:tcPr>
          <w:p>
            <w:r/>
            <w:r>
              <w:rPr>
                <w:b/>
                <w:sz w:val="16"/>
              </w:rPr>
              <w:t>Best rel. inc.</w:t>
            </w:r>
          </w:p>
        </w:tc>
        <w:tc>
          <w:tcPr>
            <w:tcW w:type="dxa" w:w="1440"/>
            <w:vAlign w:val="center"/>
            <w:shd w:fill="D9EAF7"/>
          </w:tcPr>
          <w:p>
            <w:r/>
            <w:r>
              <w:rPr>
                <w:b/>
                <w:sz w:val="16"/>
              </w:rPr>
              <w:t>Pure rel. inc.</w:t>
            </w:r>
          </w:p>
        </w:tc>
        <w:tc>
          <w:tcPr>
            <w:tcW w:type="dxa" w:w="1440"/>
            <w:vAlign w:val="center"/>
            <w:shd w:fill="D9EAF7"/>
          </w:tcPr>
          <w:p>
            <w:r/>
            <w:r>
              <w:rPr>
                <w:b/>
                <w:sz w:val="16"/>
              </w:rPr>
              <w:t>Gain over pure</w:t>
            </w:r>
          </w:p>
        </w:tc>
      </w:tr>
      <w:tr>
        <w:tc>
          <w:tcPr>
            <w:tcW w:type="dxa" w:w="1440"/>
            <w:vAlign w:val="center"/>
          </w:tcPr>
          <w:p>
            <w:r/>
            <w:r>
              <w:rPr>
                <w:b w:val="0"/>
                <w:sz w:val="16"/>
              </w:rPr>
              <w:t>C4</w:t>
            </w:r>
          </w:p>
        </w:tc>
        <w:tc>
          <w:tcPr>
            <w:tcW w:type="dxa" w:w="1440"/>
            <w:vAlign w:val="center"/>
          </w:tcPr>
          <w:p>
            <w:r/>
            <w:r>
              <w:rPr>
                <w:b w:val="0"/>
                <w:sz w:val="16"/>
              </w:rPr>
              <w:t>2%</w:t>
            </w:r>
          </w:p>
        </w:tc>
        <w:tc>
          <w:tcPr>
            <w:tcW w:type="dxa" w:w="1440"/>
            <w:vAlign w:val="center"/>
          </w:tcPr>
          <w:p>
            <w:r/>
            <w:r>
              <w:rPr>
                <w:b w:val="0"/>
                <w:sz w:val="16"/>
              </w:rPr>
              <w:t>2.3%</w:t>
            </w:r>
          </w:p>
        </w:tc>
        <w:tc>
          <w:tcPr>
            <w:tcW w:type="dxa" w:w="1440"/>
            <w:vAlign w:val="center"/>
          </w:tcPr>
          <w:p>
            <w:r/>
            <w:r>
              <w:rPr>
                <w:b w:val="0"/>
                <w:sz w:val="16"/>
              </w:rPr>
              <w:t>pure_delete</w:t>
            </w:r>
          </w:p>
        </w:tc>
        <w:tc>
          <w:tcPr>
            <w:tcW w:type="dxa" w:w="1440"/>
            <w:vAlign w:val="center"/>
          </w:tcPr>
          <w:p>
            <w:r/>
            <w:r>
              <w:rPr>
                <w:b w:val="0"/>
                <w:sz w:val="16"/>
              </w:rPr>
              <w:t>0.8%</w:t>
            </w:r>
          </w:p>
        </w:tc>
        <w:tc>
          <w:tcPr>
            <w:tcW w:type="dxa" w:w="1440"/>
            <w:vAlign w:val="center"/>
          </w:tcPr>
          <w:p>
            <w:r/>
            <w:r>
              <w:rPr>
                <w:b w:val="0"/>
                <w:sz w:val="16"/>
              </w:rPr>
              <w:t>0.8%</w:t>
            </w:r>
          </w:p>
        </w:tc>
        <w:tc>
          <w:tcPr>
            <w:tcW w:type="dxa" w:w="1440"/>
            <w:vAlign w:val="center"/>
          </w:tcPr>
          <w:p>
            <w:r/>
            <w:r>
              <w:rPr>
                <w:b w:val="0"/>
                <w:sz w:val="16"/>
              </w:rPr>
              <w:t>+0.0 pp</w:t>
            </w:r>
          </w:p>
        </w:tc>
      </w:tr>
      <w:tr>
        <w:tc>
          <w:tcPr>
            <w:tcW w:type="dxa" w:w="1440"/>
            <w:vAlign w:val="center"/>
          </w:tcPr>
          <w:p>
            <w:r/>
            <w:r>
              <w:rPr>
                <w:b w:val="0"/>
                <w:sz w:val="16"/>
              </w:rPr>
              <w:t>C4</w:t>
            </w:r>
          </w:p>
        </w:tc>
        <w:tc>
          <w:tcPr>
            <w:tcW w:type="dxa" w:w="1440"/>
            <w:vAlign w:val="center"/>
          </w:tcPr>
          <w:p>
            <w:r/>
            <w:r>
              <w:rPr>
                <w:b w:val="0"/>
                <w:sz w:val="16"/>
              </w:rPr>
              <w:t>4%</w:t>
            </w:r>
          </w:p>
        </w:tc>
        <w:tc>
          <w:tcPr>
            <w:tcW w:type="dxa" w:w="1440"/>
            <w:vAlign w:val="center"/>
          </w:tcPr>
          <w:p>
            <w:r/>
            <w:r>
              <w:rPr>
                <w:b w:val="0"/>
                <w:sz w:val="16"/>
              </w:rPr>
              <w:t>4.3%</w:t>
            </w:r>
          </w:p>
        </w:tc>
        <w:tc>
          <w:tcPr>
            <w:tcW w:type="dxa" w:w="1440"/>
            <w:vAlign w:val="center"/>
          </w:tcPr>
          <w:p>
            <w:r/>
            <w:r>
              <w:rPr>
                <w:b w:val="0"/>
                <w:sz w:val="16"/>
              </w:rPr>
              <w:t>pure_delete</w:t>
            </w:r>
          </w:p>
        </w:tc>
        <w:tc>
          <w:tcPr>
            <w:tcW w:type="dxa" w:w="1440"/>
            <w:vAlign w:val="center"/>
          </w:tcPr>
          <w:p>
            <w:r/>
            <w:r>
              <w:rPr>
                <w:b w:val="0"/>
                <w:sz w:val="16"/>
              </w:rPr>
              <w:t>1.4%</w:t>
            </w:r>
          </w:p>
        </w:tc>
        <w:tc>
          <w:tcPr>
            <w:tcW w:type="dxa" w:w="1440"/>
            <w:vAlign w:val="center"/>
          </w:tcPr>
          <w:p>
            <w:r/>
            <w:r>
              <w:rPr>
                <w:b w:val="0"/>
                <w:sz w:val="16"/>
              </w:rPr>
              <w:t>1.4%</w:t>
            </w:r>
          </w:p>
        </w:tc>
        <w:tc>
          <w:tcPr>
            <w:tcW w:type="dxa" w:w="1440"/>
            <w:vAlign w:val="center"/>
          </w:tcPr>
          <w:p>
            <w:r/>
            <w:r>
              <w:rPr>
                <w:b w:val="0"/>
                <w:sz w:val="16"/>
              </w:rPr>
              <w:t>+0.0 pp</w:t>
            </w:r>
          </w:p>
        </w:tc>
      </w:tr>
      <w:tr>
        <w:tc>
          <w:tcPr>
            <w:tcW w:type="dxa" w:w="1440"/>
            <w:vAlign w:val="center"/>
          </w:tcPr>
          <w:p>
            <w:r/>
            <w:r>
              <w:rPr>
                <w:b w:val="0"/>
                <w:sz w:val="16"/>
              </w:rPr>
              <w:t>C4</w:t>
            </w:r>
          </w:p>
        </w:tc>
        <w:tc>
          <w:tcPr>
            <w:tcW w:type="dxa" w:w="1440"/>
            <w:vAlign w:val="center"/>
          </w:tcPr>
          <w:p>
            <w:r/>
            <w:r>
              <w:rPr>
                <w:b w:val="0"/>
                <w:sz w:val="16"/>
              </w:rPr>
              <w:t>6%</w:t>
            </w:r>
          </w:p>
        </w:tc>
        <w:tc>
          <w:tcPr>
            <w:tcW w:type="dxa" w:w="1440"/>
            <w:vAlign w:val="center"/>
          </w:tcPr>
          <w:p>
            <w:r/>
            <w:r>
              <w:rPr>
                <w:b w:val="0"/>
                <w:sz w:val="16"/>
              </w:rPr>
              <w:t>6.2%</w:t>
            </w:r>
          </w:p>
        </w:tc>
        <w:tc>
          <w:tcPr>
            <w:tcW w:type="dxa" w:w="1440"/>
            <w:vAlign w:val="center"/>
          </w:tcPr>
          <w:p>
            <w:r/>
            <w:r>
              <w:rPr>
                <w:b w:val="0"/>
                <w:sz w:val="16"/>
              </w:rPr>
              <w:t>nearest_channel_merge</w:t>
            </w:r>
          </w:p>
        </w:tc>
        <w:tc>
          <w:tcPr>
            <w:tcW w:type="dxa" w:w="1440"/>
            <w:vAlign w:val="center"/>
          </w:tcPr>
          <w:p>
            <w:r/>
            <w:r>
              <w:rPr>
                <w:b w:val="0"/>
                <w:sz w:val="16"/>
              </w:rPr>
              <w:t>2.1%</w:t>
            </w:r>
          </w:p>
        </w:tc>
        <w:tc>
          <w:tcPr>
            <w:tcW w:type="dxa" w:w="1440"/>
            <w:vAlign w:val="center"/>
          </w:tcPr>
          <w:p>
            <w:r/>
            <w:r>
              <w:rPr>
                <w:b w:val="0"/>
                <w:sz w:val="16"/>
              </w:rPr>
              <w:t>2.2%</w:t>
            </w:r>
          </w:p>
        </w:tc>
        <w:tc>
          <w:tcPr>
            <w:tcW w:type="dxa" w:w="1440"/>
            <w:vAlign w:val="center"/>
          </w:tcPr>
          <w:p>
            <w:r/>
            <w:r>
              <w:rPr>
                <w:b w:val="0"/>
                <w:sz w:val="16"/>
              </w:rPr>
              <w:t>+0.1 pp</w:t>
            </w:r>
          </w:p>
        </w:tc>
      </w:tr>
      <w:tr>
        <w:tc>
          <w:tcPr>
            <w:tcW w:type="dxa" w:w="1440"/>
            <w:vAlign w:val="center"/>
          </w:tcPr>
          <w:p>
            <w:r/>
            <w:r>
              <w:rPr>
                <w:b w:val="0"/>
                <w:sz w:val="16"/>
              </w:rPr>
              <w:t>C4</w:t>
            </w:r>
          </w:p>
        </w:tc>
        <w:tc>
          <w:tcPr>
            <w:tcW w:type="dxa" w:w="1440"/>
            <w:vAlign w:val="center"/>
          </w:tcPr>
          <w:p>
            <w:r/>
            <w:r>
              <w:rPr>
                <w:b w:val="0"/>
                <w:sz w:val="16"/>
              </w:rPr>
              <w:t>8%</w:t>
            </w:r>
          </w:p>
        </w:tc>
        <w:tc>
          <w:tcPr>
            <w:tcW w:type="dxa" w:w="1440"/>
            <w:vAlign w:val="center"/>
          </w:tcPr>
          <w:p>
            <w:r/>
            <w:r>
              <w:rPr>
                <w:b w:val="0"/>
                <w:sz w:val="16"/>
              </w:rPr>
              <w:t>8.0%</w:t>
            </w:r>
          </w:p>
        </w:tc>
        <w:tc>
          <w:tcPr>
            <w:tcW w:type="dxa" w:w="1440"/>
            <w:vAlign w:val="center"/>
          </w:tcPr>
          <w:p>
            <w:r/>
            <w:r>
              <w:rPr>
                <w:b w:val="0"/>
                <w:sz w:val="16"/>
              </w:rPr>
              <w:t>pure_delete</w:t>
            </w:r>
          </w:p>
        </w:tc>
        <w:tc>
          <w:tcPr>
            <w:tcW w:type="dxa" w:w="1440"/>
            <w:vAlign w:val="center"/>
          </w:tcPr>
          <w:p>
            <w:r/>
            <w:r>
              <w:rPr>
                <w:b w:val="0"/>
                <w:sz w:val="16"/>
              </w:rPr>
              <w:t>4.8%</w:t>
            </w:r>
          </w:p>
        </w:tc>
        <w:tc>
          <w:tcPr>
            <w:tcW w:type="dxa" w:w="1440"/>
            <w:vAlign w:val="center"/>
          </w:tcPr>
          <w:p>
            <w:r/>
            <w:r>
              <w:rPr>
                <w:b w:val="0"/>
                <w:sz w:val="16"/>
              </w:rPr>
              <w:t>4.8%</w:t>
            </w:r>
          </w:p>
        </w:tc>
        <w:tc>
          <w:tcPr>
            <w:tcW w:type="dxa" w:w="1440"/>
            <w:vAlign w:val="center"/>
          </w:tcPr>
          <w:p>
            <w:r/>
            <w:r>
              <w:rPr>
                <w:b w:val="0"/>
                <w:sz w:val="16"/>
              </w:rPr>
              <w:t>+0.0 pp</w:t>
            </w:r>
          </w:p>
        </w:tc>
      </w:tr>
      <w:tr>
        <w:tc>
          <w:tcPr>
            <w:tcW w:type="dxa" w:w="1440"/>
            <w:vAlign w:val="center"/>
          </w:tcPr>
          <w:p>
            <w:r/>
            <w:r>
              <w:rPr>
                <w:b w:val="0"/>
                <w:sz w:val="16"/>
              </w:rPr>
              <w:t>WikiText2</w:t>
            </w:r>
          </w:p>
        </w:tc>
        <w:tc>
          <w:tcPr>
            <w:tcW w:type="dxa" w:w="1440"/>
            <w:vAlign w:val="center"/>
          </w:tcPr>
          <w:p>
            <w:r/>
            <w:r>
              <w:rPr>
                <w:b w:val="0"/>
                <w:sz w:val="16"/>
              </w:rPr>
              <w:t>2%</w:t>
            </w:r>
          </w:p>
        </w:tc>
        <w:tc>
          <w:tcPr>
            <w:tcW w:type="dxa" w:w="1440"/>
            <w:vAlign w:val="center"/>
          </w:tcPr>
          <w:p>
            <w:r/>
            <w:r>
              <w:rPr>
                <w:b w:val="0"/>
                <w:sz w:val="16"/>
              </w:rPr>
              <w:t>2.3%</w:t>
            </w:r>
          </w:p>
        </w:tc>
        <w:tc>
          <w:tcPr>
            <w:tcW w:type="dxa" w:w="1440"/>
            <w:vAlign w:val="center"/>
          </w:tcPr>
          <w:p>
            <w:r/>
            <w:r>
              <w:rPr>
                <w:b w:val="0"/>
                <w:sz w:val="16"/>
              </w:rPr>
              <w:t>nearest_channel_merge</w:t>
            </w:r>
          </w:p>
        </w:tc>
        <w:tc>
          <w:tcPr>
            <w:tcW w:type="dxa" w:w="1440"/>
            <w:vAlign w:val="center"/>
          </w:tcPr>
          <w:p>
            <w:r/>
            <w:r>
              <w:rPr>
                <w:b w:val="0"/>
                <w:sz w:val="16"/>
              </w:rPr>
              <w:t>0.1%</w:t>
            </w:r>
          </w:p>
        </w:tc>
        <w:tc>
          <w:tcPr>
            <w:tcW w:type="dxa" w:w="1440"/>
            <w:vAlign w:val="center"/>
          </w:tcPr>
          <w:p>
            <w:r/>
            <w:r>
              <w:rPr>
                <w:b w:val="0"/>
                <w:sz w:val="16"/>
              </w:rPr>
              <w:t>0.4%</w:t>
            </w:r>
          </w:p>
        </w:tc>
        <w:tc>
          <w:tcPr>
            <w:tcW w:type="dxa" w:w="1440"/>
            <w:vAlign w:val="center"/>
          </w:tcPr>
          <w:p>
            <w:r/>
            <w:r>
              <w:rPr>
                <w:b w:val="0"/>
                <w:sz w:val="16"/>
              </w:rPr>
              <w:t>+0.3 pp</w:t>
            </w:r>
          </w:p>
        </w:tc>
      </w:tr>
      <w:tr>
        <w:tc>
          <w:tcPr>
            <w:tcW w:type="dxa" w:w="1440"/>
            <w:vAlign w:val="center"/>
          </w:tcPr>
          <w:p>
            <w:r/>
            <w:r>
              <w:rPr>
                <w:b w:val="0"/>
                <w:sz w:val="16"/>
              </w:rPr>
              <w:t>WikiText2</w:t>
            </w:r>
          </w:p>
        </w:tc>
        <w:tc>
          <w:tcPr>
            <w:tcW w:type="dxa" w:w="1440"/>
            <w:vAlign w:val="center"/>
          </w:tcPr>
          <w:p>
            <w:r/>
            <w:r>
              <w:rPr>
                <w:b w:val="0"/>
                <w:sz w:val="16"/>
              </w:rPr>
              <w:t>4%</w:t>
            </w:r>
          </w:p>
        </w:tc>
        <w:tc>
          <w:tcPr>
            <w:tcW w:type="dxa" w:w="1440"/>
            <w:vAlign w:val="center"/>
          </w:tcPr>
          <w:p>
            <w:r/>
            <w:r>
              <w:rPr>
                <w:b w:val="0"/>
                <w:sz w:val="16"/>
              </w:rPr>
              <w:t>4.3%</w:t>
            </w:r>
          </w:p>
        </w:tc>
        <w:tc>
          <w:tcPr>
            <w:tcW w:type="dxa" w:w="1440"/>
            <w:vAlign w:val="center"/>
          </w:tcPr>
          <w:p>
            <w:r/>
            <w:r>
              <w:rPr>
                <w:b w:val="0"/>
                <w:sz w:val="16"/>
              </w:rPr>
              <w:t>nearest_channel_merge</w:t>
            </w:r>
          </w:p>
        </w:tc>
        <w:tc>
          <w:tcPr>
            <w:tcW w:type="dxa" w:w="1440"/>
            <w:vAlign w:val="center"/>
          </w:tcPr>
          <w:p>
            <w:r/>
            <w:r>
              <w:rPr>
                <w:b w:val="0"/>
                <w:sz w:val="16"/>
              </w:rPr>
              <w:t>2.4%</w:t>
            </w:r>
          </w:p>
        </w:tc>
        <w:tc>
          <w:tcPr>
            <w:tcW w:type="dxa" w:w="1440"/>
            <w:vAlign w:val="center"/>
          </w:tcPr>
          <w:p>
            <w:r/>
            <w:r>
              <w:rPr>
                <w:b w:val="0"/>
                <w:sz w:val="16"/>
              </w:rPr>
              <w:t>2.7%</w:t>
            </w:r>
          </w:p>
        </w:tc>
        <w:tc>
          <w:tcPr>
            <w:tcW w:type="dxa" w:w="1440"/>
            <w:vAlign w:val="center"/>
          </w:tcPr>
          <w:p>
            <w:r/>
            <w:r>
              <w:rPr>
                <w:b w:val="0"/>
                <w:sz w:val="16"/>
              </w:rPr>
              <w:t>+0.3 pp</w:t>
            </w:r>
          </w:p>
        </w:tc>
      </w:tr>
      <w:tr>
        <w:tc>
          <w:tcPr>
            <w:tcW w:type="dxa" w:w="1440"/>
            <w:vAlign w:val="center"/>
          </w:tcPr>
          <w:p>
            <w:r/>
            <w:r>
              <w:rPr>
                <w:b w:val="0"/>
                <w:sz w:val="16"/>
              </w:rPr>
              <w:t>WikiText2</w:t>
            </w:r>
          </w:p>
        </w:tc>
        <w:tc>
          <w:tcPr>
            <w:tcW w:type="dxa" w:w="1440"/>
            <w:vAlign w:val="center"/>
          </w:tcPr>
          <w:p>
            <w:r/>
            <w:r>
              <w:rPr>
                <w:b w:val="0"/>
                <w:sz w:val="16"/>
              </w:rPr>
              <w:t>6%</w:t>
            </w:r>
          </w:p>
        </w:tc>
        <w:tc>
          <w:tcPr>
            <w:tcW w:type="dxa" w:w="1440"/>
            <w:vAlign w:val="center"/>
          </w:tcPr>
          <w:p>
            <w:r/>
            <w:r>
              <w:rPr>
                <w:b w:val="0"/>
                <w:sz w:val="16"/>
              </w:rPr>
              <w:t>6.2%</w:t>
            </w:r>
          </w:p>
        </w:tc>
        <w:tc>
          <w:tcPr>
            <w:tcW w:type="dxa" w:w="1440"/>
            <w:vAlign w:val="center"/>
          </w:tcPr>
          <w:p>
            <w:r/>
            <w:r>
              <w:rPr>
                <w:b w:val="0"/>
                <w:sz w:val="16"/>
              </w:rPr>
              <w:t>nearest_channel_merge</w:t>
            </w:r>
          </w:p>
        </w:tc>
        <w:tc>
          <w:tcPr>
            <w:tcW w:type="dxa" w:w="1440"/>
            <w:vAlign w:val="center"/>
          </w:tcPr>
          <w:p>
            <w:r/>
            <w:r>
              <w:rPr>
                <w:b w:val="0"/>
                <w:sz w:val="16"/>
              </w:rPr>
              <w:t>3.7%</w:t>
            </w:r>
          </w:p>
        </w:tc>
        <w:tc>
          <w:tcPr>
            <w:tcW w:type="dxa" w:w="1440"/>
            <w:vAlign w:val="center"/>
          </w:tcPr>
          <w:p>
            <w:r/>
            <w:r>
              <w:rPr>
                <w:b w:val="0"/>
                <w:sz w:val="16"/>
              </w:rPr>
              <w:t>3.8%</w:t>
            </w:r>
          </w:p>
        </w:tc>
        <w:tc>
          <w:tcPr>
            <w:tcW w:type="dxa" w:w="1440"/>
            <w:vAlign w:val="center"/>
          </w:tcPr>
          <w:p>
            <w:r/>
            <w:r>
              <w:rPr>
                <w:b w:val="0"/>
                <w:sz w:val="16"/>
              </w:rPr>
              <w:t>+0.1 pp</w:t>
            </w:r>
          </w:p>
        </w:tc>
      </w:tr>
      <w:tr>
        <w:tc>
          <w:tcPr>
            <w:tcW w:type="dxa" w:w="1440"/>
            <w:vAlign w:val="center"/>
          </w:tcPr>
          <w:p>
            <w:r/>
            <w:r>
              <w:rPr>
                <w:b w:val="0"/>
                <w:sz w:val="16"/>
              </w:rPr>
              <w:t>WikiText2</w:t>
            </w:r>
          </w:p>
        </w:tc>
        <w:tc>
          <w:tcPr>
            <w:tcW w:type="dxa" w:w="1440"/>
            <w:vAlign w:val="center"/>
          </w:tcPr>
          <w:p>
            <w:r/>
            <w:r>
              <w:rPr>
                <w:b w:val="0"/>
                <w:sz w:val="16"/>
              </w:rPr>
              <w:t>8%</w:t>
            </w:r>
          </w:p>
        </w:tc>
        <w:tc>
          <w:tcPr>
            <w:tcW w:type="dxa" w:w="1440"/>
            <w:vAlign w:val="center"/>
          </w:tcPr>
          <w:p>
            <w:r/>
            <w:r>
              <w:rPr>
                <w:b w:val="0"/>
                <w:sz w:val="16"/>
              </w:rPr>
              <w:t>8.0%</w:t>
            </w:r>
          </w:p>
        </w:tc>
        <w:tc>
          <w:tcPr>
            <w:tcW w:type="dxa" w:w="1440"/>
            <w:vAlign w:val="center"/>
          </w:tcPr>
          <w:p>
            <w:r/>
            <w:r>
              <w:rPr>
                <w:b w:val="0"/>
                <w:sz w:val="16"/>
              </w:rPr>
              <w:t>pure_delete</w:t>
            </w:r>
          </w:p>
        </w:tc>
        <w:tc>
          <w:tcPr>
            <w:tcW w:type="dxa" w:w="1440"/>
            <w:vAlign w:val="center"/>
          </w:tcPr>
          <w:p>
            <w:r/>
            <w:r>
              <w:rPr>
                <w:b w:val="0"/>
                <w:sz w:val="16"/>
              </w:rPr>
              <w:t>7.6%</w:t>
            </w:r>
          </w:p>
        </w:tc>
        <w:tc>
          <w:tcPr>
            <w:tcW w:type="dxa" w:w="1440"/>
            <w:vAlign w:val="center"/>
          </w:tcPr>
          <w:p>
            <w:r/>
            <w:r>
              <w:rPr>
                <w:b w:val="0"/>
                <w:sz w:val="16"/>
              </w:rPr>
              <w:t>7.6%</w:t>
            </w:r>
          </w:p>
        </w:tc>
        <w:tc>
          <w:tcPr>
            <w:tcW w:type="dxa" w:w="1440"/>
            <w:vAlign w:val="center"/>
          </w:tcPr>
          <w:p>
            <w:r/>
            <w:r>
              <w:rPr>
                <w:b w:val="0"/>
                <w:sz w:val="16"/>
              </w:rPr>
              <w:t>+0.0 pp</w:t>
            </w:r>
          </w:p>
        </w:tc>
      </w:tr>
    </w:tbl>
    <w:p/>
    <w:p>
      <w:pPr>
        <w:pStyle w:val="Heading2"/>
      </w:pPr>
      <w:r>
        <w:t>7.2 Version 3 Ellipsoid Allocation/Ranking Results</w:t>
      </w:r>
    </w:p>
    <w:p>
      <w:pPr/>
      <w:r>
        <w:t>The first diagnostic crossed the original and ellipsoid choices for global allocation and within-layer ranking. The result localized the failure of the first ellipsoid implementation: ellipsoid ranking was beneficial under the original allocation, whereas ellipsoid allocation was harmful under either ranking. The negative WikiText-2 change in one exploratory row is treated as no measurable degradation rather than a general quality improvement.</w:t>
      </w:r>
    </w:p>
    <w:p>
      <w:pPr>
        <w:pStyle w:val="Caption"/>
      </w:pPr>
      <w:r>
        <w:t>Table V3-1. Exploratory 2% allocation/ranking diagnostic on WikiText-2.</w:t>
      </w:r>
    </w:p>
    <w:tbl>
      <w:tblPr>
        <w:tblStyle w:val="TableGrid"/>
        <w:tblW w:type="dxa" w:w="10080"/>
        <w:tblLayout w:type="fixed"/>
        <w:tblLook w:firstColumn="1" w:firstRow="1" w:lastColumn="0" w:lastRow="0" w:noHBand="0" w:noVBand="1" w:val="04A0"/>
        <w:tblInd w:w="120" w:type="dxa"/>
      </w:tblPr>
      <w:tblGrid>
        <w:gridCol w:w="1717"/>
        <w:gridCol w:w="1717"/>
        <w:gridCol w:w="1120"/>
        <w:gridCol w:w="1075"/>
        <w:gridCol w:w="1419"/>
        <w:gridCol w:w="1463"/>
        <w:gridCol w:w="1569"/>
      </w:tblGrid>
      <w:tr>
        <w:trPr>
          <w:tblHeader w:val="true"/>
        </w:trPr>
        <w:tc>
          <w:tcPr>
            <w:tcW w:type="dxa" w:w="1717"/>
            <w:vAlign w:val="center"/>
            <w:tcMar>
              <w:top w:w="80" w:type="dxa"/>
              <w:start w:w="120" w:type="dxa"/>
              <w:bottom w:w="80" w:type="dxa"/>
              <w:end w:w="120" w:type="dxa"/>
            </w:tcMar>
            <w:shd w:fill="4F81BD"/>
          </w:tcPr>
          <w:p>
            <w:pPr>
              <w:spacing w:before="0" w:after="0" w:line="240" w:lineRule="auto"/>
              <w:jc w:val="center"/>
            </w:pPr>
            <w:r>
              <w:rPr>
                <w:rFonts w:ascii="Times New Roman" w:hAnsi="Times New Roman"/>
                <w:b/>
                <w:color w:val="FFFFFF"/>
                <w:sz w:val="16"/>
              </w:rPr>
              <w:t>Allocation</w:t>
            </w:r>
          </w:p>
        </w:tc>
        <w:tc>
          <w:tcPr>
            <w:tcW w:type="dxa" w:w="1717"/>
            <w:vAlign w:val="center"/>
            <w:tcMar>
              <w:top w:w="80" w:type="dxa"/>
              <w:start w:w="120" w:type="dxa"/>
              <w:bottom w:w="80" w:type="dxa"/>
              <w:end w:w="120" w:type="dxa"/>
            </w:tcMar>
            <w:shd w:fill="4F81BD"/>
          </w:tcPr>
          <w:p>
            <w:pPr>
              <w:spacing w:before="0" w:after="0" w:line="240" w:lineRule="auto"/>
              <w:jc w:val="center"/>
            </w:pPr>
            <w:r>
              <w:rPr>
                <w:rFonts w:ascii="Times New Roman" w:hAnsi="Times New Roman"/>
                <w:b/>
                <w:color w:val="FFFFFF"/>
                <w:sz w:val="16"/>
              </w:rPr>
              <w:t>Ranking</w:t>
            </w:r>
          </w:p>
        </w:tc>
        <w:tc>
          <w:tcPr>
            <w:tcW w:type="dxa" w:w="1120"/>
            <w:vAlign w:val="center"/>
            <w:tcMar>
              <w:top w:w="80" w:type="dxa"/>
              <w:start w:w="120" w:type="dxa"/>
              <w:bottom w:w="80" w:type="dxa"/>
              <w:end w:w="120" w:type="dxa"/>
            </w:tcMar>
            <w:shd w:fill="4F81BD"/>
          </w:tcPr>
          <w:p>
            <w:pPr>
              <w:spacing w:before="0" w:after="0" w:line="240" w:lineRule="auto"/>
              <w:jc w:val="center"/>
            </w:pPr>
            <w:r>
              <w:rPr>
                <w:rFonts w:ascii="Times New Roman" w:hAnsi="Times New Roman"/>
                <w:b/>
                <w:color w:val="FFFFFF"/>
                <w:sz w:val="16"/>
              </w:rPr>
              <w:t>Actual</w:t>
            </w:r>
          </w:p>
        </w:tc>
        <w:tc>
          <w:tcPr>
            <w:tcW w:type="dxa" w:w="1075"/>
            <w:vAlign w:val="center"/>
            <w:tcMar>
              <w:top w:w="80" w:type="dxa"/>
              <w:start w:w="120" w:type="dxa"/>
              <w:bottom w:w="80" w:type="dxa"/>
              <w:end w:w="120" w:type="dxa"/>
            </w:tcMar>
            <w:shd w:fill="4F81BD"/>
          </w:tcPr>
          <w:p>
            <w:pPr>
              <w:spacing w:before="0" w:after="0" w:line="240" w:lineRule="auto"/>
              <w:jc w:val="center"/>
            </w:pPr>
            <w:r>
              <w:rPr>
                <w:rFonts w:ascii="Times New Roman" w:hAnsi="Times New Roman"/>
                <w:b/>
                <w:color w:val="FFFFFF"/>
                <w:sz w:val="16"/>
              </w:rPr>
              <w:t>Layer ch.</w:t>
            </w:r>
          </w:p>
        </w:tc>
        <w:tc>
          <w:tcPr>
            <w:tcW w:type="dxa" w:w="1419"/>
            <w:vAlign w:val="center"/>
            <w:tcMar>
              <w:top w:w="80" w:type="dxa"/>
              <w:start w:w="120" w:type="dxa"/>
              <w:bottom w:w="80" w:type="dxa"/>
              <w:end w:w="120" w:type="dxa"/>
            </w:tcMar>
            <w:shd w:fill="4F81BD"/>
          </w:tcPr>
          <w:p>
            <w:pPr>
              <w:spacing w:before="0" w:after="0" w:line="240" w:lineRule="auto"/>
              <w:jc w:val="center"/>
            </w:pPr>
            <w:r>
              <w:rPr>
                <w:rFonts w:ascii="Times New Roman" w:hAnsi="Times New Roman"/>
                <w:b/>
                <w:color w:val="FFFFFF"/>
                <w:sz w:val="16"/>
              </w:rPr>
              <w:t>Base PPL</w:t>
            </w:r>
          </w:p>
        </w:tc>
        <w:tc>
          <w:tcPr>
            <w:tcW w:type="dxa" w:w="1463"/>
            <w:vAlign w:val="center"/>
            <w:tcMar>
              <w:top w:w="80" w:type="dxa"/>
              <w:start w:w="120" w:type="dxa"/>
              <w:bottom w:w="80" w:type="dxa"/>
              <w:end w:w="120" w:type="dxa"/>
            </w:tcMar>
            <w:shd w:fill="4F81BD"/>
          </w:tcPr>
          <w:p>
            <w:pPr>
              <w:spacing w:before="0" w:after="0" w:line="240" w:lineRule="auto"/>
              <w:jc w:val="center"/>
            </w:pPr>
            <w:r>
              <w:rPr>
                <w:rFonts w:ascii="Times New Roman" w:hAnsi="Times New Roman"/>
                <w:b/>
                <w:color w:val="FFFFFF"/>
                <w:sz w:val="16"/>
              </w:rPr>
              <w:t>Pruned PPL</w:t>
            </w:r>
          </w:p>
        </w:tc>
        <w:tc>
          <w:tcPr>
            <w:tcW w:type="dxa" w:w="1569"/>
            <w:vAlign w:val="center"/>
            <w:tcMar>
              <w:top w:w="80" w:type="dxa"/>
              <w:start w:w="120" w:type="dxa"/>
              <w:bottom w:w="80" w:type="dxa"/>
              <w:end w:w="120" w:type="dxa"/>
            </w:tcMar>
            <w:shd w:fill="4F81BD"/>
          </w:tcPr>
          <w:p>
            <w:pPr>
              <w:spacing w:before="0" w:after="0" w:line="240" w:lineRule="auto"/>
              <w:jc w:val="center"/>
            </w:pPr>
            <w:r>
              <w:rPr>
                <w:rFonts w:ascii="Times New Roman" w:hAnsi="Times New Roman"/>
                <w:b/>
                <w:color w:val="FFFFFF"/>
                <w:sz w:val="16"/>
              </w:rPr>
              <w:t>Rel. change</w:t>
            </w:r>
          </w:p>
        </w:tc>
      </w:tr>
      <w:tr>
        <w:tc>
          <w:tcPr>
            <w:tcW w:type="dxa" w:w="1717"/>
            <w:vAlign w:val="center"/>
            <w:tcMar>
              <w:top w:w="80" w:type="dxa"/>
              <w:start w:w="120" w:type="dxa"/>
              <w:bottom w:w="80" w:type="dxa"/>
              <w:end w:w="120" w:type="dxa"/>
            </w:tcMar>
          </w:tcPr>
          <w:p>
            <w:pPr>
              <w:spacing w:before="0" w:after="0" w:line="240" w:lineRule="auto"/>
            </w:pPr>
            <w:r>
              <w:rPr>
                <w:rFonts w:ascii="Times New Roman" w:hAnsi="Times New Roman"/>
                <w:sz w:val="16"/>
              </w:rPr>
              <w:t>RMSNorm bound</w:t>
            </w:r>
          </w:p>
        </w:tc>
        <w:tc>
          <w:tcPr>
            <w:tcW w:type="dxa" w:w="1717"/>
            <w:vAlign w:val="center"/>
            <w:tcMar>
              <w:top w:w="80" w:type="dxa"/>
              <w:start w:w="120" w:type="dxa"/>
              <w:bottom w:w="80" w:type="dxa"/>
              <w:end w:w="120" w:type="dxa"/>
            </w:tcMar>
          </w:tcPr>
          <w:p>
            <w:pPr>
              <w:spacing w:before="0" w:after="0" w:line="240" w:lineRule="auto"/>
            </w:pPr>
            <w:r>
              <w:rPr>
                <w:rFonts w:ascii="Times New Roman" w:hAnsi="Times New Roman"/>
                <w:sz w:val="16"/>
              </w:rPr>
              <w:t>RMSNorm bound</w:t>
            </w:r>
          </w:p>
        </w:tc>
        <w:tc>
          <w:tcPr>
            <w:tcW w:type="dxa" w:w="1120"/>
            <w:vAlign w:val="center"/>
            <w:tcMar>
              <w:top w:w="80" w:type="dxa"/>
              <w:start w:w="120" w:type="dxa"/>
              <w:bottom w:w="80" w:type="dxa"/>
              <w:end w:w="120" w:type="dxa"/>
            </w:tcMar>
          </w:tcPr>
          <w:p>
            <w:pPr>
              <w:spacing w:before="0" w:after="0" w:line="240" w:lineRule="auto"/>
            </w:pPr>
            <w:r>
              <w:rPr>
                <w:rFonts w:ascii="Times New Roman" w:hAnsi="Times New Roman"/>
                <w:sz w:val="16"/>
              </w:rPr>
              <w:t>≈2.3%</w:t>
            </w:r>
          </w:p>
        </w:tc>
        <w:tc>
          <w:tcPr>
            <w:tcW w:type="dxa" w:w="1075"/>
            <w:vAlign w:val="center"/>
            <w:tcMar>
              <w:top w:w="80" w:type="dxa"/>
              <w:start w:w="120" w:type="dxa"/>
              <w:bottom w:w="80" w:type="dxa"/>
              <w:end w:w="120" w:type="dxa"/>
            </w:tcMar>
          </w:tcPr>
          <w:p>
            <w:pPr>
              <w:spacing w:before="0" w:after="0" w:line="240" w:lineRule="auto"/>
            </w:pPr>
            <w:r>
              <w:rPr>
                <w:rFonts w:ascii="Times New Roman" w:hAnsi="Times New Roman"/>
                <w:sz w:val="16"/>
              </w:rPr>
              <w:t>832</w:t>
            </w:r>
          </w:p>
        </w:tc>
        <w:tc>
          <w:tcPr>
            <w:tcW w:type="dxa" w:w="1419"/>
            <w:vAlign w:val="center"/>
            <w:tcMar>
              <w:top w:w="80" w:type="dxa"/>
              <w:start w:w="120" w:type="dxa"/>
              <w:bottom w:w="80" w:type="dxa"/>
              <w:end w:w="120" w:type="dxa"/>
            </w:tcMar>
          </w:tcPr>
          <w:p>
            <w:pPr>
              <w:spacing w:before="0" w:after="0" w:line="240" w:lineRule="auto"/>
            </w:pPr>
            <w:r>
              <w:rPr>
                <w:rFonts w:ascii="Times New Roman" w:hAnsi="Times New Roman"/>
                <w:sz w:val="16"/>
              </w:rPr>
              <w:t>12.3194</w:t>
            </w:r>
          </w:p>
        </w:tc>
        <w:tc>
          <w:tcPr>
            <w:tcW w:type="dxa" w:w="1463"/>
            <w:vAlign w:val="center"/>
            <w:tcMar>
              <w:top w:w="80" w:type="dxa"/>
              <w:start w:w="120" w:type="dxa"/>
              <w:bottom w:w="80" w:type="dxa"/>
              <w:end w:w="120" w:type="dxa"/>
            </w:tcMar>
          </w:tcPr>
          <w:p>
            <w:pPr>
              <w:spacing w:before="0" w:after="0" w:line="240" w:lineRule="auto"/>
            </w:pPr>
            <w:r>
              <w:rPr>
                <w:rFonts w:ascii="Times New Roman" w:hAnsi="Times New Roman"/>
                <w:sz w:val="16"/>
              </w:rPr>
              <w:t>12.3699</w:t>
            </w:r>
          </w:p>
        </w:tc>
        <w:tc>
          <w:tcPr>
            <w:tcW w:type="dxa" w:w="1569"/>
            <w:vAlign w:val="center"/>
            <w:tcMar>
              <w:top w:w="80" w:type="dxa"/>
              <w:start w:w="120" w:type="dxa"/>
              <w:bottom w:w="80" w:type="dxa"/>
              <w:end w:w="120" w:type="dxa"/>
            </w:tcMar>
          </w:tcPr>
          <w:p>
            <w:pPr>
              <w:spacing w:before="0" w:after="0" w:line="240" w:lineRule="auto"/>
            </w:pPr>
            <w:r>
              <w:rPr>
                <w:rFonts w:ascii="Times New Roman" w:hAnsi="Times New Roman"/>
                <w:sz w:val="16"/>
              </w:rPr>
              <w:t>+0.410%</w:t>
            </w:r>
          </w:p>
        </w:tc>
      </w:tr>
      <w:tr>
        <w:tc>
          <w:tcPr>
            <w:tcW w:type="dxa" w:w="1717"/>
            <w:vAlign w:val="center"/>
            <w:tcMar>
              <w:top w:w="80" w:type="dxa"/>
              <w:start w:w="120" w:type="dxa"/>
              <w:bottom w:w="80" w:type="dxa"/>
              <w:end w:w="120" w:type="dxa"/>
            </w:tcMar>
          </w:tcPr>
          <w:p>
            <w:pPr>
              <w:spacing w:before="0" w:after="0" w:line="240" w:lineRule="auto"/>
            </w:pPr>
            <w:r>
              <w:rPr>
                <w:rFonts w:ascii="Times New Roman" w:hAnsi="Times New Roman"/>
                <w:sz w:val="16"/>
              </w:rPr>
              <w:t>RMSNorm bound</w:t>
            </w:r>
          </w:p>
        </w:tc>
        <w:tc>
          <w:tcPr>
            <w:tcW w:type="dxa" w:w="1717"/>
            <w:vAlign w:val="center"/>
            <w:tcMar>
              <w:top w:w="80" w:type="dxa"/>
              <w:start w:w="120" w:type="dxa"/>
              <w:bottom w:w="80" w:type="dxa"/>
              <w:end w:w="120" w:type="dxa"/>
            </w:tcMar>
          </w:tcPr>
          <w:p>
            <w:pPr>
              <w:spacing w:before="0" w:after="0" w:line="240" w:lineRule="auto"/>
            </w:pPr>
            <w:r>
              <w:rPr>
                <w:rFonts w:ascii="Times New Roman" w:hAnsi="Times New Roman"/>
                <w:sz w:val="16"/>
              </w:rPr>
              <w:t>Ellipsoid</w:t>
            </w:r>
          </w:p>
        </w:tc>
        <w:tc>
          <w:tcPr>
            <w:tcW w:type="dxa" w:w="1120"/>
            <w:vAlign w:val="center"/>
            <w:tcMar>
              <w:top w:w="80" w:type="dxa"/>
              <w:start w:w="120" w:type="dxa"/>
              <w:bottom w:w="80" w:type="dxa"/>
              <w:end w:w="120" w:type="dxa"/>
            </w:tcMar>
          </w:tcPr>
          <w:p>
            <w:pPr>
              <w:spacing w:before="0" w:after="0" w:line="240" w:lineRule="auto"/>
            </w:pPr>
            <w:r>
              <w:rPr>
                <w:rFonts w:ascii="Times New Roman" w:hAnsi="Times New Roman"/>
                <w:sz w:val="16"/>
              </w:rPr>
              <w:t>2.257%</w:t>
            </w:r>
          </w:p>
        </w:tc>
        <w:tc>
          <w:tcPr>
            <w:tcW w:type="dxa" w:w="1075"/>
            <w:vAlign w:val="center"/>
            <w:tcMar>
              <w:top w:w="80" w:type="dxa"/>
              <w:start w:w="120" w:type="dxa"/>
              <w:bottom w:w="80" w:type="dxa"/>
              <w:end w:w="120" w:type="dxa"/>
            </w:tcMar>
          </w:tcPr>
          <w:p>
            <w:pPr>
              <w:spacing w:before="0" w:after="0" w:line="240" w:lineRule="auto"/>
            </w:pPr>
            <w:r>
              <w:rPr>
                <w:rFonts w:ascii="Times New Roman" w:hAnsi="Times New Roman"/>
                <w:sz w:val="16"/>
              </w:rPr>
              <w:t>832</w:t>
            </w:r>
          </w:p>
        </w:tc>
        <w:tc>
          <w:tcPr>
            <w:tcW w:type="dxa" w:w="1419"/>
            <w:vAlign w:val="center"/>
            <w:tcMar>
              <w:top w:w="80" w:type="dxa"/>
              <w:start w:w="120" w:type="dxa"/>
              <w:bottom w:w="80" w:type="dxa"/>
              <w:end w:w="120" w:type="dxa"/>
            </w:tcMar>
          </w:tcPr>
          <w:p>
            <w:pPr>
              <w:spacing w:before="0" w:after="0" w:line="240" w:lineRule="auto"/>
            </w:pPr>
            <w:r>
              <w:rPr>
                <w:rFonts w:ascii="Times New Roman" w:hAnsi="Times New Roman"/>
                <w:sz w:val="16"/>
              </w:rPr>
              <w:t>12.3194</w:t>
            </w:r>
          </w:p>
        </w:tc>
        <w:tc>
          <w:tcPr>
            <w:tcW w:type="dxa" w:w="1463"/>
            <w:vAlign w:val="center"/>
            <w:tcMar>
              <w:top w:w="80" w:type="dxa"/>
              <w:start w:w="120" w:type="dxa"/>
              <w:bottom w:w="80" w:type="dxa"/>
              <w:end w:w="120" w:type="dxa"/>
            </w:tcMar>
          </w:tcPr>
          <w:p>
            <w:pPr>
              <w:spacing w:before="0" w:after="0" w:line="240" w:lineRule="auto"/>
            </w:pPr>
            <w:r>
              <w:rPr>
                <w:rFonts w:ascii="Times New Roman" w:hAnsi="Times New Roman"/>
                <w:sz w:val="16"/>
              </w:rPr>
              <w:t>12.2125</w:t>
            </w:r>
          </w:p>
        </w:tc>
        <w:tc>
          <w:tcPr>
            <w:tcW w:type="dxa" w:w="1569"/>
            <w:vAlign w:val="center"/>
            <w:tcMar>
              <w:top w:w="80" w:type="dxa"/>
              <w:start w:w="120" w:type="dxa"/>
              <w:bottom w:w="80" w:type="dxa"/>
              <w:end w:w="120" w:type="dxa"/>
            </w:tcMar>
          </w:tcPr>
          <w:p>
            <w:pPr>
              <w:spacing w:before="0" w:after="0" w:line="240" w:lineRule="auto"/>
            </w:pPr>
            <w:r>
              <w:rPr>
                <w:rFonts w:ascii="Times New Roman" w:hAnsi="Times New Roman"/>
                <w:sz w:val="16"/>
              </w:rPr>
              <w:t>−0.868%</w:t>
            </w:r>
          </w:p>
        </w:tc>
      </w:tr>
      <w:tr>
        <w:tc>
          <w:tcPr>
            <w:tcW w:type="dxa" w:w="1717"/>
            <w:vAlign w:val="center"/>
            <w:tcMar>
              <w:top w:w="80" w:type="dxa"/>
              <w:start w:w="120" w:type="dxa"/>
              <w:bottom w:w="80" w:type="dxa"/>
              <w:end w:w="120" w:type="dxa"/>
            </w:tcMar>
          </w:tcPr>
          <w:p>
            <w:pPr>
              <w:spacing w:before="0" w:after="0" w:line="240" w:lineRule="auto"/>
            </w:pPr>
            <w:r>
              <w:rPr>
                <w:rFonts w:ascii="Times New Roman" w:hAnsi="Times New Roman"/>
                <w:sz w:val="16"/>
              </w:rPr>
              <w:t>Ellipsoid</w:t>
            </w:r>
          </w:p>
        </w:tc>
        <w:tc>
          <w:tcPr>
            <w:tcW w:type="dxa" w:w="1717"/>
            <w:vAlign w:val="center"/>
            <w:tcMar>
              <w:top w:w="80" w:type="dxa"/>
              <w:start w:w="120" w:type="dxa"/>
              <w:bottom w:w="80" w:type="dxa"/>
              <w:end w:w="120" w:type="dxa"/>
            </w:tcMar>
          </w:tcPr>
          <w:p>
            <w:pPr>
              <w:spacing w:before="0" w:after="0" w:line="240" w:lineRule="auto"/>
            </w:pPr>
            <w:r>
              <w:rPr>
                <w:rFonts w:ascii="Times New Roman" w:hAnsi="Times New Roman"/>
                <w:sz w:val="16"/>
              </w:rPr>
              <w:t>Ellipsoid</w:t>
            </w:r>
          </w:p>
        </w:tc>
        <w:tc>
          <w:tcPr>
            <w:tcW w:type="dxa" w:w="1120"/>
            <w:vAlign w:val="center"/>
            <w:tcMar>
              <w:top w:w="80" w:type="dxa"/>
              <w:start w:w="120" w:type="dxa"/>
              <w:bottom w:w="80" w:type="dxa"/>
              <w:end w:w="120" w:type="dxa"/>
            </w:tcMar>
          </w:tcPr>
          <w:p>
            <w:pPr>
              <w:spacing w:before="0" w:after="0" w:line="240" w:lineRule="auto"/>
            </w:pPr>
            <w:r>
              <w:rPr>
                <w:rFonts w:ascii="Times New Roman" w:hAnsi="Times New Roman"/>
                <w:sz w:val="16"/>
              </w:rPr>
              <w:t>2.083%</w:t>
            </w:r>
          </w:p>
        </w:tc>
        <w:tc>
          <w:tcPr>
            <w:tcW w:type="dxa" w:w="1075"/>
            <w:vAlign w:val="center"/>
            <w:tcMar>
              <w:top w:w="80" w:type="dxa"/>
              <w:start w:w="120" w:type="dxa"/>
              <w:bottom w:w="80" w:type="dxa"/>
              <w:end w:w="120" w:type="dxa"/>
            </w:tcMar>
          </w:tcPr>
          <w:p>
            <w:pPr>
              <w:spacing w:before="0" w:after="0" w:line="240" w:lineRule="auto"/>
            </w:pPr>
            <w:r>
              <w:rPr>
                <w:rFonts w:ascii="Times New Roman" w:hAnsi="Times New Roman"/>
                <w:sz w:val="16"/>
              </w:rPr>
              <w:t>768</w:t>
            </w:r>
          </w:p>
        </w:tc>
        <w:tc>
          <w:tcPr>
            <w:tcW w:type="dxa" w:w="1419"/>
            <w:vAlign w:val="center"/>
            <w:tcMar>
              <w:top w:w="80" w:type="dxa"/>
              <w:start w:w="120" w:type="dxa"/>
              <w:bottom w:w="80" w:type="dxa"/>
              <w:end w:w="120" w:type="dxa"/>
            </w:tcMar>
          </w:tcPr>
          <w:p>
            <w:pPr>
              <w:spacing w:before="0" w:after="0" w:line="240" w:lineRule="auto"/>
            </w:pPr>
            <w:r>
              <w:rPr>
                <w:rFonts w:ascii="Times New Roman" w:hAnsi="Times New Roman"/>
                <w:sz w:val="16"/>
              </w:rPr>
              <w:t>12.3194</w:t>
            </w:r>
          </w:p>
        </w:tc>
        <w:tc>
          <w:tcPr>
            <w:tcW w:type="dxa" w:w="1463"/>
            <w:vAlign w:val="center"/>
            <w:tcMar>
              <w:top w:w="80" w:type="dxa"/>
              <w:start w:w="120" w:type="dxa"/>
              <w:bottom w:w="80" w:type="dxa"/>
              <w:end w:w="120" w:type="dxa"/>
            </w:tcMar>
          </w:tcPr>
          <w:p>
            <w:pPr>
              <w:spacing w:before="0" w:after="0" w:line="240" w:lineRule="auto"/>
            </w:pPr>
            <w:r>
              <w:rPr>
                <w:rFonts w:ascii="Times New Roman" w:hAnsi="Times New Roman"/>
                <w:sz w:val="16"/>
              </w:rPr>
              <w:t>12.5426</w:t>
            </w:r>
          </w:p>
        </w:tc>
        <w:tc>
          <w:tcPr>
            <w:tcW w:type="dxa" w:w="1569"/>
            <w:vAlign w:val="center"/>
            <w:tcMar>
              <w:top w:w="80" w:type="dxa"/>
              <w:start w:w="120" w:type="dxa"/>
              <w:bottom w:w="80" w:type="dxa"/>
              <w:end w:w="120" w:type="dxa"/>
            </w:tcMar>
          </w:tcPr>
          <w:p>
            <w:pPr>
              <w:spacing w:before="0" w:after="0" w:line="240" w:lineRule="auto"/>
            </w:pPr>
            <w:r>
              <w:rPr>
                <w:rFonts w:ascii="Times New Roman" w:hAnsi="Times New Roman"/>
                <w:sz w:val="16"/>
              </w:rPr>
              <w:t>+1.812%</w:t>
            </w:r>
          </w:p>
        </w:tc>
      </w:tr>
      <w:tr>
        <w:tc>
          <w:tcPr>
            <w:tcW w:type="dxa" w:w="1717"/>
            <w:vAlign w:val="center"/>
            <w:tcMar>
              <w:top w:w="80" w:type="dxa"/>
              <w:start w:w="120" w:type="dxa"/>
              <w:bottom w:w="80" w:type="dxa"/>
              <w:end w:w="120" w:type="dxa"/>
            </w:tcMar>
          </w:tcPr>
          <w:p>
            <w:pPr>
              <w:spacing w:before="0" w:after="0" w:line="240" w:lineRule="auto"/>
            </w:pPr>
            <w:r>
              <w:rPr>
                <w:rFonts w:ascii="Times New Roman" w:hAnsi="Times New Roman"/>
                <w:sz w:val="16"/>
              </w:rPr>
              <w:t>Ellipsoid</w:t>
            </w:r>
          </w:p>
        </w:tc>
        <w:tc>
          <w:tcPr>
            <w:tcW w:type="dxa" w:w="1717"/>
            <w:vAlign w:val="center"/>
            <w:tcMar>
              <w:top w:w="80" w:type="dxa"/>
              <w:start w:w="120" w:type="dxa"/>
              <w:bottom w:w="80" w:type="dxa"/>
              <w:end w:w="120" w:type="dxa"/>
            </w:tcMar>
          </w:tcPr>
          <w:p>
            <w:pPr>
              <w:spacing w:before="0" w:after="0" w:line="240" w:lineRule="auto"/>
            </w:pPr>
            <w:r>
              <w:rPr>
                <w:rFonts w:ascii="Times New Roman" w:hAnsi="Times New Roman"/>
                <w:sz w:val="16"/>
              </w:rPr>
              <w:t>RMSNorm bound</w:t>
            </w:r>
          </w:p>
        </w:tc>
        <w:tc>
          <w:tcPr>
            <w:tcW w:type="dxa" w:w="1120"/>
            <w:vAlign w:val="center"/>
            <w:tcMar>
              <w:top w:w="80" w:type="dxa"/>
              <w:start w:w="120" w:type="dxa"/>
              <w:bottom w:w="80" w:type="dxa"/>
              <w:end w:w="120" w:type="dxa"/>
            </w:tcMar>
          </w:tcPr>
          <w:p>
            <w:pPr>
              <w:spacing w:before="0" w:after="0" w:line="240" w:lineRule="auto"/>
            </w:pPr>
            <w:r>
              <w:rPr>
                <w:rFonts w:ascii="Times New Roman" w:hAnsi="Times New Roman"/>
                <w:sz w:val="16"/>
              </w:rPr>
              <w:t>2.083%</w:t>
            </w:r>
          </w:p>
        </w:tc>
        <w:tc>
          <w:tcPr>
            <w:tcW w:type="dxa" w:w="1075"/>
            <w:vAlign w:val="center"/>
            <w:tcMar>
              <w:top w:w="80" w:type="dxa"/>
              <w:start w:w="120" w:type="dxa"/>
              <w:bottom w:w="80" w:type="dxa"/>
              <w:end w:w="120" w:type="dxa"/>
            </w:tcMar>
          </w:tcPr>
          <w:p>
            <w:pPr>
              <w:spacing w:before="0" w:after="0" w:line="240" w:lineRule="auto"/>
            </w:pPr>
            <w:r>
              <w:rPr>
                <w:rFonts w:ascii="Times New Roman" w:hAnsi="Times New Roman"/>
                <w:sz w:val="16"/>
              </w:rPr>
              <w:t>768</w:t>
            </w:r>
          </w:p>
        </w:tc>
        <w:tc>
          <w:tcPr>
            <w:tcW w:type="dxa" w:w="1419"/>
            <w:vAlign w:val="center"/>
            <w:tcMar>
              <w:top w:w="80" w:type="dxa"/>
              <w:start w:w="120" w:type="dxa"/>
              <w:bottom w:w="80" w:type="dxa"/>
              <w:end w:w="120" w:type="dxa"/>
            </w:tcMar>
          </w:tcPr>
          <w:p>
            <w:pPr>
              <w:spacing w:before="0" w:after="0" w:line="240" w:lineRule="auto"/>
            </w:pPr>
            <w:r>
              <w:rPr>
                <w:rFonts w:ascii="Times New Roman" w:hAnsi="Times New Roman"/>
                <w:sz w:val="16"/>
              </w:rPr>
              <w:t>12.3194</w:t>
            </w:r>
          </w:p>
        </w:tc>
        <w:tc>
          <w:tcPr>
            <w:tcW w:type="dxa" w:w="1463"/>
            <w:vAlign w:val="center"/>
            <w:tcMar>
              <w:top w:w="80" w:type="dxa"/>
              <w:start w:w="120" w:type="dxa"/>
              <w:bottom w:w="80" w:type="dxa"/>
              <w:end w:w="120" w:type="dxa"/>
            </w:tcMar>
          </w:tcPr>
          <w:p>
            <w:pPr>
              <w:spacing w:before="0" w:after="0" w:line="240" w:lineRule="auto"/>
            </w:pPr>
            <w:r>
              <w:rPr>
                <w:rFonts w:ascii="Times New Roman" w:hAnsi="Times New Roman"/>
                <w:sz w:val="16"/>
              </w:rPr>
              <w:t>12.6314</w:t>
            </w:r>
          </w:p>
        </w:tc>
        <w:tc>
          <w:tcPr>
            <w:tcW w:type="dxa" w:w="1569"/>
            <w:vAlign w:val="center"/>
            <w:tcMar>
              <w:top w:w="80" w:type="dxa"/>
              <w:start w:w="120" w:type="dxa"/>
              <w:bottom w:w="80" w:type="dxa"/>
              <w:end w:w="120" w:type="dxa"/>
            </w:tcMar>
          </w:tcPr>
          <w:p>
            <w:pPr>
              <w:spacing w:before="0" w:after="0" w:line="240" w:lineRule="auto"/>
            </w:pPr>
            <w:r>
              <w:rPr>
                <w:rFonts w:ascii="Times New Roman" w:hAnsi="Times New Roman"/>
                <w:sz w:val="16"/>
              </w:rPr>
              <w:t>+2.532%</w:t>
            </w:r>
          </w:p>
        </w:tc>
      </w:tr>
    </w:tbl>
    <w:p>
      <w:pPr/>
      <w:r>
        <w:t>At target 4%, ellipsoid ranking again improves both tested allocation plans. Under RMSNorm allocation it changes WikiText-2 degradation from +2.174% to −0.414% and C4 from +1.345% to +1.087%. Under down-norm allocation it changes WikiText-2 from +1.120% to −0.418% and C4 from +1.637% to +1.236%. The two allocation plans remove different totals, so their absolute rows do not establish which allocation policy is superior.</w:t>
      </w:r>
    </w:p>
    <w:p>
      <w:pPr>
        <w:pStyle w:val="Caption"/>
      </w:pPr>
      <w:r>
        <w:t>Table V3-2. Target-4 controlled allocation/ranking results (n_eval=1024).</w:t>
      </w:r>
    </w:p>
    <w:tbl>
      <w:tblPr>
        <w:tblStyle w:val="TableGrid"/>
        <w:tblW w:type="dxa" w:w="10080"/>
        <w:tblLayout w:type="fixed"/>
        <w:tblLook w:firstColumn="1" w:firstRow="1" w:lastColumn="0" w:lastRow="0" w:noHBand="0" w:noVBand="1" w:val="04A0"/>
        <w:tblInd w:w="120" w:type="dxa"/>
      </w:tblPr>
      <w:tblGrid>
        <w:gridCol w:w="1680"/>
        <w:gridCol w:w="800"/>
        <w:gridCol w:w="880"/>
        <w:gridCol w:w="928"/>
        <w:gridCol w:w="1200"/>
        <w:gridCol w:w="880"/>
        <w:gridCol w:w="1280"/>
        <w:gridCol w:w="1280"/>
        <w:gridCol w:w="1152"/>
      </w:tblGrid>
      <w:tr>
        <w:trPr>
          <w:tblHeader w:val="true"/>
        </w:trPr>
        <w:tc>
          <w:tcPr>
            <w:tcW w:type="dxa" w:w="1680"/>
            <w:vAlign w:val="center"/>
            <w:tcMar>
              <w:top w:w="80" w:type="dxa"/>
              <w:start w:w="120" w:type="dxa"/>
              <w:bottom w:w="80" w:type="dxa"/>
              <w:end w:w="120" w:type="dxa"/>
            </w:tcMar>
            <w:shd w:fill="4F81BD"/>
          </w:tcPr>
          <w:p>
            <w:pPr>
              <w:spacing w:before="0" w:after="0" w:line="240" w:lineRule="auto"/>
              <w:jc w:val="center"/>
            </w:pPr>
            <w:r>
              <w:rPr>
                <w:rFonts w:ascii="Times New Roman" w:hAnsi="Times New Roman"/>
                <w:b/>
                <w:color w:val="FFFFFF"/>
                <w:sz w:val="15"/>
              </w:rPr>
              <w:t>Experiment</w:t>
            </w:r>
          </w:p>
        </w:tc>
        <w:tc>
          <w:tcPr>
            <w:tcW w:type="dxa" w:w="800"/>
            <w:vAlign w:val="center"/>
            <w:tcMar>
              <w:top w:w="80" w:type="dxa"/>
              <w:start w:w="120" w:type="dxa"/>
              <w:bottom w:w="80" w:type="dxa"/>
              <w:end w:w="120" w:type="dxa"/>
            </w:tcMar>
            <w:shd w:fill="4F81BD"/>
          </w:tcPr>
          <w:p>
            <w:pPr>
              <w:spacing w:before="0" w:after="0" w:line="240" w:lineRule="auto"/>
              <w:jc w:val="center"/>
            </w:pPr>
            <w:r>
              <w:rPr>
                <w:rFonts w:ascii="Times New Roman" w:hAnsi="Times New Roman"/>
                <w:b/>
                <w:color w:val="FFFFFF"/>
                <w:sz w:val="15"/>
              </w:rPr>
              <w:t>Data</w:t>
            </w:r>
          </w:p>
        </w:tc>
        <w:tc>
          <w:tcPr>
            <w:tcW w:type="dxa" w:w="880"/>
            <w:vAlign w:val="center"/>
            <w:tcMar>
              <w:top w:w="80" w:type="dxa"/>
              <w:start w:w="120" w:type="dxa"/>
              <w:bottom w:w="80" w:type="dxa"/>
              <w:end w:w="120" w:type="dxa"/>
            </w:tcMar>
            <w:shd w:fill="4F81BD"/>
          </w:tcPr>
          <w:p>
            <w:pPr>
              <w:spacing w:before="0" w:after="0" w:line="240" w:lineRule="auto"/>
              <w:jc w:val="center"/>
            </w:pPr>
            <w:r>
              <w:rPr>
                <w:rFonts w:ascii="Times New Roman" w:hAnsi="Times New Roman"/>
                <w:b/>
                <w:color w:val="FFFFFF"/>
                <w:sz w:val="15"/>
              </w:rPr>
              <w:t>Alloc.</w:t>
            </w:r>
          </w:p>
        </w:tc>
        <w:tc>
          <w:tcPr>
            <w:tcW w:type="dxa" w:w="928"/>
            <w:vAlign w:val="center"/>
            <w:tcMar>
              <w:top w:w="80" w:type="dxa"/>
              <w:start w:w="120" w:type="dxa"/>
              <w:bottom w:w="80" w:type="dxa"/>
              <w:end w:w="120" w:type="dxa"/>
            </w:tcMar>
            <w:shd w:fill="4F81BD"/>
          </w:tcPr>
          <w:p>
            <w:pPr>
              <w:spacing w:before="0" w:after="0" w:line="240" w:lineRule="auto"/>
              <w:jc w:val="center"/>
            </w:pPr>
            <w:r>
              <w:rPr>
                <w:rFonts w:ascii="Times New Roman" w:hAnsi="Times New Roman"/>
                <w:b/>
                <w:color w:val="FFFFFF"/>
                <w:sz w:val="15"/>
              </w:rPr>
              <w:t>Rank</w:t>
            </w:r>
          </w:p>
        </w:tc>
        <w:tc>
          <w:tcPr>
            <w:tcW w:type="dxa" w:w="1200"/>
            <w:vAlign w:val="center"/>
            <w:tcMar>
              <w:top w:w="80" w:type="dxa"/>
              <w:start w:w="120" w:type="dxa"/>
              <w:bottom w:w="80" w:type="dxa"/>
              <w:end w:w="120" w:type="dxa"/>
            </w:tcMar>
            <w:shd w:fill="4F81BD"/>
          </w:tcPr>
          <w:p>
            <w:pPr>
              <w:spacing w:before="0" w:after="0" w:line="240" w:lineRule="auto"/>
              <w:jc w:val="center"/>
            </w:pPr>
            <w:r>
              <w:rPr>
                <w:rFonts w:ascii="Times New Roman" w:hAnsi="Times New Roman"/>
                <w:b/>
                <w:color w:val="FFFFFF"/>
                <w:sz w:val="15"/>
              </w:rPr>
              <w:t>Actual</w:t>
            </w:r>
          </w:p>
        </w:tc>
        <w:tc>
          <w:tcPr>
            <w:tcW w:type="dxa" w:w="880"/>
            <w:vAlign w:val="center"/>
            <w:tcMar>
              <w:top w:w="80" w:type="dxa"/>
              <w:start w:w="120" w:type="dxa"/>
              <w:bottom w:w="80" w:type="dxa"/>
              <w:end w:w="120" w:type="dxa"/>
            </w:tcMar>
            <w:shd w:fill="4F81BD"/>
          </w:tcPr>
          <w:p>
            <w:pPr>
              <w:spacing w:before="0" w:after="0" w:line="240" w:lineRule="auto"/>
              <w:jc w:val="center"/>
            </w:pPr>
            <w:r>
              <w:rPr>
                <w:rFonts w:ascii="Times New Roman" w:hAnsi="Times New Roman"/>
                <w:b/>
                <w:color w:val="FFFFFF"/>
                <w:sz w:val="15"/>
              </w:rPr>
              <w:t>Ch.</w:t>
            </w:r>
          </w:p>
        </w:tc>
        <w:tc>
          <w:tcPr>
            <w:tcW w:type="dxa" w:w="1280"/>
            <w:vAlign w:val="center"/>
            <w:tcMar>
              <w:top w:w="80" w:type="dxa"/>
              <w:start w:w="120" w:type="dxa"/>
              <w:bottom w:w="80" w:type="dxa"/>
              <w:end w:w="120" w:type="dxa"/>
            </w:tcMar>
            <w:shd w:fill="4F81BD"/>
          </w:tcPr>
          <w:p>
            <w:pPr>
              <w:spacing w:before="0" w:after="0" w:line="240" w:lineRule="auto"/>
              <w:jc w:val="center"/>
            </w:pPr>
            <w:r>
              <w:rPr>
                <w:rFonts w:ascii="Times New Roman" w:hAnsi="Times New Roman"/>
                <w:b/>
                <w:color w:val="FFFFFF"/>
                <w:sz w:val="15"/>
              </w:rPr>
              <w:t>Base</w:t>
            </w:r>
          </w:p>
        </w:tc>
        <w:tc>
          <w:tcPr>
            <w:tcW w:type="dxa" w:w="1280"/>
            <w:vAlign w:val="center"/>
            <w:tcMar>
              <w:top w:w="80" w:type="dxa"/>
              <w:start w:w="120" w:type="dxa"/>
              <w:bottom w:w="80" w:type="dxa"/>
              <w:end w:w="120" w:type="dxa"/>
            </w:tcMar>
            <w:shd w:fill="4F81BD"/>
          </w:tcPr>
          <w:p>
            <w:pPr>
              <w:spacing w:before="0" w:after="0" w:line="240" w:lineRule="auto"/>
              <w:jc w:val="center"/>
            </w:pPr>
            <w:r>
              <w:rPr>
                <w:rFonts w:ascii="Times New Roman" w:hAnsi="Times New Roman"/>
                <w:b/>
                <w:color w:val="FFFFFF"/>
                <w:sz w:val="15"/>
              </w:rPr>
              <w:t>Pruned</w:t>
            </w:r>
          </w:p>
        </w:tc>
        <w:tc>
          <w:tcPr>
            <w:tcW w:type="dxa" w:w="1152"/>
            <w:vAlign w:val="center"/>
            <w:tcMar>
              <w:top w:w="80" w:type="dxa"/>
              <w:start w:w="120" w:type="dxa"/>
              <w:bottom w:w="80" w:type="dxa"/>
              <w:end w:w="120" w:type="dxa"/>
            </w:tcMar>
            <w:shd w:fill="4F81BD"/>
          </w:tcPr>
          <w:p>
            <w:pPr>
              <w:spacing w:before="0" w:after="0" w:line="240" w:lineRule="auto"/>
              <w:jc w:val="center"/>
            </w:pPr>
            <w:r>
              <w:rPr>
                <w:rFonts w:ascii="Times New Roman" w:hAnsi="Times New Roman"/>
                <w:b/>
                <w:color w:val="FFFFFF"/>
                <w:sz w:val="15"/>
              </w:rPr>
              <w:t>Rel.</w:t>
            </w:r>
          </w:p>
        </w:tc>
      </w:tr>
      <w:tr>
        <w:tc>
          <w:tcPr>
            <w:tcW w:type="dxa" w:w="1680"/>
            <w:vAlign w:val="center"/>
            <w:tcMar>
              <w:top w:w="80" w:type="dxa"/>
              <w:start w:w="120" w:type="dxa"/>
              <w:bottom w:w="80" w:type="dxa"/>
              <w:end w:w="120" w:type="dxa"/>
            </w:tcMar>
          </w:tcPr>
          <w:p>
            <w:pPr>
              <w:spacing w:before="0" w:after="0" w:line="240" w:lineRule="auto"/>
            </w:pPr>
            <w:r>
              <w:rPr>
                <w:rFonts w:ascii="Times New Roman" w:hAnsi="Times New Roman"/>
                <w:sz w:val="15"/>
              </w:rPr>
              <w:t>rms/rms</w:t>
            </w:r>
          </w:p>
        </w:tc>
        <w:tc>
          <w:tcPr>
            <w:tcW w:type="dxa" w:w="800"/>
            <w:vAlign w:val="center"/>
            <w:tcMar>
              <w:top w:w="80" w:type="dxa"/>
              <w:start w:w="120" w:type="dxa"/>
              <w:bottom w:w="80" w:type="dxa"/>
              <w:end w:w="120" w:type="dxa"/>
            </w:tcMar>
          </w:tcPr>
          <w:p>
            <w:pPr>
              <w:spacing w:before="0" w:after="0" w:line="240" w:lineRule="auto"/>
            </w:pPr>
            <w:r>
              <w:rPr>
                <w:rFonts w:ascii="Times New Roman" w:hAnsi="Times New Roman"/>
                <w:sz w:val="15"/>
              </w:rPr>
              <w:t>WT2</w:t>
            </w:r>
          </w:p>
        </w:tc>
        <w:tc>
          <w:tcPr>
            <w:tcW w:type="dxa" w:w="880"/>
            <w:vAlign w:val="center"/>
            <w:tcMar>
              <w:top w:w="80" w:type="dxa"/>
              <w:start w:w="120" w:type="dxa"/>
              <w:bottom w:w="80" w:type="dxa"/>
              <w:end w:w="120" w:type="dxa"/>
            </w:tcMar>
          </w:tcPr>
          <w:p>
            <w:pPr>
              <w:spacing w:before="0" w:after="0" w:line="240" w:lineRule="auto"/>
            </w:pPr>
            <w:r>
              <w:rPr>
                <w:rFonts w:ascii="Times New Roman" w:hAnsi="Times New Roman"/>
                <w:sz w:val="15"/>
              </w:rPr>
              <w:t>RMS</w:t>
            </w:r>
          </w:p>
        </w:tc>
        <w:tc>
          <w:tcPr>
            <w:tcW w:type="dxa" w:w="928"/>
            <w:vAlign w:val="center"/>
            <w:tcMar>
              <w:top w:w="80" w:type="dxa"/>
              <w:start w:w="120" w:type="dxa"/>
              <w:bottom w:w="80" w:type="dxa"/>
              <w:end w:w="120" w:type="dxa"/>
            </w:tcMar>
          </w:tcPr>
          <w:p>
            <w:pPr>
              <w:spacing w:before="0" w:after="0" w:line="240" w:lineRule="auto"/>
            </w:pPr>
            <w:r>
              <w:rPr>
                <w:rFonts w:ascii="Times New Roman" w:hAnsi="Times New Roman"/>
                <w:sz w:val="15"/>
              </w:rPr>
              <w:t>RMS</w:t>
            </w:r>
          </w:p>
        </w:tc>
        <w:tc>
          <w:tcPr>
            <w:tcW w:type="dxa" w:w="1200"/>
            <w:vAlign w:val="center"/>
            <w:tcMar>
              <w:top w:w="80" w:type="dxa"/>
              <w:start w:w="120" w:type="dxa"/>
              <w:bottom w:w="80" w:type="dxa"/>
              <w:end w:w="120" w:type="dxa"/>
            </w:tcMar>
          </w:tcPr>
          <w:p>
            <w:pPr>
              <w:spacing w:before="0" w:after="0" w:line="240" w:lineRule="auto"/>
            </w:pPr>
            <w:r>
              <w:rPr>
                <w:rFonts w:ascii="Times New Roman" w:hAnsi="Times New Roman"/>
                <w:sz w:val="15"/>
              </w:rPr>
              <w:t>4.340%</w:t>
            </w:r>
          </w:p>
        </w:tc>
        <w:tc>
          <w:tcPr>
            <w:tcW w:type="dxa" w:w="880"/>
            <w:vAlign w:val="center"/>
            <w:tcMar>
              <w:top w:w="80" w:type="dxa"/>
              <w:start w:w="120" w:type="dxa"/>
              <w:bottom w:w="80" w:type="dxa"/>
              <w:end w:w="120" w:type="dxa"/>
            </w:tcMar>
          </w:tcPr>
          <w:p>
            <w:pPr>
              <w:spacing w:before="0" w:after="0" w:line="240" w:lineRule="auto"/>
            </w:pPr>
            <w:r>
              <w:rPr>
                <w:rFonts w:ascii="Times New Roman" w:hAnsi="Times New Roman"/>
                <w:sz w:val="15"/>
              </w:rPr>
              <w:t>1600</w:t>
            </w:r>
          </w:p>
        </w:tc>
        <w:tc>
          <w:tcPr>
            <w:tcW w:type="dxa" w:w="1280"/>
            <w:vAlign w:val="center"/>
            <w:tcMar>
              <w:top w:w="80" w:type="dxa"/>
              <w:start w:w="120" w:type="dxa"/>
              <w:bottom w:w="80" w:type="dxa"/>
              <w:end w:w="120" w:type="dxa"/>
            </w:tcMar>
          </w:tcPr>
          <w:p>
            <w:pPr>
              <w:spacing w:before="0" w:after="0" w:line="240" w:lineRule="auto"/>
            </w:pPr>
            <w:r>
              <w:rPr>
                <w:rFonts w:ascii="Times New Roman" w:hAnsi="Times New Roman"/>
                <w:sz w:val="15"/>
              </w:rPr>
              <w:t>12.8340</w:t>
            </w:r>
          </w:p>
        </w:tc>
        <w:tc>
          <w:tcPr>
            <w:tcW w:type="dxa" w:w="1280"/>
            <w:vAlign w:val="center"/>
            <w:tcMar>
              <w:top w:w="80" w:type="dxa"/>
              <w:start w:w="120" w:type="dxa"/>
              <w:bottom w:w="80" w:type="dxa"/>
              <w:end w:w="120" w:type="dxa"/>
            </w:tcMar>
          </w:tcPr>
          <w:p>
            <w:pPr>
              <w:spacing w:before="0" w:after="0" w:line="240" w:lineRule="auto"/>
            </w:pPr>
            <w:r>
              <w:rPr>
                <w:rFonts w:ascii="Times New Roman" w:hAnsi="Times New Roman"/>
                <w:sz w:val="15"/>
              </w:rPr>
              <w:t>13.1130</w:t>
            </w:r>
          </w:p>
        </w:tc>
        <w:tc>
          <w:tcPr>
            <w:tcW w:type="dxa" w:w="1152"/>
            <w:vAlign w:val="center"/>
            <w:tcMar>
              <w:top w:w="80" w:type="dxa"/>
              <w:start w:w="120" w:type="dxa"/>
              <w:bottom w:w="80" w:type="dxa"/>
              <w:end w:w="120" w:type="dxa"/>
            </w:tcMar>
          </w:tcPr>
          <w:p>
            <w:pPr>
              <w:spacing w:before="0" w:after="0" w:line="240" w:lineRule="auto"/>
            </w:pPr>
            <w:r>
              <w:rPr>
                <w:rFonts w:ascii="Times New Roman" w:hAnsi="Times New Roman"/>
                <w:sz w:val="15"/>
              </w:rPr>
              <w:t>+2.174%</w:t>
            </w:r>
          </w:p>
        </w:tc>
      </w:tr>
      <w:tr>
        <w:tc>
          <w:tcPr>
            <w:tcW w:type="dxa" w:w="1680"/>
            <w:vAlign w:val="center"/>
            <w:tcMar>
              <w:top w:w="80" w:type="dxa"/>
              <w:start w:w="120" w:type="dxa"/>
              <w:bottom w:w="80" w:type="dxa"/>
              <w:end w:w="120" w:type="dxa"/>
            </w:tcMar>
          </w:tcPr>
          <w:p>
            <w:pPr>
              <w:spacing w:before="0" w:after="0" w:line="240" w:lineRule="auto"/>
            </w:pPr>
            <w:r>
              <w:rPr>
                <w:rFonts w:ascii="Times New Roman" w:hAnsi="Times New Roman"/>
                <w:sz w:val="15"/>
              </w:rPr>
              <w:t>rms/ellip</w:t>
            </w:r>
          </w:p>
        </w:tc>
        <w:tc>
          <w:tcPr>
            <w:tcW w:type="dxa" w:w="800"/>
            <w:vAlign w:val="center"/>
            <w:tcMar>
              <w:top w:w="80" w:type="dxa"/>
              <w:start w:w="120" w:type="dxa"/>
              <w:bottom w:w="80" w:type="dxa"/>
              <w:end w:w="120" w:type="dxa"/>
            </w:tcMar>
          </w:tcPr>
          <w:p>
            <w:pPr>
              <w:spacing w:before="0" w:after="0" w:line="240" w:lineRule="auto"/>
            </w:pPr>
            <w:r>
              <w:rPr>
                <w:rFonts w:ascii="Times New Roman" w:hAnsi="Times New Roman"/>
                <w:sz w:val="15"/>
              </w:rPr>
              <w:t>WT2</w:t>
            </w:r>
          </w:p>
        </w:tc>
        <w:tc>
          <w:tcPr>
            <w:tcW w:type="dxa" w:w="880"/>
            <w:vAlign w:val="center"/>
            <w:tcMar>
              <w:top w:w="80" w:type="dxa"/>
              <w:start w:w="120" w:type="dxa"/>
              <w:bottom w:w="80" w:type="dxa"/>
              <w:end w:w="120" w:type="dxa"/>
            </w:tcMar>
          </w:tcPr>
          <w:p>
            <w:pPr>
              <w:spacing w:before="0" w:after="0" w:line="240" w:lineRule="auto"/>
            </w:pPr>
            <w:r>
              <w:rPr>
                <w:rFonts w:ascii="Times New Roman" w:hAnsi="Times New Roman"/>
                <w:sz w:val="15"/>
              </w:rPr>
              <w:t>RMS</w:t>
            </w:r>
          </w:p>
        </w:tc>
        <w:tc>
          <w:tcPr>
            <w:tcW w:type="dxa" w:w="928"/>
            <w:vAlign w:val="center"/>
            <w:tcMar>
              <w:top w:w="80" w:type="dxa"/>
              <w:start w:w="120" w:type="dxa"/>
              <w:bottom w:w="80" w:type="dxa"/>
              <w:end w:w="120" w:type="dxa"/>
            </w:tcMar>
          </w:tcPr>
          <w:p>
            <w:pPr>
              <w:spacing w:before="0" w:after="0" w:line="240" w:lineRule="auto"/>
            </w:pPr>
            <w:r>
              <w:rPr>
                <w:rFonts w:ascii="Times New Roman" w:hAnsi="Times New Roman"/>
                <w:sz w:val="15"/>
              </w:rPr>
              <w:t>Ellip</w:t>
            </w:r>
          </w:p>
        </w:tc>
        <w:tc>
          <w:tcPr>
            <w:tcW w:type="dxa" w:w="1200"/>
            <w:vAlign w:val="center"/>
            <w:tcMar>
              <w:top w:w="80" w:type="dxa"/>
              <w:start w:w="120" w:type="dxa"/>
              <w:bottom w:w="80" w:type="dxa"/>
              <w:end w:w="120" w:type="dxa"/>
            </w:tcMar>
          </w:tcPr>
          <w:p>
            <w:pPr>
              <w:spacing w:before="0" w:after="0" w:line="240" w:lineRule="auto"/>
            </w:pPr>
            <w:r>
              <w:rPr>
                <w:rFonts w:ascii="Times New Roman" w:hAnsi="Times New Roman"/>
                <w:sz w:val="15"/>
              </w:rPr>
              <w:t>4.340%</w:t>
            </w:r>
          </w:p>
        </w:tc>
        <w:tc>
          <w:tcPr>
            <w:tcW w:type="dxa" w:w="880"/>
            <w:vAlign w:val="center"/>
            <w:tcMar>
              <w:top w:w="80" w:type="dxa"/>
              <w:start w:w="120" w:type="dxa"/>
              <w:bottom w:w="80" w:type="dxa"/>
              <w:end w:w="120" w:type="dxa"/>
            </w:tcMar>
          </w:tcPr>
          <w:p>
            <w:pPr>
              <w:spacing w:before="0" w:after="0" w:line="240" w:lineRule="auto"/>
            </w:pPr>
            <w:r>
              <w:rPr>
                <w:rFonts w:ascii="Times New Roman" w:hAnsi="Times New Roman"/>
                <w:sz w:val="15"/>
              </w:rPr>
              <w:t>1600</w:t>
            </w:r>
          </w:p>
        </w:tc>
        <w:tc>
          <w:tcPr>
            <w:tcW w:type="dxa" w:w="1280"/>
            <w:vAlign w:val="center"/>
            <w:tcMar>
              <w:top w:w="80" w:type="dxa"/>
              <w:start w:w="120" w:type="dxa"/>
              <w:bottom w:w="80" w:type="dxa"/>
              <w:end w:w="120" w:type="dxa"/>
            </w:tcMar>
          </w:tcPr>
          <w:p>
            <w:pPr>
              <w:spacing w:before="0" w:after="0" w:line="240" w:lineRule="auto"/>
            </w:pPr>
            <w:r>
              <w:rPr>
                <w:rFonts w:ascii="Times New Roman" w:hAnsi="Times New Roman"/>
                <w:sz w:val="15"/>
              </w:rPr>
              <w:t>12.8340</w:t>
            </w:r>
          </w:p>
        </w:tc>
        <w:tc>
          <w:tcPr>
            <w:tcW w:type="dxa" w:w="1280"/>
            <w:vAlign w:val="center"/>
            <w:tcMar>
              <w:top w:w="80" w:type="dxa"/>
              <w:start w:w="120" w:type="dxa"/>
              <w:bottom w:w="80" w:type="dxa"/>
              <w:end w:w="120" w:type="dxa"/>
            </w:tcMar>
          </w:tcPr>
          <w:p>
            <w:pPr>
              <w:spacing w:before="0" w:after="0" w:line="240" w:lineRule="auto"/>
            </w:pPr>
            <w:r>
              <w:rPr>
                <w:rFonts w:ascii="Times New Roman" w:hAnsi="Times New Roman"/>
                <w:sz w:val="15"/>
              </w:rPr>
              <w:t>12.7809</w:t>
            </w:r>
          </w:p>
        </w:tc>
        <w:tc>
          <w:tcPr>
            <w:tcW w:type="dxa" w:w="1152"/>
            <w:vAlign w:val="center"/>
            <w:tcMar>
              <w:top w:w="80" w:type="dxa"/>
              <w:start w:w="120" w:type="dxa"/>
              <w:bottom w:w="80" w:type="dxa"/>
              <w:end w:w="120" w:type="dxa"/>
            </w:tcMar>
          </w:tcPr>
          <w:p>
            <w:pPr>
              <w:spacing w:before="0" w:after="0" w:line="240" w:lineRule="auto"/>
            </w:pPr>
            <w:r>
              <w:rPr>
                <w:rFonts w:ascii="Times New Roman" w:hAnsi="Times New Roman"/>
                <w:sz w:val="15"/>
              </w:rPr>
              <w:t>−0.414%</w:t>
            </w:r>
          </w:p>
        </w:tc>
      </w:tr>
      <w:tr>
        <w:tc>
          <w:tcPr>
            <w:tcW w:type="dxa" w:w="1680"/>
            <w:vAlign w:val="center"/>
            <w:tcMar>
              <w:top w:w="80" w:type="dxa"/>
              <w:start w:w="120" w:type="dxa"/>
              <w:bottom w:w="80" w:type="dxa"/>
              <w:end w:w="120" w:type="dxa"/>
            </w:tcMar>
          </w:tcPr>
          <w:p>
            <w:pPr>
              <w:spacing w:before="0" w:after="0" w:line="240" w:lineRule="auto"/>
            </w:pPr>
            <w:r>
              <w:rPr>
                <w:rFonts w:ascii="Times New Roman" w:hAnsi="Times New Roman"/>
                <w:sz w:val="15"/>
              </w:rPr>
              <w:t>down/down</w:t>
            </w:r>
          </w:p>
        </w:tc>
        <w:tc>
          <w:tcPr>
            <w:tcW w:type="dxa" w:w="800"/>
            <w:vAlign w:val="center"/>
            <w:tcMar>
              <w:top w:w="80" w:type="dxa"/>
              <w:start w:w="120" w:type="dxa"/>
              <w:bottom w:w="80" w:type="dxa"/>
              <w:end w:w="120" w:type="dxa"/>
            </w:tcMar>
          </w:tcPr>
          <w:p>
            <w:pPr>
              <w:spacing w:before="0" w:after="0" w:line="240" w:lineRule="auto"/>
            </w:pPr>
            <w:r>
              <w:rPr>
                <w:rFonts w:ascii="Times New Roman" w:hAnsi="Times New Roman"/>
                <w:sz w:val="15"/>
              </w:rPr>
              <w:t>WT2</w:t>
            </w:r>
          </w:p>
        </w:tc>
        <w:tc>
          <w:tcPr>
            <w:tcW w:type="dxa" w:w="880"/>
            <w:vAlign w:val="center"/>
            <w:tcMar>
              <w:top w:w="80" w:type="dxa"/>
              <w:start w:w="120" w:type="dxa"/>
              <w:bottom w:w="80" w:type="dxa"/>
              <w:end w:w="120" w:type="dxa"/>
            </w:tcMar>
          </w:tcPr>
          <w:p>
            <w:pPr>
              <w:spacing w:before="0" w:after="0" w:line="240" w:lineRule="auto"/>
            </w:pPr>
            <w:r>
              <w:rPr>
                <w:rFonts w:ascii="Times New Roman" w:hAnsi="Times New Roman"/>
                <w:sz w:val="15"/>
              </w:rPr>
              <w:t>Down</w:t>
            </w:r>
          </w:p>
        </w:tc>
        <w:tc>
          <w:tcPr>
            <w:tcW w:type="dxa" w:w="928"/>
            <w:vAlign w:val="center"/>
            <w:tcMar>
              <w:top w:w="80" w:type="dxa"/>
              <w:start w:w="120" w:type="dxa"/>
              <w:bottom w:w="80" w:type="dxa"/>
              <w:end w:w="120" w:type="dxa"/>
            </w:tcMar>
          </w:tcPr>
          <w:p>
            <w:pPr>
              <w:spacing w:before="0" w:after="0" w:line="240" w:lineRule="auto"/>
            </w:pPr>
            <w:r>
              <w:rPr>
                <w:rFonts w:ascii="Times New Roman" w:hAnsi="Times New Roman"/>
                <w:sz w:val="15"/>
              </w:rPr>
              <w:t>Down</w:t>
            </w:r>
          </w:p>
        </w:tc>
        <w:tc>
          <w:tcPr>
            <w:tcW w:type="dxa" w:w="1200"/>
            <w:vAlign w:val="center"/>
            <w:tcMar>
              <w:top w:w="80" w:type="dxa"/>
              <w:start w:w="120" w:type="dxa"/>
              <w:bottom w:w="80" w:type="dxa"/>
              <w:end w:w="120" w:type="dxa"/>
            </w:tcMar>
          </w:tcPr>
          <w:p>
            <w:pPr>
              <w:spacing w:before="0" w:after="0" w:line="240" w:lineRule="auto"/>
            </w:pPr>
            <w:r>
              <w:rPr>
                <w:rFonts w:ascii="Times New Roman" w:hAnsi="Times New Roman"/>
                <w:sz w:val="15"/>
              </w:rPr>
              <w:t>4.167%</w:t>
            </w:r>
          </w:p>
        </w:tc>
        <w:tc>
          <w:tcPr>
            <w:tcW w:type="dxa" w:w="880"/>
            <w:vAlign w:val="center"/>
            <w:tcMar>
              <w:top w:w="80" w:type="dxa"/>
              <w:start w:w="120" w:type="dxa"/>
              <w:bottom w:w="80" w:type="dxa"/>
              <w:end w:w="120" w:type="dxa"/>
            </w:tcMar>
          </w:tcPr>
          <w:p>
            <w:pPr>
              <w:spacing w:before="0" w:after="0" w:line="240" w:lineRule="auto"/>
            </w:pPr>
            <w:r>
              <w:rPr>
                <w:rFonts w:ascii="Times New Roman" w:hAnsi="Times New Roman"/>
                <w:sz w:val="15"/>
              </w:rPr>
              <w:t>1536</w:t>
            </w:r>
          </w:p>
        </w:tc>
        <w:tc>
          <w:tcPr>
            <w:tcW w:type="dxa" w:w="1280"/>
            <w:vAlign w:val="center"/>
            <w:tcMar>
              <w:top w:w="80" w:type="dxa"/>
              <w:start w:w="120" w:type="dxa"/>
              <w:bottom w:w="80" w:type="dxa"/>
              <w:end w:w="120" w:type="dxa"/>
            </w:tcMar>
          </w:tcPr>
          <w:p>
            <w:pPr>
              <w:spacing w:before="0" w:after="0" w:line="240" w:lineRule="auto"/>
            </w:pPr>
            <w:r>
              <w:rPr>
                <w:rFonts w:ascii="Times New Roman" w:hAnsi="Times New Roman"/>
                <w:sz w:val="15"/>
              </w:rPr>
              <w:t>12.8340</w:t>
            </w:r>
          </w:p>
        </w:tc>
        <w:tc>
          <w:tcPr>
            <w:tcW w:type="dxa" w:w="1280"/>
            <w:vAlign w:val="center"/>
            <w:tcMar>
              <w:top w:w="80" w:type="dxa"/>
              <w:start w:w="120" w:type="dxa"/>
              <w:bottom w:w="80" w:type="dxa"/>
              <w:end w:w="120" w:type="dxa"/>
            </w:tcMar>
          </w:tcPr>
          <w:p>
            <w:pPr>
              <w:spacing w:before="0" w:after="0" w:line="240" w:lineRule="auto"/>
            </w:pPr>
            <w:r>
              <w:rPr>
                <w:rFonts w:ascii="Times New Roman" w:hAnsi="Times New Roman"/>
                <w:sz w:val="15"/>
              </w:rPr>
              <w:t>12.9777</w:t>
            </w:r>
          </w:p>
        </w:tc>
        <w:tc>
          <w:tcPr>
            <w:tcW w:type="dxa" w:w="1152"/>
            <w:vAlign w:val="center"/>
            <w:tcMar>
              <w:top w:w="80" w:type="dxa"/>
              <w:start w:w="120" w:type="dxa"/>
              <w:bottom w:w="80" w:type="dxa"/>
              <w:end w:w="120" w:type="dxa"/>
            </w:tcMar>
          </w:tcPr>
          <w:p>
            <w:pPr>
              <w:spacing w:before="0" w:after="0" w:line="240" w:lineRule="auto"/>
            </w:pPr>
            <w:r>
              <w:rPr>
                <w:rFonts w:ascii="Times New Roman" w:hAnsi="Times New Roman"/>
                <w:sz w:val="15"/>
              </w:rPr>
              <w:t>+1.120%</w:t>
            </w:r>
          </w:p>
        </w:tc>
      </w:tr>
      <w:tr>
        <w:tc>
          <w:tcPr>
            <w:tcW w:type="dxa" w:w="1680"/>
            <w:vAlign w:val="center"/>
            <w:tcMar>
              <w:top w:w="80" w:type="dxa"/>
              <w:start w:w="120" w:type="dxa"/>
              <w:bottom w:w="80" w:type="dxa"/>
              <w:end w:w="120" w:type="dxa"/>
            </w:tcMar>
          </w:tcPr>
          <w:p>
            <w:pPr>
              <w:spacing w:before="0" w:after="0" w:line="240" w:lineRule="auto"/>
            </w:pPr>
            <w:r>
              <w:rPr>
                <w:rFonts w:ascii="Times New Roman" w:hAnsi="Times New Roman"/>
                <w:sz w:val="15"/>
              </w:rPr>
              <w:t>down/ellip</w:t>
            </w:r>
          </w:p>
        </w:tc>
        <w:tc>
          <w:tcPr>
            <w:tcW w:type="dxa" w:w="800"/>
            <w:vAlign w:val="center"/>
            <w:tcMar>
              <w:top w:w="80" w:type="dxa"/>
              <w:start w:w="120" w:type="dxa"/>
              <w:bottom w:w="80" w:type="dxa"/>
              <w:end w:w="120" w:type="dxa"/>
            </w:tcMar>
          </w:tcPr>
          <w:p>
            <w:pPr>
              <w:spacing w:before="0" w:after="0" w:line="240" w:lineRule="auto"/>
            </w:pPr>
            <w:r>
              <w:rPr>
                <w:rFonts w:ascii="Times New Roman" w:hAnsi="Times New Roman"/>
                <w:sz w:val="15"/>
              </w:rPr>
              <w:t>WT2</w:t>
            </w:r>
          </w:p>
        </w:tc>
        <w:tc>
          <w:tcPr>
            <w:tcW w:type="dxa" w:w="880"/>
            <w:vAlign w:val="center"/>
            <w:tcMar>
              <w:top w:w="80" w:type="dxa"/>
              <w:start w:w="120" w:type="dxa"/>
              <w:bottom w:w="80" w:type="dxa"/>
              <w:end w:w="120" w:type="dxa"/>
            </w:tcMar>
          </w:tcPr>
          <w:p>
            <w:pPr>
              <w:spacing w:before="0" w:after="0" w:line="240" w:lineRule="auto"/>
            </w:pPr>
            <w:r>
              <w:rPr>
                <w:rFonts w:ascii="Times New Roman" w:hAnsi="Times New Roman"/>
                <w:sz w:val="15"/>
              </w:rPr>
              <w:t>Down</w:t>
            </w:r>
          </w:p>
        </w:tc>
        <w:tc>
          <w:tcPr>
            <w:tcW w:type="dxa" w:w="928"/>
            <w:vAlign w:val="center"/>
            <w:tcMar>
              <w:top w:w="80" w:type="dxa"/>
              <w:start w:w="120" w:type="dxa"/>
              <w:bottom w:w="80" w:type="dxa"/>
              <w:end w:w="120" w:type="dxa"/>
            </w:tcMar>
          </w:tcPr>
          <w:p>
            <w:pPr>
              <w:spacing w:before="0" w:after="0" w:line="240" w:lineRule="auto"/>
            </w:pPr>
            <w:r>
              <w:rPr>
                <w:rFonts w:ascii="Times New Roman" w:hAnsi="Times New Roman"/>
                <w:sz w:val="15"/>
              </w:rPr>
              <w:t>Ellip</w:t>
            </w:r>
          </w:p>
        </w:tc>
        <w:tc>
          <w:tcPr>
            <w:tcW w:type="dxa" w:w="1200"/>
            <w:vAlign w:val="center"/>
            <w:tcMar>
              <w:top w:w="80" w:type="dxa"/>
              <w:start w:w="120" w:type="dxa"/>
              <w:bottom w:w="80" w:type="dxa"/>
              <w:end w:w="120" w:type="dxa"/>
            </w:tcMar>
          </w:tcPr>
          <w:p>
            <w:pPr>
              <w:spacing w:before="0" w:after="0" w:line="240" w:lineRule="auto"/>
            </w:pPr>
            <w:r>
              <w:rPr>
                <w:rFonts w:ascii="Times New Roman" w:hAnsi="Times New Roman"/>
                <w:sz w:val="15"/>
              </w:rPr>
              <w:t>4.167%</w:t>
            </w:r>
          </w:p>
        </w:tc>
        <w:tc>
          <w:tcPr>
            <w:tcW w:type="dxa" w:w="880"/>
            <w:vAlign w:val="center"/>
            <w:tcMar>
              <w:top w:w="80" w:type="dxa"/>
              <w:start w:w="120" w:type="dxa"/>
              <w:bottom w:w="80" w:type="dxa"/>
              <w:end w:w="120" w:type="dxa"/>
            </w:tcMar>
          </w:tcPr>
          <w:p>
            <w:pPr>
              <w:spacing w:before="0" w:after="0" w:line="240" w:lineRule="auto"/>
            </w:pPr>
            <w:r>
              <w:rPr>
                <w:rFonts w:ascii="Times New Roman" w:hAnsi="Times New Roman"/>
                <w:sz w:val="15"/>
              </w:rPr>
              <w:t>1536</w:t>
            </w:r>
          </w:p>
        </w:tc>
        <w:tc>
          <w:tcPr>
            <w:tcW w:type="dxa" w:w="1280"/>
            <w:vAlign w:val="center"/>
            <w:tcMar>
              <w:top w:w="80" w:type="dxa"/>
              <w:start w:w="120" w:type="dxa"/>
              <w:bottom w:w="80" w:type="dxa"/>
              <w:end w:w="120" w:type="dxa"/>
            </w:tcMar>
          </w:tcPr>
          <w:p>
            <w:pPr>
              <w:spacing w:before="0" w:after="0" w:line="240" w:lineRule="auto"/>
            </w:pPr>
            <w:r>
              <w:rPr>
                <w:rFonts w:ascii="Times New Roman" w:hAnsi="Times New Roman"/>
                <w:sz w:val="15"/>
              </w:rPr>
              <w:t>12.8340</w:t>
            </w:r>
          </w:p>
        </w:tc>
        <w:tc>
          <w:tcPr>
            <w:tcW w:type="dxa" w:w="1280"/>
            <w:vAlign w:val="center"/>
            <w:tcMar>
              <w:top w:w="80" w:type="dxa"/>
              <w:start w:w="120" w:type="dxa"/>
              <w:bottom w:w="80" w:type="dxa"/>
              <w:end w:w="120" w:type="dxa"/>
            </w:tcMar>
          </w:tcPr>
          <w:p>
            <w:pPr>
              <w:spacing w:before="0" w:after="0" w:line="240" w:lineRule="auto"/>
            </w:pPr>
            <w:r>
              <w:rPr>
                <w:rFonts w:ascii="Times New Roman" w:hAnsi="Times New Roman"/>
                <w:sz w:val="15"/>
              </w:rPr>
              <w:t>12.7803</w:t>
            </w:r>
          </w:p>
        </w:tc>
        <w:tc>
          <w:tcPr>
            <w:tcW w:type="dxa" w:w="1152"/>
            <w:vAlign w:val="center"/>
            <w:tcMar>
              <w:top w:w="80" w:type="dxa"/>
              <w:start w:w="120" w:type="dxa"/>
              <w:bottom w:w="80" w:type="dxa"/>
              <w:end w:w="120" w:type="dxa"/>
            </w:tcMar>
          </w:tcPr>
          <w:p>
            <w:pPr>
              <w:spacing w:before="0" w:after="0" w:line="240" w:lineRule="auto"/>
            </w:pPr>
            <w:r>
              <w:rPr>
                <w:rFonts w:ascii="Times New Roman" w:hAnsi="Times New Roman"/>
                <w:sz w:val="15"/>
              </w:rPr>
              <w:t>−0.418%</w:t>
            </w:r>
          </w:p>
        </w:tc>
      </w:tr>
      <w:tr>
        <w:tc>
          <w:tcPr>
            <w:tcW w:type="dxa" w:w="1680"/>
            <w:vAlign w:val="center"/>
            <w:tcMar>
              <w:top w:w="80" w:type="dxa"/>
              <w:start w:w="120" w:type="dxa"/>
              <w:bottom w:w="80" w:type="dxa"/>
              <w:end w:w="120" w:type="dxa"/>
            </w:tcMar>
          </w:tcPr>
          <w:p>
            <w:pPr>
              <w:spacing w:before="0" w:after="0" w:line="240" w:lineRule="auto"/>
            </w:pPr>
            <w:r>
              <w:rPr>
                <w:rFonts w:ascii="Times New Roman" w:hAnsi="Times New Roman"/>
                <w:sz w:val="15"/>
              </w:rPr>
              <w:t>rms/rms</w:t>
            </w:r>
          </w:p>
        </w:tc>
        <w:tc>
          <w:tcPr>
            <w:tcW w:type="dxa" w:w="800"/>
            <w:vAlign w:val="center"/>
            <w:tcMar>
              <w:top w:w="80" w:type="dxa"/>
              <w:start w:w="120" w:type="dxa"/>
              <w:bottom w:w="80" w:type="dxa"/>
              <w:end w:w="120" w:type="dxa"/>
            </w:tcMar>
          </w:tcPr>
          <w:p>
            <w:pPr>
              <w:spacing w:before="0" w:after="0" w:line="240" w:lineRule="auto"/>
            </w:pPr>
            <w:r>
              <w:rPr>
                <w:rFonts w:ascii="Times New Roman" w:hAnsi="Times New Roman"/>
                <w:sz w:val="15"/>
              </w:rPr>
              <w:t>C4</w:t>
            </w:r>
          </w:p>
        </w:tc>
        <w:tc>
          <w:tcPr>
            <w:tcW w:type="dxa" w:w="880"/>
            <w:vAlign w:val="center"/>
            <w:tcMar>
              <w:top w:w="80" w:type="dxa"/>
              <w:start w:w="120" w:type="dxa"/>
              <w:bottom w:w="80" w:type="dxa"/>
              <w:end w:w="120" w:type="dxa"/>
            </w:tcMar>
          </w:tcPr>
          <w:p>
            <w:pPr>
              <w:spacing w:before="0" w:after="0" w:line="240" w:lineRule="auto"/>
            </w:pPr>
            <w:r>
              <w:rPr>
                <w:rFonts w:ascii="Times New Roman" w:hAnsi="Times New Roman"/>
                <w:sz w:val="15"/>
              </w:rPr>
              <w:t>RMS</w:t>
            </w:r>
          </w:p>
        </w:tc>
        <w:tc>
          <w:tcPr>
            <w:tcW w:type="dxa" w:w="928"/>
            <w:vAlign w:val="center"/>
            <w:tcMar>
              <w:top w:w="80" w:type="dxa"/>
              <w:start w:w="120" w:type="dxa"/>
              <w:bottom w:w="80" w:type="dxa"/>
              <w:end w:w="120" w:type="dxa"/>
            </w:tcMar>
          </w:tcPr>
          <w:p>
            <w:pPr>
              <w:spacing w:before="0" w:after="0" w:line="240" w:lineRule="auto"/>
            </w:pPr>
            <w:r>
              <w:rPr>
                <w:rFonts w:ascii="Times New Roman" w:hAnsi="Times New Roman"/>
                <w:sz w:val="15"/>
              </w:rPr>
              <w:t>RMS</w:t>
            </w:r>
          </w:p>
        </w:tc>
        <w:tc>
          <w:tcPr>
            <w:tcW w:type="dxa" w:w="1200"/>
            <w:vAlign w:val="center"/>
            <w:tcMar>
              <w:top w:w="80" w:type="dxa"/>
              <w:start w:w="120" w:type="dxa"/>
              <w:bottom w:w="80" w:type="dxa"/>
              <w:end w:w="120" w:type="dxa"/>
            </w:tcMar>
          </w:tcPr>
          <w:p>
            <w:pPr>
              <w:spacing w:before="0" w:after="0" w:line="240" w:lineRule="auto"/>
            </w:pPr>
            <w:r>
              <w:rPr>
                <w:rFonts w:ascii="Times New Roman" w:hAnsi="Times New Roman"/>
                <w:sz w:val="15"/>
              </w:rPr>
              <w:t>4.340%</w:t>
            </w:r>
          </w:p>
        </w:tc>
        <w:tc>
          <w:tcPr>
            <w:tcW w:type="dxa" w:w="880"/>
            <w:vAlign w:val="center"/>
            <w:tcMar>
              <w:top w:w="80" w:type="dxa"/>
              <w:start w:w="120" w:type="dxa"/>
              <w:bottom w:w="80" w:type="dxa"/>
              <w:end w:w="120" w:type="dxa"/>
            </w:tcMar>
          </w:tcPr>
          <w:p>
            <w:pPr>
              <w:spacing w:before="0" w:after="0" w:line="240" w:lineRule="auto"/>
            </w:pPr>
            <w:r>
              <w:rPr>
                <w:rFonts w:ascii="Times New Roman" w:hAnsi="Times New Roman"/>
                <w:sz w:val="15"/>
              </w:rPr>
              <w:t>1600</w:t>
            </w:r>
          </w:p>
        </w:tc>
        <w:tc>
          <w:tcPr>
            <w:tcW w:type="dxa" w:w="1280"/>
            <w:vAlign w:val="center"/>
            <w:tcMar>
              <w:top w:w="80" w:type="dxa"/>
              <w:start w:w="120" w:type="dxa"/>
              <w:bottom w:w="80" w:type="dxa"/>
              <w:end w:w="120" w:type="dxa"/>
            </w:tcMar>
          </w:tcPr>
          <w:p>
            <w:pPr>
              <w:spacing w:before="0" w:after="0" w:line="240" w:lineRule="auto"/>
            </w:pPr>
            <w:r>
              <w:rPr>
                <w:rFonts w:ascii="Times New Roman" w:hAnsi="Times New Roman"/>
                <w:sz w:val="15"/>
              </w:rPr>
              <w:t>14.5607</w:t>
            </w:r>
          </w:p>
        </w:tc>
        <w:tc>
          <w:tcPr>
            <w:tcW w:type="dxa" w:w="1280"/>
            <w:vAlign w:val="center"/>
            <w:tcMar>
              <w:top w:w="80" w:type="dxa"/>
              <w:start w:w="120" w:type="dxa"/>
              <w:bottom w:w="80" w:type="dxa"/>
              <w:end w:w="120" w:type="dxa"/>
            </w:tcMar>
          </w:tcPr>
          <w:p>
            <w:pPr>
              <w:spacing w:before="0" w:after="0" w:line="240" w:lineRule="auto"/>
            </w:pPr>
            <w:r>
              <w:rPr>
                <w:rFonts w:ascii="Times New Roman" w:hAnsi="Times New Roman"/>
                <w:sz w:val="15"/>
              </w:rPr>
              <w:t>14.7565</w:t>
            </w:r>
          </w:p>
        </w:tc>
        <w:tc>
          <w:tcPr>
            <w:tcW w:type="dxa" w:w="1152"/>
            <w:vAlign w:val="center"/>
            <w:tcMar>
              <w:top w:w="80" w:type="dxa"/>
              <w:start w:w="120" w:type="dxa"/>
              <w:bottom w:w="80" w:type="dxa"/>
              <w:end w:w="120" w:type="dxa"/>
            </w:tcMar>
          </w:tcPr>
          <w:p>
            <w:pPr>
              <w:spacing w:before="0" w:after="0" w:line="240" w:lineRule="auto"/>
            </w:pPr>
            <w:r>
              <w:rPr>
                <w:rFonts w:ascii="Times New Roman" w:hAnsi="Times New Roman"/>
                <w:sz w:val="15"/>
              </w:rPr>
              <w:t>+1.345%</w:t>
            </w:r>
          </w:p>
        </w:tc>
      </w:tr>
      <w:tr>
        <w:tc>
          <w:tcPr>
            <w:tcW w:type="dxa" w:w="1680"/>
            <w:vAlign w:val="center"/>
            <w:tcMar>
              <w:top w:w="80" w:type="dxa"/>
              <w:start w:w="120" w:type="dxa"/>
              <w:bottom w:w="80" w:type="dxa"/>
              <w:end w:w="120" w:type="dxa"/>
            </w:tcMar>
          </w:tcPr>
          <w:p>
            <w:pPr>
              <w:spacing w:before="0" w:after="0" w:line="240" w:lineRule="auto"/>
            </w:pPr>
            <w:r>
              <w:rPr>
                <w:rFonts w:ascii="Times New Roman" w:hAnsi="Times New Roman"/>
                <w:sz w:val="15"/>
              </w:rPr>
              <w:t>rms/ellip</w:t>
            </w:r>
          </w:p>
        </w:tc>
        <w:tc>
          <w:tcPr>
            <w:tcW w:type="dxa" w:w="800"/>
            <w:vAlign w:val="center"/>
            <w:tcMar>
              <w:top w:w="80" w:type="dxa"/>
              <w:start w:w="120" w:type="dxa"/>
              <w:bottom w:w="80" w:type="dxa"/>
              <w:end w:w="120" w:type="dxa"/>
            </w:tcMar>
          </w:tcPr>
          <w:p>
            <w:pPr>
              <w:spacing w:before="0" w:after="0" w:line="240" w:lineRule="auto"/>
            </w:pPr>
            <w:r>
              <w:rPr>
                <w:rFonts w:ascii="Times New Roman" w:hAnsi="Times New Roman"/>
                <w:sz w:val="15"/>
              </w:rPr>
              <w:t>C4</w:t>
            </w:r>
          </w:p>
        </w:tc>
        <w:tc>
          <w:tcPr>
            <w:tcW w:type="dxa" w:w="880"/>
            <w:vAlign w:val="center"/>
            <w:tcMar>
              <w:top w:w="80" w:type="dxa"/>
              <w:start w:w="120" w:type="dxa"/>
              <w:bottom w:w="80" w:type="dxa"/>
              <w:end w:w="120" w:type="dxa"/>
            </w:tcMar>
          </w:tcPr>
          <w:p>
            <w:pPr>
              <w:spacing w:before="0" w:after="0" w:line="240" w:lineRule="auto"/>
            </w:pPr>
            <w:r>
              <w:rPr>
                <w:rFonts w:ascii="Times New Roman" w:hAnsi="Times New Roman"/>
                <w:sz w:val="15"/>
              </w:rPr>
              <w:t>RMS</w:t>
            </w:r>
          </w:p>
        </w:tc>
        <w:tc>
          <w:tcPr>
            <w:tcW w:type="dxa" w:w="928"/>
            <w:vAlign w:val="center"/>
            <w:tcMar>
              <w:top w:w="80" w:type="dxa"/>
              <w:start w:w="120" w:type="dxa"/>
              <w:bottom w:w="80" w:type="dxa"/>
              <w:end w:w="120" w:type="dxa"/>
            </w:tcMar>
          </w:tcPr>
          <w:p>
            <w:pPr>
              <w:spacing w:before="0" w:after="0" w:line="240" w:lineRule="auto"/>
            </w:pPr>
            <w:r>
              <w:rPr>
                <w:rFonts w:ascii="Times New Roman" w:hAnsi="Times New Roman"/>
                <w:sz w:val="15"/>
              </w:rPr>
              <w:t>Ellip</w:t>
            </w:r>
          </w:p>
        </w:tc>
        <w:tc>
          <w:tcPr>
            <w:tcW w:type="dxa" w:w="1200"/>
            <w:vAlign w:val="center"/>
            <w:tcMar>
              <w:top w:w="80" w:type="dxa"/>
              <w:start w:w="120" w:type="dxa"/>
              <w:bottom w:w="80" w:type="dxa"/>
              <w:end w:w="120" w:type="dxa"/>
            </w:tcMar>
          </w:tcPr>
          <w:p>
            <w:pPr>
              <w:spacing w:before="0" w:after="0" w:line="240" w:lineRule="auto"/>
            </w:pPr>
            <w:r>
              <w:rPr>
                <w:rFonts w:ascii="Times New Roman" w:hAnsi="Times New Roman"/>
                <w:sz w:val="15"/>
              </w:rPr>
              <w:t>4.340%</w:t>
            </w:r>
          </w:p>
        </w:tc>
        <w:tc>
          <w:tcPr>
            <w:tcW w:type="dxa" w:w="880"/>
            <w:vAlign w:val="center"/>
            <w:tcMar>
              <w:top w:w="80" w:type="dxa"/>
              <w:start w:w="120" w:type="dxa"/>
              <w:bottom w:w="80" w:type="dxa"/>
              <w:end w:w="120" w:type="dxa"/>
            </w:tcMar>
          </w:tcPr>
          <w:p>
            <w:pPr>
              <w:spacing w:before="0" w:after="0" w:line="240" w:lineRule="auto"/>
            </w:pPr>
            <w:r>
              <w:rPr>
                <w:rFonts w:ascii="Times New Roman" w:hAnsi="Times New Roman"/>
                <w:sz w:val="15"/>
              </w:rPr>
              <w:t>1600</w:t>
            </w:r>
          </w:p>
        </w:tc>
        <w:tc>
          <w:tcPr>
            <w:tcW w:type="dxa" w:w="1280"/>
            <w:vAlign w:val="center"/>
            <w:tcMar>
              <w:top w:w="80" w:type="dxa"/>
              <w:start w:w="120" w:type="dxa"/>
              <w:bottom w:w="80" w:type="dxa"/>
              <w:end w:w="120" w:type="dxa"/>
            </w:tcMar>
          </w:tcPr>
          <w:p>
            <w:pPr>
              <w:spacing w:before="0" w:after="0" w:line="240" w:lineRule="auto"/>
            </w:pPr>
            <w:r>
              <w:rPr>
                <w:rFonts w:ascii="Times New Roman" w:hAnsi="Times New Roman"/>
                <w:sz w:val="15"/>
              </w:rPr>
              <w:t>14.5607</w:t>
            </w:r>
          </w:p>
        </w:tc>
        <w:tc>
          <w:tcPr>
            <w:tcW w:type="dxa" w:w="1280"/>
            <w:vAlign w:val="center"/>
            <w:tcMar>
              <w:top w:w="80" w:type="dxa"/>
              <w:start w:w="120" w:type="dxa"/>
              <w:bottom w:w="80" w:type="dxa"/>
              <w:end w:w="120" w:type="dxa"/>
            </w:tcMar>
          </w:tcPr>
          <w:p>
            <w:pPr>
              <w:spacing w:before="0" w:after="0" w:line="240" w:lineRule="auto"/>
            </w:pPr>
            <w:r>
              <w:rPr>
                <w:rFonts w:ascii="Times New Roman" w:hAnsi="Times New Roman"/>
                <w:sz w:val="15"/>
              </w:rPr>
              <w:t>14.7190</w:t>
            </w:r>
          </w:p>
        </w:tc>
        <w:tc>
          <w:tcPr>
            <w:tcW w:type="dxa" w:w="1152"/>
            <w:vAlign w:val="center"/>
            <w:tcMar>
              <w:top w:w="80" w:type="dxa"/>
              <w:start w:w="120" w:type="dxa"/>
              <w:bottom w:w="80" w:type="dxa"/>
              <w:end w:w="120" w:type="dxa"/>
            </w:tcMar>
          </w:tcPr>
          <w:p>
            <w:pPr>
              <w:spacing w:before="0" w:after="0" w:line="240" w:lineRule="auto"/>
            </w:pPr>
            <w:r>
              <w:rPr>
                <w:rFonts w:ascii="Times New Roman" w:hAnsi="Times New Roman"/>
                <w:sz w:val="15"/>
              </w:rPr>
              <w:t>+1.087%</w:t>
            </w:r>
          </w:p>
        </w:tc>
      </w:tr>
      <w:tr>
        <w:tc>
          <w:tcPr>
            <w:tcW w:type="dxa" w:w="1680"/>
            <w:vAlign w:val="center"/>
            <w:tcMar>
              <w:top w:w="80" w:type="dxa"/>
              <w:start w:w="120" w:type="dxa"/>
              <w:bottom w:w="80" w:type="dxa"/>
              <w:end w:w="120" w:type="dxa"/>
            </w:tcMar>
          </w:tcPr>
          <w:p>
            <w:pPr>
              <w:spacing w:before="0" w:after="0" w:line="240" w:lineRule="auto"/>
            </w:pPr>
            <w:r>
              <w:rPr>
                <w:rFonts w:ascii="Times New Roman" w:hAnsi="Times New Roman"/>
                <w:sz w:val="15"/>
              </w:rPr>
              <w:t>down/down</w:t>
            </w:r>
          </w:p>
        </w:tc>
        <w:tc>
          <w:tcPr>
            <w:tcW w:type="dxa" w:w="800"/>
            <w:vAlign w:val="center"/>
            <w:tcMar>
              <w:top w:w="80" w:type="dxa"/>
              <w:start w:w="120" w:type="dxa"/>
              <w:bottom w:w="80" w:type="dxa"/>
              <w:end w:w="120" w:type="dxa"/>
            </w:tcMar>
          </w:tcPr>
          <w:p>
            <w:pPr>
              <w:spacing w:before="0" w:after="0" w:line="240" w:lineRule="auto"/>
            </w:pPr>
            <w:r>
              <w:rPr>
                <w:rFonts w:ascii="Times New Roman" w:hAnsi="Times New Roman"/>
                <w:sz w:val="15"/>
              </w:rPr>
              <w:t>C4</w:t>
            </w:r>
          </w:p>
        </w:tc>
        <w:tc>
          <w:tcPr>
            <w:tcW w:type="dxa" w:w="880"/>
            <w:vAlign w:val="center"/>
            <w:tcMar>
              <w:top w:w="80" w:type="dxa"/>
              <w:start w:w="120" w:type="dxa"/>
              <w:bottom w:w="80" w:type="dxa"/>
              <w:end w:w="120" w:type="dxa"/>
            </w:tcMar>
          </w:tcPr>
          <w:p>
            <w:pPr>
              <w:spacing w:before="0" w:after="0" w:line="240" w:lineRule="auto"/>
            </w:pPr>
            <w:r>
              <w:rPr>
                <w:rFonts w:ascii="Times New Roman" w:hAnsi="Times New Roman"/>
                <w:sz w:val="15"/>
              </w:rPr>
              <w:t>Down</w:t>
            </w:r>
          </w:p>
        </w:tc>
        <w:tc>
          <w:tcPr>
            <w:tcW w:type="dxa" w:w="928"/>
            <w:vAlign w:val="center"/>
            <w:tcMar>
              <w:top w:w="80" w:type="dxa"/>
              <w:start w:w="120" w:type="dxa"/>
              <w:bottom w:w="80" w:type="dxa"/>
              <w:end w:w="120" w:type="dxa"/>
            </w:tcMar>
          </w:tcPr>
          <w:p>
            <w:pPr>
              <w:spacing w:before="0" w:after="0" w:line="240" w:lineRule="auto"/>
            </w:pPr>
            <w:r>
              <w:rPr>
                <w:rFonts w:ascii="Times New Roman" w:hAnsi="Times New Roman"/>
                <w:sz w:val="15"/>
              </w:rPr>
              <w:t>Down</w:t>
            </w:r>
          </w:p>
        </w:tc>
        <w:tc>
          <w:tcPr>
            <w:tcW w:type="dxa" w:w="1200"/>
            <w:vAlign w:val="center"/>
            <w:tcMar>
              <w:top w:w="80" w:type="dxa"/>
              <w:start w:w="120" w:type="dxa"/>
              <w:bottom w:w="80" w:type="dxa"/>
              <w:end w:w="120" w:type="dxa"/>
            </w:tcMar>
          </w:tcPr>
          <w:p>
            <w:pPr>
              <w:spacing w:before="0" w:after="0" w:line="240" w:lineRule="auto"/>
            </w:pPr>
            <w:r>
              <w:rPr>
                <w:rFonts w:ascii="Times New Roman" w:hAnsi="Times New Roman"/>
                <w:sz w:val="15"/>
              </w:rPr>
              <w:t>4.167%</w:t>
            </w:r>
          </w:p>
        </w:tc>
        <w:tc>
          <w:tcPr>
            <w:tcW w:type="dxa" w:w="880"/>
            <w:vAlign w:val="center"/>
            <w:tcMar>
              <w:top w:w="80" w:type="dxa"/>
              <w:start w:w="120" w:type="dxa"/>
              <w:bottom w:w="80" w:type="dxa"/>
              <w:end w:w="120" w:type="dxa"/>
            </w:tcMar>
          </w:tcPr>
          <w:p>
            <w:pPr>
              <w:spacing w:before="0" w:after="0" w:line="240" w:lineRule="auto"/>
            </w:pPr>
            <w:r>
              <w:rPr>
                <w:rFonts w:ascii="Times New Roman" w:hAnsi="Times New Roman"/>
                <w:sz w:val="15"/>
              </w:rPr>
              <w:t>1536</w:t>
            </w:r>
          </w:p>
        </w:tc>
        <w:tc>
          <w:tcPr>
            <w:tcW w:type="dxa" w:w="1280"/>
            <w:vAlign w:val="center"/>
            <w:tcMar>
              <w:top w:w="80" w:type="dxa"/>
              <w:start w:w="120" w:type="dxa"/>
              <w:bottom w:w="80" w:type="dxa"/>
              <w:end w:w="120" w:type="dxa"/>
            </w:tcMar>
          </w:tcPr>
          <w:p>
            <w:pPr>
              <w:spacing w:before="0" w:after="0" w:line="240" w:lineRule="auto"/>
            </w:pPr>
            <w:r>
              <w:rPr>
                <w:rFonts w:ascii="Times New Roman" w:hAnsi="Times New Roman"/>
                <w:sz w:val="15"/>
              </w:rPr>
              <w:t>14.5607</w:t>
            </w:r>
          </w:p>
        </w:tc>
        <w:tc>
          <w:tcPr>
            <w:tcW w:type="dxa" w:w="1280"/>
            <w:vAlign w:val="center"/>
            <w:tcMar>
              <w:top w:w="80" w:type="dxa"/>
              <w:start w:w="120" w:type="dxa"/>
              <w:bottom w:w="80" w:type="dxa"/>
              <w:end w:w="120" w:type="dxa"/>
            </w:tcMar>
          </w:tcPr>
          <w:p>
            <w:pPr>
              <w:spacing w:before="0" w:after="0" w:line="240" w:lineRule="auto"/>
            </w:pPr>
            <w:r>
              <w:rPr>
                <w:rFonts w:ascii="Times New Roman" w:hAnsi="Times New Roman"/>
                <w:sz w:val="15"/>
              </w:rPr>
              <w:t>14.7990</w:t>
            </w:r>
          </w:p>
        </w:tc>
        <w:tc>
          <w:tcPr>
            <w:tcW w:type="dxa" w:w="1152"/>
            <w:vAlign w:val="center"/>
            <w:tcMar>
              <w:top w:w="80" w:type="dxa"/>
              <w:start w:w="120" w:type="dxa"/>
              <w:bottom w:w="80" w:type="dxa"/>
              <w:end w:w="120" w:type="dxa"/>
            </w:tcMar>
          </w:tcPr>
          <w:p>
            <w:pPr>
              <w:spacing w:before="0" w:after="0" w:line="240" w:lineRule="auto"/>
            </w:pPr>
            <w:r>
              <w:rPr>
                <w:rFonts w:ascii="Times New Roman" w:hAnsi="Times New Roman"/>
                <w:sz w:val="15"/>
              </w:rPr>
              <w:t>+1.637%</w:t>
            </w:r>
          </w:p>
        </w:tc>
      </w:tr>
      <w:tr>
        <w:tc>
          <w:tcPr>
            <w:tcW w:type="dxa" w:w="1680"/>
            <w:vAlign w:val="center"/>
            <w:tcMar>
              <w:top w:w="80" w:type="dxa"/>
              <w:start w:w="120" w:type="dxa"/>
              <w:bottom w:w="80" w:type="dxa"/>
              <w:end w:w="120" w:type="dxa"/>
            </w:tcMar>
          </w:tcPr>
          <w:p>
            <w:pPr>
              <w:spacing w:before="0" w:after="0" w:line="240" w:lineRule="auto"/>
            </w:pPr>
            <w:r>
              <w:rPr>
                <w:rFonts w:ascii="Times New Roman" w:hAnsi="Times New Roman"/>
                <w:sz w:val="15"/>
              </w:rPr>
              <w:t>down/ellip</w:t>
            </w:r>
          </w:p>
        </w:tc>
        <w:tc>
          <w:tcPr>
            <w:tcW w:type="dxa" w:w="800"/>
            <w:vAlign w:val="center"/>
            <w:tcMar>
              <w:top w:w="80" w:type="dxa"/>
              <w:start w:w="120" w:type="dxa"/>
              <w:bottom w:w="80" w:type="dxa"/>
              <w:end w:w="120" w:type="dxa"/>
            </w:tcMar>
          </w:tcPr>
          <w:p>
            <w:pPr>
              <w:spacing w:before="0" w:after="0" w:line="240" w:lineRule="auto"/>
            </w:pPr>
            <w:r>
              <w:rPr>
                <w:rFonts w:ascii="Times New Roman" w:hAnsi="Times New Roman"/>
                <w:sz w:val="15"/>
              </w:rPr>
              <w:t>C4</w:t>
            </w:r>
          </w:p>
        </w:tc>
        <w:tc>
          <w:tcPr>
            <w:tcW w:type="dxa" w:w="880"/>
            <w:vAlign w:val="center"/>
            <w:tcMar>
              <w:top w:w="80" w:type="dxa"/>
              <w:start w:w="120" w:type="dxa"/>
              <w:bottom w:w="80" w:type="dxa"/>
              <w:end w:w="120" w:type="dxa"/>
            </w:tcMar>
          </w:tcPr>
          <w:p>
            <w:pPr>
              <w:spacing w:before="0" w:after="0" w:line="240" w:lineRule="auto"/>
            </w:pPr>
            <w:r>
              <w:rPr>
                <w:rFonts w:ascii="Times New Roman" w:hAnsi="Times New Roman"/>
                <w:sz w:val="15"/>
              </w:rPr>
              <w:t>Down</w:t>
            </w:r>
          </w:p>
        </w:tc>
        <w:tc>
          <w:tcPr>
            <w:tcW w:type="dxa" w:w="928"/>
            <w:vAlign w:val="center"/>
            <w:tcMar>
              <w:top w:w="80" w:type="dxa"/>
              <w:start w:w="120" w:type="dxa"/>
              <w:bottom w:w="80" w:type="dxa"/>
              <w:end w:w="120" w:type="dxa"/>
            </w:tcMar>
          </w:tcPr>
          <w:p>
            <w:pPr>
              <w:spacing w:before="0" w:after="0" w:line="240" w:lineRule="auto"/>
            </w:pPr>
            <w:r>
              <w:rPr>
                <w:rFonts w:ascii="Times New Roman" w:hAnsi="Times New Roman"/>
                <w:sz w:val="15"/>
              </w:rPr>
              <w:t>Ellip</w:t>
            </w:r>
          </w:p>
        </w:tc>
        <w:tc>
          <w:tcPr>
            <w:tcW w:type="dxa" w:w="1200"/>
            <w:vAlign w:val="center"/>
            <w:tcMar>
              <w:top w:w="80" w:type="dxa"/>
              <w:start w:w="120" w:type="dxa"/>
              <w:bottom w:w="80" w:type="dxa"/>
              <w:end w:w="120" w:type="dxa"/>
            </w:tcMar>
          </w:tcPr>
          <w:p>
            <w:pPr>
              <w:spacing w:before="0" w:after="0" w:line="240" w:lineRule="auto"/>
            </w:pPr>
            <w:r>
              <w:rPr>
                <w:rFonts w:ascii="Times New Roman" w:hAnsi="Times New Roman"/>
                <w:sz w:val="15"/>
              </w:rPr>
              <w:t>4.167%</w:t>
            </w:r>
          </w:p>
        </w:tc>
        <w:tc>
          <w:tcPr>
            <w:tcW w:type="dxa" w:w="880"/>
            <w:vAlign w:val="center"/>
            <w:tcMar>
              <w:top w:w="80" w:type="dxa"/>
              <w:start w:w="120" w:type="dxa"/>
              <w:bottom w:w="80" w:type="dxa"/>
              <w:end w:w="120" w:type="dxa"/>
            </w:tcMar>
          </w:tcPr>
          <w:p>
            <w:pPr>
              <w:spacing w:before="0" w:after="0" w:line="240" w:lineRule="auto"/>
            </w:pPr>
            <w:r>
              <w:rPr>
                <w:rFonts w:ascii="Times New Roman" w:hAnsi="Times New Roman"/>
                <w:sz w:val="15"/>
              </w:rPr>
              <w:t>1536</w:t>
            </w:r>
          </w:p>
        </w:tc>
        <w:tc>
          <w:tcPr>
            <w:tcW w:type="dxa" w:w="1280"/>
            <w:vAlign w:val="center"/>
            <w:tcMar>
              <w:top w:w="80" w:type="dxa"/>
              <w:start w:w="120" w:type="dxa"/>
              <w:bottom w:w="80" w:type="dxa"/>
              <w:end w:w="120" w:type="dxa"/>
            </w:tcMar>
          </w:tcPr>
          <w:p>
            <w:pPr>
              <w:spacing w:before="0" w:after="0" w:line="240" w:lineRule="auto"/>
            </w:pPr>
            <w:r>
              <w:rPr>
                <w:rFonts w:ascii="Times New Roman" w:hAnsi="Times New Roman"/>
                <w:sz w:val="15"/>
              </w:rPr>
              <w:t>14.5607</w:t>
            </w:r>
          </w:p>
        </w:tc>
        <w:tc>
          <w:tcPr>
            <w:tcW w:type="dxa" w:w="1280"/>
            <w:vAlign w:val="center"/>
            <w:tcMar>
              <w:top w:w="80" w:type="dxa"/>
              <w:start w:w="120" w:type="dxa"/>
              <w:bottom w:w="80" w:type="dxa"/>
              <w:end w:w="120" w:type="dxa"/>
            </w:tcMar>
          </w:tcPr>
          <w:p>
            <w:pPr>
              <w:spacing w:before="0" w:after="0" w:line="240" w:lineRule="auto"/>
            </w:pPr>
            <w:r>
              <w:rPr>
                <w:rFonts w:ascii="Times New Roman" w:hAnsi="Times New Roman"/>
                <w:sz w:val="15"/>
              </w:rPr>
              <w:t>14.7407</w:t>
            </w:r>
          </w:p>
        </w:tc>
        <w:tc>
          <w:tcPr>
            <w:tcW w:type="dxa" w:w="1152"/>
            <w:vAlign w:val="center"/>
            <w:tcMar>
              <w:top w:w="80" w:type="dxa"/>
              <w:start w:w="120" w:type="dxa"/>
              <w:bottom w:w="80" w:type="dxa"/>
              <w:end w:w="120" w:type="dxa"/>
            </w:tcMar>
          </w:tcPr>
          <w:p>
            <w:pPr>
              <w:spacing w:before="0" w:after="0" w:line="240" w:lineRule="auto"/>
            </w:pPr>
            <w:r>
              <w:rPr>
                <w:rFonts w:ascii="Times New Roman" w:hAnsi="Times New Roman"/>
                <w:sz w:val="15"/>
              </w:rPr>
              <w:t>+1.236%</w:t>
            </w:r>
          </w:p>
        </w:tc>
      </w:tr>
    </w:tbl>
    <w:p>
      <w:pPr>
        <w:pStyle w:val="Heading2"/>
      </w:pPr>
      <w:r>
        <w:t>7.3 Target-6 Fixed-Allocation Attribution</w:t>
      </w:r>
    </w:p>
    <w:p>
      <w:pPr/>
      <w:r>
        <w:t>The target-6 primary experiment is the strongest current method-attribution result. Under the same RMSNorm allocation, identical 2,288 removed layer-channels, identical expert aggregation, and identical evaluation documents, ellipsoid ranking outperforms both the original bound and activation ranking on both corpora. The secondary down-norm allocation removes 2,256 channels and gives a similar C4 result, supporting—but not proving—allocation robustness.</w:t>
      </w:r>
    </w:p>
    <w:p>
      <w:pPr>
        <w:pStyle w:val="Caption"/>
      </w:pPr>
      <w:r>
        <w:t>Table V3-3. Target-6 controlled allocation/ranking results (n_eval=1024).</w:t>
      </w:r>
    </w:p>
    <w:tbl>
      <w:tblPr>
        <w:tblStyle w:val="TableGrid"/>
        <w:tblW w:type="dxa" w:w="10080"/>
        <w:tblLayout w:type="fixed"/>
        <w:tblLook w:firstColumn="1" w:firstRow="1" w:lastColumn="0" w:lastRow="0" w:noHBand="0" w:noVBand="1" w:val="04A0"/>
        <w:tblInd w:w="120" w:type="dxa"/>
      </w:tblPr>
      <w:tblGrid>
        <w:gridCol w:w="1680"/>
        <w:gridCol w:w="800"/>
        <w:gridCol w:w="880"/>
        <w:gridCol w:w="928"/>
        <w:gridCol w:w="1200"/>
        <w:gridCol w:w="880"/>
        <w:gridCol w:w="1280"/>
        <w:gridCol w:w="1280"/>
        <w:gridCol w:w="1152"/>
      </w:tblGrid>
      <w:tr>
        <w:trPr>
          <w:tblHeader w:val="true"/>
        </w:trPr>
        <w:tc>
          <w:tcPr>
            <w:tcW w:type="dxa" w:w="1680"/>
            <w:vAlign w:val="center"/>
            <w:tcMar>
              <w:top w:w="80" w:type="dxa"/>
              <w:start w:w="120" w:type="dxa"/>
              <w:bottom w:w="80" w:type="dxa"/>
              <w:end w:w="120" w:type="dxa"/>
            </w:tcMar>
            <w:shd w:fill="4F81BD"/>
          </w:tcPr>
          <w:p>
            <w:pPr>
              <w:spacing w:before="0" w:after="0" w:line="240" w:lineRule="auto"/>
              <w:jc w:val="center"/>
            </w:pPr>
            <w:r>
              <w:rPr>
                <w:rFonts w:ascii="Times New Roman" w:hAnsi="Times New Roman"/>
                <w:b/>
                <w:color w:val="FFFFFF"/>
                <w:sz w:val="15"/>
              </w:rPr>
              <w:t>Experiment</w:t>
            </w:r>
          </w:p>
        </w:tc>
        <w:tc>
          <w:tcPr>
            <w:tcW w:type="dxa" w:w="800"/>
            <w:vAlign w:val="center"/>
            <w:tcMar>
              <w:top w:w="80" w:type="dxa"/>
              <w:start w:w="120" w:type="dxa"/>
              <w:bottom w:w="80" w:type="dxa"/>
              <w:end w:w="120" w:type="dxa"/>
            </w:tcMar>
            <w:shd w:fill="4F81BD"/>
          </w:tcPr>
          <w:p>
            <w:pPr>
              <w:spacing w:before="0" w:after="0" w:line="240" w:lineRule="auto"/>
              <w:jc w:val="center"/>
            </w:pPr>
            <w:r>
              <w:rPr>
                <w:rFonts w:ascii="Times New Roman" w:hAnsi="Times New Roman"/>
                <w:b/>
                <w:color w:val="FFFFFF"/>
                <w:sz w:val="15"/>
              </w:rPr>
              <w:t>Data</w:t>
            </w:r>
          </w:p>
        </w:tc>
        <w:tc>
          <w:tcPr>
            <w:tcW w:type="dxa" w:w="880"/>
            <w:vAlign w:val="center"/>
            <w:tcMar>
              <w:top w:w="80" w:type="dxa"/>
              <w:start w:w="120" w:type="dxa"/>
              <w:bottom w:w="80" w:type="dxa"/>
              <w:end w:w="120" w:type="dxa"/>
            </w:tcMar>
            <w:shd w:fill="4F81BD"/>
          </w:tcPr>
          <w:p>
            <w:pPr>
              <w:spacing w:before="0" w:after="0" w:line="240" w:lineRule="auto"/>
              <w:jc w:val="center"/>
            </w:pPr>
            <w:r>
              <w:rPr>
                <w:rFonts w:ascii="Times New Roman" w:hAnsi="Times New Roman"/>
                <w:b/>
                <w:color w:val="FFFFFF"/>
                <w:sz w:val="15"/>
              </w:rPr>
              <w:t>Alloc.</w:t>
            </w:r>
          </w:p>
        </w:tc>
        <w:tc>
          <w:tcPr>
            <w:tcW w:type="dxa" w:w="928"/>
            <w:vAlign w:val="center"/>
            <w:tcMar>
              <w:top w:w="80" w:type="dxa"/>
              <w:start w:w="120" w:type="dxa"/>
              <w:bottom w:w="80" w:type="dxa"/>
              <w:end w:w="120" w:type="dxa"/>
            </w:tcMar>
            <w:shd w:fill="4F81BD"/>
          </w:tcPr>
          <w:p>
            <w:pPr>
              <w:spacing w:before="0" w:after="0" w:line="240" w:lineRule="auto"/>
              <w:jc w:val="center"/>
            </w:pPr>
            <w:r>
              <w:rPr>
                <w:rFonts w:ascii="Times New Roman" w:hAnsi="Times New Roman"/>
                <w:b/>
                <w:color w:val="FFFFFF"/>
                <w:sz w:val="15"/>
              </w:rPr>
              <w:t>Rank</w:t>
            </w:r>
          </w:p>
        </w:tc>
        <w:tc>
          <w:tcPr>
            <w:tcW w:type="dxa" w:w="1200"/>
            <w:vAlign w:val="center"/>
            <w:tcMar>
              <w:top w:w="80" w:type="dxa"/>
              <w:start w:w="120" w:type="dxa"/>
              <w:bottom w:w="80" w:type="dxa"/>
              <w:end w:w="120" w:type="dxa"/>
            </w:tcMar>
            <w:shd w:fill="4F81BD"/>
          </w:tcPr>
          <w:p>
            <w:pPr>
              <w:spacing w:before="0" w:after="0" w:line="240" w:lineRule="auto"/>
              <w:jc w:val="center"/>
            </w:pPr>
            <w:r>
              <w:rPr>
                <w:rFonts w:ascii="Times New Roman" w:hAnsi="Times New Roman"/>
                <w:b/>
                <w:color w:val="FFFFFF"/>
                <w:sz w:val="15"/>
              </w:rPr>
              <w:t>Actual</w:t>
            </w:r>
          </w:p>
        </w:tc>
        <w:tc>
          <w:tcPr>
            <w:tcW w:type="dxa" w:w="880"/>
            <w:vAlign w:val="center"/>
            <w:tcMar>
              <w:top w:w="80" w:type="dxa"/>
              <w:start w:w="120" w:type="dxa"/>
              <w:bottom w:w="80" w:type="dxa"/>
              <w:end w:w="120" w:type="dxa"/>
            </w:tcMar>
            <w:shd w:fill="4F81BD"/>
          </w:tcPr>
          <w:p>
            <w:pPr>
              <w:spacing w:before="0" w:after="0" w:line="240" w:lineRule="auto"/>
              <w:jc w:val="center"/>
            </w:pPr>
            <w:r>
              <w:rPr>
                <w:rFonts w:ascii="Times New Roman" w:hAnsi="Times New Roman"/>
                <w:b/>
                <w:color w:val="FFFFFF"/>
                <w:sz w:val="15"/>
              </w:rPr>
              <w:t>Ch.</w:t>
            </w:r>
          </w:p>
        </w:tc>
        <w:tc>
          <w:tcPr>
            <w:tcW w:type="dxa" w:w="1280"/>
            <w:vAlign w:val="center"/>
            <w:tcMar>
              <w:top w:w="80" w:type="dxa"/>
              <w:start w:w="120" w:type="dxa"/>
              <w:bottom w:w="80" w:type="dxa"/>
              <w:end w:w="120" w:type="dxa"/>
            </w:tcMar>
            <w:shd w:fill="4F81BD"/>
          </w:tcPr>
          <w:p>
            <w:pPr>
              <w:spacing w:before="0" w:after="0" w:line="240" w:lineRule="auto"/>
              <w:jc w:val="center"/>
            </w:pPr>
            <w:r>
              <w:rPr>
                <w:rFonts w:ascii="Times New Roman" w:hAnsi="Times New Roman"/>
                <w:b/>
                <w:color w:val="FFFFFF"/>
                <w:sz w:val="15"/>
              </w:rPr>
              <w:t>Base</w:t>
            </w:r>
          </w:p>
        </w:tc>
        <w:tc>
          <w:tcPr>
            <w:tcW w:type="dxa" w:w="1280"/>
            <w:vAlign w:val="center"/>
            <w:tcMar>
              <w:top w:w="80" w:type="dxa"/>
              <w:start w:w="120" w:type="dxa"/>
              <w:bottom w:w="80" w:type="dxa"/>
              <w:end w:w="120" w:type="dxa"/>
            </w:tcMar>
            <w:shd w:fill="4F81BD"/>
          </w:tcPr>
          <w:p>
            <w:pPr>
              <w:spacing w:before="0" w:after="0" w:line="240" w:lineRule="auto"/>
              <w:jc w:val="center"/>
            </w:pPr>
            <w:r>
              <w:rPr>
                <w:rFonts w:ascii="Times New Roman" w:hAnsi="Times New Roman"/>
                <w:b/>
                <w:color w:val="FFFFFF"/>
                <w:sz w:val="15"/>
              </w:rPr>
              <w:t>Pruned</w:t>
            </w:r>
          </w:p>
        </w:tc>
        <w:tc>
          <w:tcPr>
            <w:tcW w:type="dxa" w:w="1152"/>
            <w:vAlign w:val="center"/>
            <w:tcMar>
              <w:top w:w="80" w:type="dxa"/>
              <w:start w:w="120" w:type="dxa"/>
              <w:bottom w:w="80" w:type="dxa"/>
              <w:end w:w="120" w:type="dxa"/>
            </w:tcMar>
            <w:shd w:fill="4F81BD"/>
          </w:tcPr>
          <w:p>
            <w:pPr>
              <w:spacing w:before="0" w:after="0" w:line="240" w:lineRule="auto"/>
              <w:jc w:val="center"/>
            </w:pPr>
            <w:r>
              <w:rPr>
                <w:rFonts w:ascii="Times New Roman" w:hAnsi="Times New Roman"/>
                <w:b/>
                <w:color w:val="FFFFFF"/>
                <w:sz w:val="15"/>
              </w:rPr>
              <w:t>Rel.</w:t>
            </w:r>
          </w:p>
        </w:tc>
      </w:tr>
      <w:tr>
        <w:tc>
          <w:tcPr>
            <w:tcW w:type="dxa" w:w="1680"/>
            <w:vAlign w:val="center"/>
            <w:tcMar>
              <w:top w:w="80" w:type="dxa"/>
              <w:start w:w="120" w:type="dxa"/>
              <w:bottom w:w="80" w:type="dxa"/>
              <w:end w:w="120" w:type="dxa"/>
            </w:tcMar>
          </w:tcPr>
          <w:p>
            <w:pPr>
              <w:spacing w:before="0" w:after="0" w:line="240" w:lineRule="auto"/>
            </w:pPr>
            <w:r>
              <w:rPr>
                <w:rFonts w:ascii="Times New Roman" w:hAnsi="Times New Roman"/>
                <w:sz w:val="15"/>
              </w:rPr>
              <w:t>rms/rms</w:t>
            </w:r>
          </w:p>
        </w:tc>
        <w:tc>
          <w:tcPr>
            <w:tcW w:type="dxa" w:w="800"/>
            <w:vAlign w:val="center"/>
            <w:tcMar>
              <w:top w:w="80" w:type="dxa"/>
              <w:start w:w="120" w:type="dxa"/>
              <w:bottom w:w="80" w:type="dxa"/>
              <w:end w:w="120" w:type="dxa"/>
            </w:tcMar>
          </w:tcPr>
          <w:p>
            <w:pPr>
              <w:spacing w:before="0" w:after="0" w:line="240" w:lineRule="auto"/>
            </w:pPr>
            <w:r>
              <w:rPr>
                <w:rFonts w:ascii="Times New Roman" w:hAnsi="Times New Roman"/>
                <w:sz w:val="15"/>
              </w:rPr>
              <w:t>WT2</w:t>
            </w:r>
          </w:p>
        </w:tc>
        <w:tc>
          <w:tcPr>
            <w:tcW w:type="dxa" w:w="880"/>
            <w:vAlign w:val="center"/>
            <w:tcMar>
              <w:top w:w="80" w:type="dxa"/>
              <w:start w:w="120" w:type="dxa"/>
              <w:bottom w:w="80" w:type="dxa"/>
              <w:end w:w="120" w:type="dxa"/>
            </w:tcMar>
          </w:tcPr>
          <w:p>
            <w:pPr>
              <w:spacing w:before="0" w:after="0" w:line="240" w:lineRule="auto"/>
            </w:pPr>
            <w:r>
              <w:rPr>
                <w:rFonts w:ascii="Times New Roman" w:hAnsi="Times New Roman"/>
                <w:sz w:val="15"/>
              </w:rPr>
              <w:t>RMS</w:t>
            </w:r>
          </w:p>
        </w:tc>
        <w:tc>
          <w:tcPr>
            <w:tcW w:type="dxa" w:w="928"/>
            <w:vAlign w:val="center"/>
            <w:tcMar>
              <w:top w:w="80" w:type="dxa"/>
              <w:start w:w="120" w:type="dxa"/>
              <w:bottom w:w="80" w:type="dxa"/>
              <w:end w:w="120" w:type="dxa"/>
            </w:tcMar>
          </w:tcPr>
          <w:p>
            <w:pPr>
              <w:spacing w:before="0" w:after="0" w:line="240" w:lineRule="auto"/>
            </w:pPr>
            <w:r>
              <w:rPr>
                <w:rFonts w:ascii="Times New Roman" w:hAnsi="Times New Roman"/>
                <w:sz w:val="15"/>
              </w:rPr>
              <w:t>RMS</w:t>
            </w:r>
          </w:p>
        </w:tc>
        <w:tc>
          <w:tcPr>
            <w:tcW w:type="dxa" w:w="1200"/>
            <w:vAlign w:val="center"/>
            <w:tcMar>
              <w:top w:w="80" w:type="dxa"/>
              <w:start w:w="120" w:type="dxa"/>
              <w:bottom w:w="80" w:type="dxa"/>
              <w:end w:w="120" w:type="dxa"/>
            </w:tcMar>
          </w:tcPr>
          <w:p>
            <w:pPr>
              <w:spacing w:before="0" w:after="0" w:line="240" w:lineRule="auto"/>
            </w:pPr>
            <w:r>
              <w:rPr>
                <w:rFonts w:ascii="Times New Roman" w:hAnsi="Times New Roman"/>
                <w:sz w:val="15"/>
              </w:rPr>
              <w:t>6.207%</w:t>
            </w:r>
          </w:p>
        </w:tc>
        <w:tc>
          <w:tcPr>
            <w:tcW w:type="dxa" w:w="880"/>
            <w:vAlign w:val="center"/>
            <w:tcMar>
              <w:top w:w="80" w:type="dxa"/>
              <w:start w:w="120" w:type="dxa"/>
              <w:bottom w:w="80" w:type="dxa"/>
              <w:end w:w="120" w:type="dxa"/>
            </w:tcMar>
          </w:tcPr>
          <w:p>
            <w:pPr>
              <w:spacing w:before="0" w:after="0" w:line="240" w:lineRule="auto"/>
            </w:pPr>
            <w:r>
              <w:rPr>
                <w:rFonts w:ascii="Times New Roman" w:hAnsi="Times New Roman"/>
                <w:sz w:val="15"/>
              </w:rPr>
              <w:t>2288</w:t>
            </w:r>
          </w:p>
        </w:tc>
        <w:tc>
          <w:tcPr>
            <w:tcW w:type="dxa" w:w="1280"/>
            <w:vAlign w:val="center"/>
            <w:tcMar>
              <w:top w:w="80" w:type="dxa"/>
              <w:start w:w="120" w:type="dxa"/>
              <w:bottom w:w="80" w:type="dxa"/>
              <w:end w:w="120" w:type="dxa"/>
            </w:tcMar>
          </w:tcPr>
          <w:p>
            <w:pPr>
              <w:spacing w:before="0" w:after="0" w:line="240" w:lineRule="auto"/>
            </w:pPr>
            <w:r>
              <w:rPr>
                <w:rFonts w:ascii="Times New Roman" w:hAnsi="Times New Roman"/>
                <w:sz w:val="15"/>
              </w:rPr>
              <w:t>12.8342</w:t>
            </w:r>
          </w:p>
        </w:tc>
        <w:tc>
          <w:tcPr>
            <w:tcW w:type="dxa" w:w="1280"/>
            <w:vAlign w:val="center"/>
            <w:tcMar>
              <w:top w:w="80" w:type="dxa"/>
              <w:start w:w="120" w:type="dxa"/>
              <w:bottom w:w="80" w:type="dxa"/>
              <w:end w:w="120" w:type="dxa"/>
            </w:tcMar>
          </w:tcPr>
          <w:p>
            <w:pPr>
              <w:spacing w:before="0" w:after="0" w:line="240" w:lineRule="auto"/>
            </w:pPr>
            <w:r>
              <w:rPr>
                <w:rFonts w:ascii="Times New Roman" w:hAnsi="Times New Roman"/>
                <w:sz w:val="15"/>
              </w:rPr>
              <w:t>13.2165</w:t>
            </w:r>
          </w:p>
        </w:tc>
        <w:tc>
          <w:tcPr>
            <w:tcW w:type="dxa" w:w="1152"/>
            <w:vAlign w:val="center"/>
            <w:tcMar>
              <w:top w:w="80" w:type="dxa"/>
              <w:start w:w="120" w:type="dxa"/>
              <w:bottom w:w="80" w:type="dxa"/>
              <w:end w:w="120" w:type="dxa"/>
            </w:tcMar>
          </w:tcPr>
          <w:p>
            <w:pPr>
              <w:spacing w:before="0" w:after="0" w:line="240" w:lineRule="auto"/>
            </w:pPr>
            <w:r>
              <w:rPr>
                <w:rFonts w:ascii="Times New Roman" w:hAnsi="Times New Roman"/>
                <w:sz w:val="15"/>
              </w:rPr>
              <w:t>+2.979%</w:t>
            </w:r>
          </w:p>
        </w:tc>
      </w:tr>
      <w:tr>
        <w:tc>
          <w:tcPr>
            <w:tcW w:type="dxa" w:w="1680"/>
            <w:vAlign w:val="center"/>
            <w:tcMar>
              <w:top w:w="80" w:type="dxa"/>
              <w:start w:w="120" w:type="dxa"/>
              <w:bottom w:w="80" w:type="dxa"/>
              <w:end w:w="120" w:type="dxa"/>
            </w:tcMar>
          </w:tcPr>
          <w:p>
            <w:pPr>
              <w:spacing w:before="0" w:after="0" w:line="240" w:lineRule="auto"/>
            </w:pPr>
            <w:r>
              <w:rPr>
                <w:rFonts w:ascii="Times New Roman" w:hAnsi="Times New Roman"/>
                <w:sz w:val="15"/>
              </w:rPr>
              <w:t>rms/act</w:t>
            </w:r>
          </w:p>
        </w:tc>
        <w:tc>
          <w:tcPr>
            <w:tcW w:type="dxa" w:w="800"/>
            <w:vAlign w:val="center"/>
            <w:tcMar>
              <w:top w:w="80" w:type="dxa"/>
              <w:start w:w="120" w:type="dxa"/>
              <w:bottom w:w="80" w:type="dxa"/>
              <w:end w:w="120" w:type="dxa"/>
            </w:tcMar>
          </w:tcPr>
          <w:p>
            <w:pPr>
              <w:spacing w:before="0" w:after="0" w:line="240" w:lineRule="auto"/>
            </w:pPr>
            <w:r>
              <w:rPr>
                <w:rFonts w:ascii="Times New Roman" w:hAnsi="Times New Roman"/>
                <w:sz w:val="15"/>
              </w:rPr>
              <w:t>WT2</w:t>
            </w:r>
          </w:p>
        </w:tc>
        <w:tc>
          <w:tcPr>
            <w:tcW w:type="dxa" w:w="880"/>
            <w:vAlign w:val="center"/>
            <w:tcMar>
              <w:top w:w="80" w:type="dxa"/>
              <w:start w:w="120" w:type="dxa"/>
              <w:bottom w:w="80" w:type="dxa"/>
              <w:end w:w="120" w:type="dxa"/>
            </w:tcMar>
          </w:tcPr>
          <w:p>
            <w:pPr>
              <w:spacing w:before="0" w:after="0" w:line="240" w:lineRule="auto"/>
            </w:pPr>
            <w:r>
              <w:rPr>
                <w:rFonts w:ascii="Times New Roman" w:hAnsi="Times New Roman"/>
                <w:sz w:val="15"/>
              </w:rPr>
              <w:t>RMS</w:t>
            </w:r>
          </w:p>
        </w:tc>
        <w:tc>
          <w:tcPr>
            <w:tcW w:type="dxa" w:w="928"/>
            <w:vAlign w:val="center"/>
            <w:tcMar>
              <w:top w:w="80" w:type="dxa"/>
              <w:start w:w="120" w:type="dxa"/>
              <w:bottom w:w="80" w:type="dxa"/>
              <w:end w:w="120" w:type="dxa"/>
            </w:tcMar>
          </w:tcPr>
          <w:p>
            <w:pPr>
              <w:spacing w:before="0" w:after="0" w:line="240" w:lineRule="auto"/>
            </w:pPr>
            <w:r>
              <w:rPr>
                <w:rFonts w:ascii="Times New Roman" w:hAnsi="Times New Roman"/>
                <w:sz w:val="15"/>
              </w:rPr>
              <w:t>Act</w:t>
            </w:r>
          </w:p>
        </w:tc>
        <w:tc>
          <w:tcPr>
            <w:tcW w:type="dxa" w:w="1200"/>
            <w:vAlign w:val="center"/>
            <w:tcMar>
              <w:top w:w="80" w:type="dxa"/>
              <w:start w:w="120" w:type="dxa"/>
              <w:bottom w:w="80" w:type="dxa"/>
              <w:end w:w="120" w:type="dxa"/>
            </w:tcMar>
          </w:tcPr>
          <w:p>
            <w:pPr>
              <w:spacing w:before="0" w:after="0" w:line="240" w:lineRule="auto"/>
            </w:pPr>
            <w:r>
              <w:rPr>
                <w:rFonts w:ascii="Times New Roman" w:hAnsi="Times New Roman"/>
                <w:sz w:val="15"/>
              </w:rPr>
              <w:t>6.207%</w:t>
            </w:r>
          </w:p>
        </w:tc>
        <w:tc>
          <w:tcPr>
            <w:tcW w:type="dxa" w:w="880"/>
            <w:vAlign w:val="center"/>
            <w:tcMar>
              <w:top w:w="80" w:type="dxa"/>
              <w:start w:w="120" w:type="dxa"/>
              <w:bottom w:w="80" w:type="dxa"/>
              <w:end w:w="120" w:type="dxa"/>
            </w:tcMar>
          </w:tcPr>
          <w:p>
            <w:pPr>
              <w:spacing w:before="0" w:after="0" w:line="240" w:lineRule="auto"/>
            </w:pPr>
            <w:r>
              <w:rPr>
                <w:rFonts w:ascii="Times New Roman" w:hAnsi="Times New Roman"/>
                <w:sz w:val="15"/>
              </w:rPr>
              <w:t>2288</w:t>
            </w:r>
          </w:p>
        </w:tc>
        <w:tc>
          <w:tcPr>
            <w:tcW w:type="dxa" w:w="1280"/>
            <w:vAlign w:val="center"/>
            <w:tcMar>
              <w:top w:w="80" w:type="dxa"/>
              <w:start w:w="120" w:type="dxa"/>
              <w:bottom w:w="80" w:type="dxa"/>
              <w:end w:w="120" w:type="dxa"/>
            </w:tcMar>
          </w:tcPr>
          <w:p>
            <w:pPr>
              <w:spacing w:before="0" w:after="0" w:line="240" w:lineRule="auto"/>
            </w:pPr>
            <w:r>
              <w:rPr>
                <w:rFonts w:ascii="Times New Roman" w:hAnsi="Times New Roman"/>
                <w:sz w:val="15"/>
              </w:rPr>
              <w:t>12.8342</w:t>
            </w:r>
          </w:p>
        </w:tc>
        <w:tc>
          <w:tcPr>
            <w:tcW w:type="dxa" w:w="1280"/>
            <w:vAlign w:val="center"/>
            <w:tcMar>
              <w:top w:w="80" w:type="dxa"/>
              <w:start w:w="120" w:type="dxa"/>
              <w:bottom w:w="80" w:type="dxa"/>
              <w:end w:w="120" w:type="dxa"/>
            </w:tcMar>
          </w:tcPr>
          <w:p>
            <w:pPr>
              <w:spacing w:before="0" w:after="0" w:line="240" w:lineRule="auto"/>
            </w:pPr>
            <w:r>
              <w:rPr>
                <w:rFonts w:ascii="Times New Roman" w:hAnsi="Times New Roman"/>
                <w:sz w:val="15"/>
              </w:rPr>
              <w:t>13.0653</w:t>
            </w:r>
          </w:p>
        </w:tc>
        <w:tc>
          <w:tcPr>
            <w:tcW w:type="dxa" w:w="1152"/>
            <w:vAlign w:val="center"/>
            <w:tcMar>
              <w:top w:w="80" w:type="dxa"/>
              <w:start w:w="120" w:type="dxa"/>
              <w:bottom w:w="80" w:type="dxa"/>
              <w:end w:w="120" w:type="dxa"/>
            </w:tcMar>
          </w:tcPr>
          <w:p>
            <w:pPr>
              <w:spacing w:before="0" w:after="0" w:line="240" w:lineRule="auto"/>
            </w:pPr>
            <w:r>
              <w:rPr>
                <w:rFonts w:ascii="Times New Roman" w:hAnsi="Times New Roman"/>
                <w:sz w:val="15"/>
              </w:rPr>
              <w:t>+1.801%</w:t>
            </w:r>
          </w:p>
        </w:tc>
      </w:tr>
      <w:tr>
        <w:tc>
          <w:tcPr>
            <w:tcW w:type="dxa" w:w="1680"/>
            <w:vAlign w:val="center"/>
            <w:tcMar>
              <w:top w:w="80" w:type="dxa"/>
              <w:start w:w="120" w:type="dxa"/>
              <w:bottom w:w="80" w:type="dxa"/>
              <w:end w:w="120" w:type="dxa"/>
            </w:tcMar>
          </w:tcPr>
          <w:p>
            <w:pPr>
              <w:spacing w:before="0" w:after="0" w:line="240" w:lineRule="auto"/>
            </w:pPr>
            <w:r>
              <w:rPr>
                <w:rFonts w:ascii="Times New Roman" w:hAnsi="Times New Roman"/>
                <w:sz w:val="15"/>
              </w:rPr>
              <w:t>rms/ellip</w:t>
            </w:r>
          </w:p>
        </w:tc>
        <w:tc>
          <w:tcPr>
            <w:tcW w:type="dxa" w:w="800"/>
            <w:vAlign w:val="center"/>
            <w:tcMar>
              <w:top w:w="80" w:type="dxa"/>
              <w:start w:w="120" w:type="dxa"/>
              <w:bottom w:w="80" w:type="dxa"/>
              <w:end w:w="120" w:type="dxa"/>
            </w:tcMar>
          </w:tcPr>
          <w:p>
            <w:pPr>
              <w:spacing w:before="0" w:after="0" w:line="240" w:lineRule="auto"/>
            </w:pPr>
            <w:r>
              <w:rPr>
                <w:rFonts w:ascii="Times New Roman" w:hAnsi="Times New Roman"/>
                <w:sz w:val="15"/>
              </w:rPr>
              <w:t>WT2</w:t>
            </w:r>
          </w:p>
        </w:tc>
        <w:tc>
          <w:tcPr>
            <w:tcW w:type="dxa" w:w="880"/>
            <w:vAlign w:val="center"/>
            <w:tcMar>
              <w:top w:w="80" w:type="dxa"/>
              <w:start w:w="120" w:type="dxa"/>
              <w:bottom w:w="80" w:type="dxa"/>
              <w:end w:w="120" w:type="dxa"/>
            </w:tcMar>
          </w:tcPr>
          <w:p>
            <w:pPr>
              <w:spacing w:before="0" w:after="0" w:line="240" w:lineRule="auto"/>
            </w:pPr>
            <w:r>
              <w:rPr>
                <w:rFonts w:ascii="Times New Roman" w:hAnsi="Times New Roman"/>
                <w:sz w:val="15"/>
              </w:rPr>
              <w:t>RMS</w:t>
            </w:r>
          </w:p>
        </w:tc>
        <w:tc>
          <w:tcPr>
            <w:tcW w:type="dxa" w:w="928"/>
            <w:vAlign w:val="center"/>
            <w:tcMar>
              <w:top w:w="80" w:type="dxa"/>
              <w:start w:w="120" w:type="dxa"/>
              <w:bottom w:w="80" w:type="dxa"/>
              <w:end w:w="120" w:type="dxa"/>
            </w:tcMar>
          </w:tcPr>
          <w:p>
            <w:pPr>
              <w:spacing w:before="0" w:after="0" w:line="240" w:lineRule="auto"/>
            </w:pPr>
            <w:r>
              <w:rPr>
                <w:rFonts w:ascii="Times New Roman" w:hAnsi="Times New Roman"/>
                <w:sz w:val="15"/>
              </w:rPr>
              <w:t>Ellip</w:t>
            </w:r>
          </w:p>
        </w:tc>
        <w:tc>
          <w:tcPr>
            <w:tcW w:type="dxa" w:w="1200"/>
            <w:vAlign w:val="center"/>
            <w:tcMar>
              <w:top w:w="80" w:type="dxa"/>
              <w:start w:w="120" w:type="dxa"/>
              <w:bottom w:w="80" w:type="dxa"/>
              <w:end w:w="120" w:type="dxa"/>
            </w:tcMar>
          </w:tcPr>
          <w:p>
            <w:pPr>
              <w:spacing w:before="0" w:after="0" w:line="240" w:lineRule="auto"/>
            </w:pPr>
            <w:r>
              <w:rPr>
                <w:rFonts w:ascii="Times New Roman" w:hAnsi="Times New Roman"/>
                <w:sz w:val="15"/>
              </w:rPr>
              <w:t>6.207%</w:t>
            </w:r>
          </w:p>
        </w:tc>
        <w:tc>
          <w:tcPr>
            <w:tcW w:type="dxa" w:w="880"/>
            <w:vAlign w:val="center"/>
            <w:tcMar>
              <w:top w:w="80" w:type="dxa"/>
              <w:start w:w="120" w:type="dxa"/>
              <w:bottom w:w="80" w:type="dxa"/>
              <w:end w:w="120" w:type="dxa"/>
            </w:tcMar>
          </w:tcPr>
          <w:p>
            <w:pPr>
              <w:spacing w:before="0" w:after="0" w:line="240" w:lineRule="auto"/>
            </w:pPr>
            <w:r>
              <w:rPr>
                <w:rFonts w:ascii="Times New Roman" w:hAnsi="Times New Roman"/>
                <w:sz w:val="15"/>
              </w:rPr>
              <w:t>2288</w:t>
            </w:r>
          </w:p>
        </w:tc>
        <w:tc>
          <w:tcPr>
            <w:tcW w:type="dxa" w:w="1280"/>
            <w:vAlign w:val="center"/>
            <w:tcMar>
              <w:top w:w="80" w:type="dxa"/>
              <w:start w:w="120" w:type="dxa"/>
              <w:bottom w:w="80" w:type="dxa"/>
              <w:end w:w="120" w:type="dxa"/>
            </w:tcMar>
          </w:tcPr>
          <w:p>
            <w:pPr>
              <w:spacing w:before="0" w:after="0" w:line="240" w:lineRule="auto"/>
            </w:pPr>
            <w:r>
              <w:rPr>
                <w:rFonts w:ascii="Times New Roman" w:hAnsi="Times New Roman"/>
                <w:sz w:val="15"/>
              </w:rPr>
              <w:t>12.8342</w:t>
            </w:r>
          </w:p>
        </w:tc>
        <w:tc>
          <w:tcPr>
            <w:tcW w:type="dxa" w:w="1280"/>
            <w:vAlign w:val="center"/>
            <w:tcMar>
              <w:top w:w="80" w:type="dxa"/>
              <w:start w:w="120" w:type="dxa"/>
              <w:bottom w:w="80" w:type="dxa"/>
              <w:end w:w="120" w:type="dxa"/>
            </w:tcMar>
          </w:tcPr>
          <w:p>
            <w:pPr>
              <w:spacing w:before="0" w:after="0" w:line="240" w:lineRule="auto"/>
            </w:pPr>
            <w:r>
              <w:rPr>
                <w:rFonts w:ascii="Times New Roman" w:hAnsi="Times New Roman"/>
                <w:sz w:val="15"/>
              </w:rPr>
              <w:t>12.9125</w:t>
            </w:r>
          </w:p>
        </w:tc>
        <w:tc>
          <w:tcPr>
            <w:tcW w:type="dxa" w:w="1152"/>
            <w:vAlign w:val="center"/>
            <w:tcMar>
              <w:top w:w="80" w:type="dxa"/>
              <w:start w:w="120" w:type="dxa"/>
              <w:bottom w:w="80" w:type="dxa"/>
              <w:end w:w="120" w:type="dxa"/>
            </w:tcMar>
          </w:tcPr>
          <w:p>
            <w:pPr>
              <w:spacing w:before="0" w:after="0" w:line="240" w:lineRule="auto"/>
            </w:pPr>
            <w:r>
              <w:rPr>
                <w:rFonts w:ascii="Times New Roman" w:hAnsi="Times New Roman"/>
                <w:sz w:val="15"/>
              </w:rPr>
              <w:t>+0.610%</w:t>
            </w:r>
          </w:p>
        </w:tc>
      </w:tr>
      <w:tr>
        <w:tc>
          <w:tcPr>
            <w:tcW w:type="dxa" w:w="1680"/>
            <w:vAlign w:val="center"/>
            <w:tcMar>
              <w:top w:w="80" w:type="dxa"/>
              <w:start w:w="120" w:type="dxa"/>
              <w:bottom w:w="80" w:type="dxa"/>
              <w:end w:w="120" w:type="dxa"/>
            </w:tcMar>
          </w:tcPr>
          <w:p>
            <w:pPr>
              <w:spacing w:before="0" w:after="0" w:line="240" w:lineRule="auto"/>
            </w:pPr>
            <w:r>
              <w:rPr>
                <w:rFonts w:ascii="Times New Roman" w:hAnsi="Times New Roman"/>
                <w:sz w:val="15"/>
              </w:rPr>
              <w:t>down/ellip</w:t>
            </w:r>
          </w:p>
        </w:tc>
        <w:tc>
          <w:tcPr>
            <w:tcW w:type="dxa" w:w="800"/>
            <w:vAlign w:val="center"/>
            <w:tcMar>
              <w:top w:w="80" w:type="dxa"/>
              <w:start w:w="120" w:type="dxa"/>
              <w:bottom w:w="80" w:type="dxa"/>
              <w:end w:w="120" w:type="dxa"/>
            </w:tcMar>
          </w:tcPr>
          <w:p>
            <w:pPr>
              <w:spacing w:before="0" w:after="0" w:line="240" w:lineRule="auto"/>
            </w:pPr>
            <w:r>
              <w:rPr>
                <w:rFonts w:ascii="Times New Roman" w:hAnsi="Times New Roman"/>
                <w:sz w:val="15"/>
              </w:rPr>
              <w:t>WT2</w:t>
            </w:r>
          </w:p>
        </w:tc>
        <w:tc>
          <w:tcPr>
            <w:tcW w:type="dxa" w:w="880"/>
            <w:vAlign w:val="center"/>
            <w:tcMar>
              <w:top w:w="80" w:type="dxa"/>
              <w:start w:w="120" w:type="dxa"/>
              <w:bottom w:w="80" w:type="dxa"/>
              <w:end w:w="120" w:type="dxa"/>
            </w:tcMar>
          </w:tcPr>
          <w:p>
            <w:pPr>
              <w:spacing w:before="0" w:after="0" w:line="240" w:lineRule="auto"/>
            </w:pPr>
            <w:r>
              <w:rPr>
                <w:rFonts w:ascii="Times New Roman" w:hAnsi="Times New Roman"/>
                <w:sz w:val="15"/>
              </w:rPr>
              <w:t>Down</w:t>
            </w:r>
          </w:p>
        </w:tc>
        <w:tc>
          <w:tcPr>
            <w:tcW w:type="dxa" w:w="928"/>
            <w:vAlign w:val="center"/>
            <w:tcMar>
              <w:top w:w="80" w:type="dxa"/>
              <w:start w:w="120" w:type="dxa"/>
              <w:bottom w:w="80" w:type="dxa"/>
              <w:end w:w="120" w:type="dxa"/>
            </w:tcMar>
          </w:tcPr>
          <w:p>
            <w:pPr>
              <w:spacing w:before="0" w:after="0" w:line="240" w:lineRule="auto"/>
            </w:pPr>
            <w:r>
              <w:rPr>
                <w:rFonts w:ascii="Times New Roman" w:hAnsi="Times New Roman"/>
                <w:sz w:val="15"/>
              </w:rPr>
              <w:t>Ellip</w:t>
            </w:r>
          </w:p>
        </w:tc>
        <w:tc>
          <w:tcPr>
            <w:tcW w:type="dxa" w:w="1200"/>
            <w:vAlign w:val="center"/>
            <w:tcMar>
              <w:top w:w="80" w:type="dxa"/>
              <w:start w:w="120" w:type="dxa"/>
              <w:bottom w:w="80" w:type="dxa"/>
              <w:end w:w="120" w:type="dxa"/>
            </w:tcMar>
          </w:tcPr>
          <w:p>
            <w:pPr>
              <w:spacing w:before="0" w:after="0" w:line="240" w:lineRule="auto"/>
            </w:pPr>
            <w:r>
              <w:rPr>
                <w:rFonts w:ascii="Times New Roman" w:hAnsi="Times New Roman"/>
                <w:sz w:val="15"/>
              </w:rPr>
              <w:t>6.120%</w:t>
            </w:r>
          </w:p>
        </w:tc>
        <w:tc>
          <w:tcPr>
            <w:tcW w:type="dxa" w:w="880"/>
            <w:vAlign w:val="center"/>
            <w:tcMar>
              <w:top w:w="80" w:type="dxa"/>
              <w:start w:w="120" w:type="dxa"/>
              <w:bottom w:w="80" w:type="dxa"/>
              <w:end w:w="120" w:type="dxa"/>
            </w:tcMar>
          </w:tcPr>
          <w:p>
            <w:pPr>
              <w:spacing w:before="0" w:after="0" w:line="240" w:lineRule="auto"/>
            </w:pPr>
            <w:r>
              <w:rPr>
                <w:rFonts w:ascii="Times New Roman" w:hAnsi="Times New Roman"/>
                <w:sz w:val="15"/>
              </w:rPr>
              <w:t>2256</w:t>
            </w:r>
          </w:p>
        </w:tc>
        <w:tc>
          <w:tcPr>
            <w:tcW w:type="dxa" w:w="1280"/>
            <w:vAlign w:val="center"/>
            <w:tcMar>
              <w:top w:w="80" w:type="dxa"/>
              <w:start w:w="120" w:type="dxa"/>
              <w:bottom w:w="80" w:type="dxa"/>
              <w:end w:w="120" w:type="dxa"/>
            </w:tcMar>
          </w:tcPr>
          <w:p>
            <w:pPr>
              <w:spacing w:before="0" w:after="0" w:line="240" w:lineRule="auto"/>
            </w:pPr>
            <w:r>
              <w:rPr>
                <w:rFonts w:ascii="Times New Roman" w:hAnsi="Times New Roman"/>
                <w:sz w:val="15"/>
              </w:rPr>
              <w:t>12.8342</w:t>
            </w:r>
          </w:p>
        </w:tc>
        <w:tc>
          <w:tcPr>
            <w:tcW w:type="dxa" w:w="1280"/>
            <w:vAlign w:val="center"/>
            <w:tcMar>
              <w:top w:w="80" w:type="dxa"/>
              <w:start w:w="120" w:type="dxa"/>
              <w:bottom w:w="80" w:type="dxa"/>
              <w:end w:w="120" w:type="dxa"/>
            </w:tcMar>
          </w:tcPr>
          <w:p>
            <w:pPr>
              <w:spacing w:before="0" w:after="0" w:line="240" w:lineRule="auto"/>
            </w:pPr>
            <w:r>
              <w:rPr>
                <w:rFonts w:ascii="Times New Roman" w:hAnsi="Times New Roman"/>
                <w:sz w:val="15"/>
              </w:rPr>
              <w:t>12.9549</w:t>
            </w:r>
          </w:p>
        </w:tc>
        <w:tc>
          <w:tcPr>
            <w:tcW w:type="dxa" w:w="1152"/>
            <w:vAlign w:val="center"/>
            <w:tcMar>
              <w:top w:w="80" w:type="dxa"/>
              <w:start w:w="120" w:type="dxa"/>
              <w:bottom w:w="80" w:type="dxa"/>
              <w:end w:w="120" w:type="dxa"/>
            </w:tcMar>
          </w:tcPr>
          <w:p>
            <w:pPr>
              <w:spacing w:before="0" w:after="0" w:line="240" w:lineRule="auto"/>
            </w:pPr>
            <w:r>
              <w:rPr>
                <w:rFonts w:ascii="Times New Roman" w:hAnsi="Times New Roman"/>
                <w:sz w:val="15"/>
              </w:rPr>
              <w:t>+0.941%</w:t>
            </w:r>
          </w:p>
        </w:tc>
      </w:tr>
      <w:tr>
        <w:tc>
          <w:tcPr>
            <w:tcW w:type="dxa" w:w="1680"/>
            <w:vAlign w:val="center"/>
            <w:tcMar>
              <w:top w:w="80" w:type="dxa"/>
              <w:start w:w="120" w:type="dxa"/>
              <w:bottom w:w="80" w:type="dxa"/>
              <w:end w:w="120" w:type="dxa"/>
            </w:tcMar>
          </w:tcPr>
          <w:p>
            <w:pPr>
              <w:spacing w:before="0" w:after="0" w:line="240" w:lineRule="auto"/>
            </w:pPr>
            <w:r>
              <w:rPr>
                <w:rFonts w:ascii="Times New Roman" w:hAnsi="Times New Roman"/>
                <w:sz w:val="15"/>
              </w:rPr>
              <w:t>rms/rms</w:t>
            </w:r>
          </w:p>
        </w:tc>
        <w:tc>
          <w:tcPr>
            <w:tcW w:type="dxa" w:w="800"/>
            <w:vAlign w:val="center"/>
            <w:tcMar>
              <w:top w:w="80" w:type="dxa"/>
              <w:start w:w="120" w:type="dxa"/>
              <w:bottom w:w="80" w:type="dxa"/>
              <w:end w:w="120" w:type="dxa"/>
            </w:tcMar>
          </w:tcPr>
          <w:p>
            <w:pPr>
              <w:spacing w:before="0" w:after="0" w:line="240" w:lineRule="auto"/>
            </w:pPr>
            <w:r>
              <w:rPr>
                <w:rFonts w:ascii="Times New Roman" w:hAnsi="Times New Roman"/>
                <w:sz w:val="15"/>
              </w:rPr>
              <w:t>C4</w:t>
            </w:r>
          </w:p>
        </w:tc>
        <w:tc>
          <w:tcPr>
            <w:tcW w:type="dxa" w:w="880"/>
            <w:vAlign w:val="center"/>
            <w:tcMar>
              <w:top w:w="80" w:type="dxa"/>
              <w:start w:w="120" w:type="dxa"/>
              <w:bottom w:w="80" w:type="dxa"/>
              <w:end w:w="120" w:type="dxa"/>
            </w:tcMar>
          </w:tcPr>
          <w:p>
            <w:pPr>
              <w:spacing w:before="0" w:after="0" w:line="240" w:lineRule="auto"/>
            </w:pPr>
            <w:r>
              <w:rPr>
                <w:rFonts w:ascii="Times New Roman" w:hAnsi="Times New Roman"/>
                <w:sz w:val="15"/>
              </w:rPr>
              <w:t>RMS</w:t>
            </w:r>
          </w:p>
        </w:tc>
        <w:tc>
          <w:tcPr>
            <w:tcW w:type="dxa" w:w="928"/>
            <w:vAlign w:val="center"/>
            <w:tcMar>
              <w:top w:w="80" w:type="dxa"/>
              <w:start w:w="120" w:type="dxa"/>
              <w:bottom w:w="80" w:type="dxa"/>
              <w:end w:w="120" w:type="dxa"/>
            </w:tcMar>
          </w:tcPr>
          <w:p>
            <w:pPr>
              <w:spacing w:before="0" w:after="0" w:line="240" w:lineRule="auto"/>
            </w:pPr>
            <w:r>
              <w:rPr>
                <w:rFonts w:ascii="Times New Roman" w:hAnsi="Times New Roman"/>
                <w:sz w:val="15"/>
              </w:rPr>
              <w:t>RMS</w:t>
            </w:r>
          </w:p>
        </w:tc>
        <w:tc>
          <w:tcPr>
            <w:tcW w:type="dxa" w:w="1200"/>
            <w:vAlign w:val="center"/>
            <w:tcMar>
              <w:top w:w="80" w:type="dxa"/>
              <w:start w:w="120" w:type="dxa"/>
              <w:bottom w:w="80" w:type="dxa"/>
              <w:end w:w="120" w:type="dxa"/>
            </w:tcMar>
          </w:tcPr>
          <w:p>
            <w:pPr>
              <w:spacing w:before="0" w:after="0" w:line="240" w:lineRule="auto"/>
            </w:pPr>
            <w:r>
              <w:rPr>
                <w:rFonts w:ascii="Times New Roman" w:hAnsi="Times New Roman"/>
                <w:sz w:val="15"/>
              </w:rPr>
              <w:t>6.207%</w:t>
            </w:r>
          </w:p>
        </w:tc>
        <w:tc>
          <w:tcPr>
            <w:tcW w:type="dxa" w:w="880"/>
            <w:vAlign w:val="center"/>
            <w:tcMar>
              <w:top w:w="80" w:type="dxa"/>
              <w:start w:w="120" w:type="dxa"/>
              <w:bottom w:w="80" w:type="dxa"/>
              <w:end w:w="120" w:type="dxa"/>
            </w:tcMar>
          </w:tcPr>
          <w:p>
            <w:pPr>
              <w:spacing w:before="0" w:after="0" w:line="240" w:lineRule="auto"/>
            </w:pPr>
            <w:r>
              <w:rPr>
                <w:rFonts w:ascii="Times New Roman" w:hAnsi="Times New Roman"/>
                <w:sz w:val="15"/>
              </w:rPr>
              <w:t>2288</w:t>
            </w:r>
          </w:p>
        </w:tc>
        <w:tc>
          <w:tcPr>
            <w:tcW w:type="dxa" w:w="1280"/>
            <w:vAlign w:val="center"/>
            <w:tcMar>
              <w:top w:w="80" w:type="dxa"/>
              <w:start w:w="120" w:type="dxa"/>
              <w:bottom w:w="80" w:type="dxa"/>
              <w:end w:w="120" w:type="dxa"/>
            </w:tcMar>
          </w:tcPr>
          <w:p>
            <w:pPr>
              <w:spacing w:before="0" w:after="0" w:line="240" w:lineRule="auto"/>
            </w:pPr>
            <w:r>
              <w:rPr>
                <w:rFonts w:ascii="Times New Roman" w:hAnsi="Times New Roman"/>
                <w:sz w:val="15"/>
              </w:rPr>
              <w:t>14.5643</w:t>
            </w:r>
          </w:p>
        </w:tc>
        <w:tc>
          <w:tcPr>
            <w:tcW w:type="dxa" w:w="1280"/>
            <w:vAlign w:val="center"/>
            <w:tcMar>
              <w:top w:w="80" w:type="dxa"/>
              <w:start w:w="120" w:type="dxa"/>
              <w:bottom w:w="80" w:type="dxa"/>
              <w:end w:w="120" w:type="dxa"/>
            </w:tcMar>
          </w:tcPr>
          <w:p>
            <w:pPr>
              <w:spacing w:before="0" w:after="0" w:line="240" w:lineRule="auto"/>
            </w:pPr>
            <w:r>
              <w:rPr>
                <w:rFonts w:ascii="Times New Roman" w:hAnsi="Times New Roman"/>
                <w:sz w:val="15"/>
              </w:rPr>
              <w:t>14.8411</w:t>
            </w:r>
          </w:p>
        </w:tc>
        <w:tc>
          <w:tcPr>
            <w:tcW w:type="dxa" w:w="1152"/>
            <w:vAlign w:val="center"/>
            <w:tcMar>
              <w:top w:w="80" w:type="dxa"/>
              <w:start w:w="120" w:type="dxa"/>
              <w:bottom w:w="80" w:type="dxa"/>
              <w:end w:w="120" w:type="dxa"/>
            </w:tcMar>
          </w:tcPr>
          <w:p>
            <w:pPr>
              <w:spacing w:before="0" w:after="0" w:line="240" w:lineRule="auto"/>
            </w:pPr>
            <w:r>
              <w:rPr>
                <w:rFonts w:ascii="Times New Roman" w:hAnsi="Times New Roman"/>
                <w:sz w:val="15"/>
              </w:rPr>
              <w:t>+1.901%</w:t>
            </w:r>
          </w:p>
        </w:tc>
      </w:tr>
      <w:tr>
        <w:tc>
          <w:tcPr>
            <w:tcW w:type="dxa" w:w="1680"/>
            <w:vAlign w:val="center"/>
            <w:tcMar>
              <w:top w:w="80" w:type="dxa"/>
              <w:start w:w="120" w:type="dxa"/>
              <w:bottom w:w="80" w:type="dxa"/>
              <w:end w:w="120" w:type="dxa"/>
            </w:tcMar>
          </w:tcPr>
          <w:p>
            <w:pPr>
              <w:spacing w:before="0" w:after="0" w:line="240" w:lineRule="auto"/>
            </w:pPr>
            <w:r>
              <w:rPr>
                <w:rFonts w:ascii="Times New Roman" w:hAnsi="Times New Roman"/>
                <w:sz w:val="15"/>
              </w:rPr>
              <w:t>rms/act</w:t>
            </w:r>
          </w:p>
        </w:tc>
        <w:tc>
          <w:tcPr>
            <w:tcW w:type="dxa" w:w="800"/>
            <w:vAlign w:val="center"/>
            <w:tcMar>
              <w:top w:w="80" w:type="dxa"/>
              <w:start w:w="120" w:type="dxa"/>
              <w:bottom w:w="80" w:type="dxa"/>
              <w:end w:w="120" w:type="dxa"/>
            </w:tcMar>
          </w:tcPr>
          <w:p>
            <w:pPr>
              <w:spacing w:before="0" w:after="0" w:line="240" w:lineRule="auto"/>
            </w:pPr>
            <w:r>
              <w:rPr>
                <w:rFonts w:ascii="Times New Roman" w:hAnsi="Times New Roman"/>
                <w:sz w:val="15"/>
              </w:rPr>
              <w:t>C4</w:t>
            </w:r>
          </w:p>
        </w:tc>
        <w:tc>
          <w:tcPr>
            <w:tcW w:type="dxa" w:w="880"/>
            <w:vAlign w:val="center"/>
            <w:tcMar>
              <w:top w:w="80" w:type="dxa"/>
              <w:start w:w="120" w:type="dxa"/>
              <w:bottom w:w="80" w:type="dxa"/>
              <w:end w:w="120" w:type="dxa"/>
            </w:tcMar>
          </w:tcPr>
          <w:p>
            <w:pPr>
              <w:spacing w:before="0" w:after="0" w:line="240" w:lineRule="auto"/>
            </w:pPr>
            <w:r>
              <w:rPr>
                <w:rFonts w:ascii="Times New Roman" w:hAnsi="Times New Roman"/>
                <w:sz w:val="15"/>
              </w:rPr>
              <w:t>RMS</w:t>
            </w:r>
          </w:p>
        </w:tc>
        <w:tc>
          <w:tcPr>
            <w:tcW w:type="dxa" w:w="928"/>
            <w:vAlign w:val="center"/>
            <w:tcMar>
              <w:top w:w="80" w:type="dxa"/>
              <w:start w:w="120" w:type="dxa"/>
              <w:bottom w:w="80" w:type="dxa"/>
              <w:end w:w="120" w:type="dxa"/>
            </w:tcMar>
          </w:tcPr>
          <w:p>
            <w:pPr>
              <w:spacing w:before="0" w:after="0" w:line="240" w:lineRule="auto"/>
            </w:pPr>
            <w:r>
              <w:rPr>
                <w:rFonts w:ascii="Times New Roman" w:hAnsi="Times New Roman"/>
                <w:sz w:val="15"/>
              </w:rPr>
              <w:t>Act</w:t>
            </w:r>
          </w:p>
        </w:tc>
        <w:tc>
          <w:tcPr>
            <w:tcW w:type="dxa" w:w="1200"/>
            <w:vAlign w:val="center"/>
            <w:tcMar>
              <w:top w:w="80" w:type="dxa"/>
              <w:start w:w="120" w:type="dxa"/>
              <w:bottom w:w="80" w:type="dxa"/>
              <w:end w:w="120" w:type="dxa"/>
            </w:tcMar>
          </w:tcPr>
          <w:p>
            <w:pPr>
              <w:spacing w:before="0" w:after="0" w:line="240" w:lineRule="auto"/>
            </w:pPr>
            <w:r>
              <w:rPr>
                <w:rFonts w:ascii="Times New Roman" w:hAnsi="Times New Roman"/>
                <w:sz w:val="15"/>
              </w:rPr>
              <w:t>6.207%</w:t>
            </w:r>
          </w:p>
        </w:tc>
        <w:tc>
          <w:tcPr>
            <w:tcW w:type="dxa" w:w="880"/>
            <w:vAlign w:val="center"/>
            <w:tcMar>
              <w:top w:w="80" w:type="dxa"/>
              <w:start w:w="120" w:type="dxa"/>
              <w:bottom w:w="80" w:type="dxa"/>
              <w:end w:w="120" w:type="dxa"/>
            </w:tcMar>
          </w:tcPr>
          <w:p>
            <w:pPr>
              <w:spacing w:before="0" w:after="0" w:line="240" w:lineRule="auto"/>
            </w:pPr>
            <w:r>
              <w:rPr>
                <w:rFonts w:ascii="Times New Roman" w:hAnsi="Times New Roman"/>
                <w:sz w:val="15"/>
              </w:rPr>
              <w:t>2288</w:t>
            </w:r>
          </w:p>
        </w:tc>
        <w:tc>
          <w:tcPr>
            <w:tcW w:type="dxa" w:w="1280"/>
            <w:vAlign w:val="center"/>
            <w:tcMar>
              <w:top w:w="80" w:type="dxa"/>
              <w:start w:w="120" w:type="dxa"/>
              <w:bottom w:w="80" w:type="dxa"/>
              <w:end w:w="120" w:type="dxa"/>
            </w:tcMar>
          </w:tcPr>
          <w:p>
            <w:pPr>
              <w:spacing w:before="0" w:after="0" w:line="240" w:lineRule="auto"/>
            </w:pPr>
            <w:r>
              <w:rPr>
                <w:rFonts w:ascii="Times New Roman" w:hAnsi="Times New Roman"/>
                <w:sz w:val="15"/>
              </w:rPr>
              <w:t>14.5643</w:t>
            </w:r>
          </w:p>
        </w:tc>
        <w:tc>
          <w:tcPr>
            <w:tcW w:type="dxa" w:w="1280"/>
            <w:vAlign w:val="center"/>
            <w:tcMar>
              <w:top w:w="80" w:type="dxa"/>
              <w:start w:w="120" w:type="dxa"/>
              <w:bottom w:w="80" w:type="dxa"/>
              <w:end w:w="120" w:type="dxa"/>
            </w:tcMar>
          </w:tcPr>
          <w:p>
            <w:pPr>
              <w:spacing w:before="0" w:after="0" w:line="240" w:lineRule="auto"/>
            </w:pPr>
            <w:r>
              <w:rPr>
                <w:rFonts w:ascii="Times New Roman" w:hAnsi="Times New Roman"/>
                <w:sz w:val="15"/>
              </w:rPr>
              <w:t>14.9298</w:t>
            </w:r>
          </w:p>
        </w:tc>
        <w:tc>
          <w:tcPr>
            <w:tcW w:type="dxa" w:w="1152"/>
            <w:vAlign w:val="center"/>
            <w:tcMar>
              <w:top w:w="80" w:type="dxa"/>
              <w:start w:w="120" w:type="dxa"/>
              <w:bottom w:w="80" w:type="dxa"/>
              <w:end w:w="120" w:type="dxa"/>
            </w:tcMar>
          </w:tcPr>
          <w:p>
            <w:pPr>
              <w:spacing w:before="0" w:after="0" w:line="240" w:lineRule="auto"/>
            </w:pPr>
            <w:r>
              <w:rPr>
                <w:rFonts w:ascii="Times New Roman" w:hAnsi="Times New Roman"/>
                <w:sz w:val="15"/>
              </w:rPr>
              <w:t>+2.510%</w:t>
            </w:r>
          </w:p>
        </w:tc>
      </w:tr>
      <w:tr>
        <w:tc>
          <w:tcPr>
            <w:tcW w:type="dxa" w:w="1680"/>
            <w:vAlign w:val="center"/>
            <w:tcMar>
              <w:top w:w="80" w:type="dxa"/>
              <w:start w:w="120" w:type="dxa"/>
              <w:bottom w:w="80" w:type="dxa"/>
              <w:end w:w="120" w:type="dxa"/>
            </w:tcMar>
          </w:tcPr>
          <w:p>
            <w:pPr>
              <w:spacing w:before="0" w:after="0" w:line="240" w:lineRule="auto"/>
            </w:pPr>
            <w:r>
              <w:rPr>
                <w:rFonts w:ascii="Times New Roman" w:hAnsi="Times New Roman"/>
                <w:sz w:val="15"/>
              </w:rPr>
              <w:t>rms/ellip</w:t>
            </w:r>
          </w:p>
        </w:tc>
        <w:tc>
          <w:tcPr>
            <w:tcW w:type="dxa" w:w="800"/>
            <w:vAlign w:val="center"/>
            <w:tcMar>
              <w:top w:w="80" w:type="dxa"/>
              <w:start w:w="120" w:type="dxa"/>
              <w:bottom w:w="80" w:type="dxa"/>
              <w:end w:w="120" w:type="dxa"/>
            </w:tcMar>
          </w:tcPr>
          <w:p>
            <w:pPr>
              <w:spacing w:before="0" w:after="0" w:line="240" w:lineRule="auto"/>
            </w:pPr>
            <w:r>
              <w:rPr>
                <w:rFonts w:ascii="Times New Roman" w:hAnsi="Times New Roman"/>
                <w:sz w:val="15"/>
              </w:rPr>
              <w:t>C4</w:t>
            </w:r>
          </w:p>
        </w:tc>
        <w:tc>
          <w:tcPr>
            <w:tcW w:type="dxa" w:w="880"/>
            <w:vAlign w:val="center"/>
            <w:tcMar>
              <w:top w:w="80" w:type="dxa"/>
              <w:start w:w="120" w:type="dxa"/>
              <w:bottom w:w="80" w:type="dxa"/>
              <w:end w:w="120" w:type="dxa"/>
            </w:tcMar>
          </w:tcPr>
          <w:p>
            <w:pPr>
              <w:spacing w:before="0" w:after="0" w:line="240" w:lineRule="auto"/>
            </w:pPr>
            <w:r>
              <w:rPr>
                <w:rFonts w:ascii="Times New Roman" w:hAnsi="Times New Roman"/>
                <w:sz w:val="15"/>
              </w:rPr>
              <w:t>RMS</w:t>
            </w:r>
          </w:p>
        </w:tc>
        <w:tc>
          <w:tcPr>
            <w:tcW w:type="dxa" w:w="928"/>
            <w:vAlign w:val="center"/>
            <w:tcMar>
              <w:top w:w="80" w:type="dxa"/>
              <w:start w:w="120" w:type="dxa"/>
              <w:bottom w:w="80" w:type="dxa"/>
              <w:end w:w="120" w:type="dxa"/>
            </w:tcMar>
          </w:tcPr>
          <w:p>
            <w:pPr>
              <w:spacing w:before="0" w:after="0" w:line="240" w:lineRule="auto"/>
            </w:pPr>
            <w:r>
              <w:rPr>
                <w:rFonts w:ascii="Times New Roman" w:hAnsi="Times New Roman"/>
                <w:sz w:val="15"/>
              </w:rPr>
              <w:t>Ellip</w:t>
            </w:r>
          </w:p>
        </w:tc>
        <w:tc>
          <w:tcPr>
            <w:tcW w:type="dxa" w:w="1200"/>
            <w:vAlign w:val="center"/>
            <w:tcMar>
              <w:top w:w="80" w:type="dxa"/>
              <w:start w:w="120" w:type="dxa"/>
              <w:bottom w:w="80" w:type="dxa"/>
              <w:end w:w="120" w:type="dxa"/>
            </w:tcMar>
          </w:tcPr>
          <w:p>
            <w:pPr>
              <w:spacing w:before="0" w:after="0" w:line="240" w:lineRule="auto"/>
            </w:pPr>
            <w:r>
              <w:rPr>
                <w:rFonts w:ascii="Times New Roman" w:hAnsi="Times New Roman"/>
                <w:sz w:val="15"/>
              </w:rPr>
              <w:t>6.207%</w:t>
            </w:r>
          </w:p>
        </w:tc>
        <w:tc>
          <w:tcPr>
            <w:tcW w:type="dxa" w:w="880"/>
            <w:vAlign w:val="center"/>
            <w:tcMar>
              <w:top w:w="80" w:type="dxa"/>
              <w:start w:w="120" w:type="dxa"/>
              <w:bottom w:w="80" w:type="dxa"/>
              <w:end w:w="120" w:type="dxa"/>
            </w:tcMar>
          </w:tcPr>
          <w:p>
            <w:pPr>
              <w:spacing w:before="0" w:after="0" w:line="240" w:lineRule="auto"/>
            </w:pPr>
            <w:r>
              <w:rPr>
                <w:rFonts w:ascii="Times New Roman" w:hAnsi="Times New Roman"/>
                <w:sz w:val="15"/>
              </w:rPr>
              <w:t>2288</w:t>
            </w:r>
          </w:p>
        </w:tc>
        <w:tc>
          <w:tcPr>
            <w:tcW w:type="dxa" w:w="1280"/>
            <w:vAlign w:val="center"/>
            <w:tcMar>
              <w:top w:w="80" w:type="dxa"/>
              <w:start w:w="120" w:type="dxa"/>
              <w:bottom w:w="80" w:type="dxa"/>
              <w:end w:w="120" w:type="dxa"/>
            </w:tcMar>
          </w:tcPr>
          <w:p>
            <w:pPr>
              <w:spacing w:before="0" w:after="0" w:line="240" w:lineRule="auto"/>
            </w:pPr>
            <w:r>
              <w:rPr>
                <w:rFonts w:ascii="Times New Roman" w:hAnsi="Times New Roman"/>
                <w:sz w:val="15"/>
              </w:rPr>
              <w:t>14.5643</w:t>
            </w:r>
          </w:p>
        </w:tc>
        <w:tc>
          <w:tcPr>
            <w:tcW w:type="dxa" w:w="1280"/>
            <w:vAlign w:val="center"/>
            <w:tcMar>
              <w:top w:w="80" w:type="dxa"/>
              <w:start w:w="120" w:type="dxa"/>
              <w:bottom w:w="80" w:type="dxa"/>
              <w:end w:w="120" w:type="dxa"/>
            </w:tcMar>
          </w:tcPr>
          <w:p>
            <w:pPr>
              <w:spacing w:before="0" w:after="0" w:line="240" w:lineRule="auto"/>
            </w:pPr>
            <w:r>
              <w:rPr>
                <w:rFonts w:ascii="Times New Roman" w:hAnsi="Times New Roman"/>
                <w:sz w:val="15"/>
              </w:rPr>
              <w:t>14.8078</w:t>
            </w:r>
          </w:p>
        </w:tc>
        <w:tc>
          <w:tcPr>
            <w:tcW w:type="dxa" w:w="1152"/>
            <w:vAlign w:val="center"/>
            <w:tcMar>
              <w:top w:w="80" w:type="dxa"/>
              <w:start w:w="120" w:type="dxa"/>
              <w:bottom w:w="80" w:type="dxa"/>
              <w:end w:w="120" w:type="dxa"/>
            </w:tcMar>
          </w:tcPr>
          <w:p>
            <w:pPr>
              <w:spacing w:before="0" w:after="0" w:line="240" w:lineRule="auto"/>
            </w:pPr>
            <w:r>
              <w:rPr>
                <w:rFonts w:ascii="Times New Roman" w:hAnsi="Times New Roman"/>
                <w:sz w:val="15"/>
              </w:rPr>
              <w:t>+1.672%</w:t>
            </w:r>
          </w:p>
        </w:tc>
      </w:tr>
      <w:tr>
        <w:tc>
          <w:tcPr>
            <w:tcW w:type="dxa" w:w="1680"/>
            <w:vAlign w:val="center"/>
            <w:tcMar>
              <w:top w:w="80" w:type="dxa"/>
              <w:start w:w="120" w:type="dxa"/>
              <w:bottom w:w="80" w:type="dxa"/>
              <w:end w:w="120" w:type="dxa"/>
            </w:tcMar>
          </w:tcPr>
          <w:p>
            <w:pPr>
              <w:spacing w:before="0" w:after="0" w:line="240" w:lineRule="auto"/>
            </w:pPr>
            <w:r>
              <w:rPr>
                <w:rFonts w:ascii="Times New Roman" w:hAnsi="Times New Roman"/>
                <w:sz w:val="15"/>
              </w:rPr>
              <w:t>down/ellip</w:t>
            </w:r>
          </w:p>
        </w:tc>
        <w:tc>
          <w:tcPr>
            <w:tcW w:type="dxa" w:w="800"/>
            <w:vAlign w:val="center"/>
            <w:tcMar>
              <w:top w:w="80" w:type="dxa"/>
              <w:start w:w="120" w:type="dxa"/>
              <w:bottom w:w="80" w:type="dxa"/>
              <w:end w:w="120" w:type="dxa"/>
            </w:tcMar>
          </w:tcPr>
          <w:p>
            <w:pPr>
              <w:spacing w:before="0" w:after="0" w:line="240" w:lineRule="auto"/>
            </w:pPr>
            <w:r>
              <w:rPr>
                <w:rFonts w:ascii="Times New Roman" w:hAnsi="Times New Roman"/>
                <w:sz w:val="15"/>
              </w:rPr>
              <w:t>C4</w:t>
            </w:r>
          </w:p>
        </w:tc>
        <w:tc>
          <w:tcPr>
            <w:tcW w:type="dxa" w:w="880"/>
            <w:vAlign w:val="center"/>
            <w:tcMar>
              <w:top w:w="80" w:type="dxa"/>
              <w:start w:w="120" w:type="dxa"/>
              <w:bottom w:w="80" w:type="dxa"/>
              <w:end w:w="120" w:type="dxa"/>
            </w:tcMar>
          </w:tcPr>
          <w:p>
            <w:pPr>
              <w:spacing w:before="0" w:after="0" w:line="240" w:lineRule="auto"/>
            </w:pPr>
            <w:r>
              <w:rPr>
                <w:rFonts w:ascii="Times New Roman" w:hAnsi="Times New Roman"/>
                <w:sz w:val="15"/>
              </w:rPr>
              <w:t>Down</w:t>
            </w:r>
          </w:p>
        </w:tc>
        <w:tc>
          <w:tcPr>
            <w:tcW w:type="dxa" w:w="928"/>
            <w:vAlign w:val="center"/>
            <w:tcMar>
              <w:top w:w="80" w:type="dxa"/>
              <w:start w:w="120" w:type="dxa"/>
              <w:bottom w:w="80" w:type="dxa"/>
              <w:end w:w="120" w:type="dxa"/>
            </w:tcMar>
          </w:tcPr>
          <w:p>
            <w:pPr>
              <w:spacing w:before="0" w:after="0" w:line="240" w:lineRule="auto"/>
            </w:pPr>
            <w:r>
              <w:rPr>
                <w:rFonts w:ascii="Times New Roman" w:hAnsi="Times New Roman"/>
                <w:sz w:val="15"/>
              </w:rPr>
              <w:t>Ellip</w:t>
            </w:r>
          </w:p>
        </w:tc>
        <w:tc>
          <w:tcPr>
            <w:tcW w:type="dxa" w:w="1200"/>
            <w:vAlign w:val="center"/>
            <w:tcMar>
              <w:top w:w="80" w:type="dxa"/>
              <w:start w:w="120" w:type="dxa"/>
              <w:bottom w:w="80" w:type="dxa"/>
              <w:end w:w="120" w:type="dxa"/>
            </w:tcMar>
          </w:tcPr>
          <w:p>
            <w:pPr>
              <w:spacing w:before="0" w:after="0" w:line="240" w:lineRule="auto"/>
            </w:pPr>
            <w:r>
              <w:rPr>
                <w:rFonts w:ascii="Times New Roman" w:hAnsi="Times New Roman"/>
                <w:sz w:val="15"/>
              </w:rPr>
              <w:t>6.120%</w:t>
            </w:r>
          </w:p>
        </w:tc>
        <w:tc>
          <w:tcPr>
            <w:tcW w:type="dxa" w:w="880"/>
            <w:vAlign w:val="center"/>
            <w:tcMar>
              <w:top w:w="80" w:type="dxa"/>
              <w:start w:w="120" w:type="dxa"/>
              <w:bottom w:w="80" w:type="dxa"/>
              <w:end w:w="120" w:type="dxa"/>
            </w:tcMar>
          </w:tcPr>
          <w:p>
            <w:pPr>
              <w:spacing w:before="0" w:after="0" w:line="240" w:lineRule="auto"/>
            </w:pPr>
            <w:r>
              <w:rPr>
                <w:rFonts w:ascii="Times New Roman" w:hAnsi="Times New Roman"/>
                <w:sz w:val="15"/>
              </w:rPr>
              <w:t>2256</w:t>
            </w:r>
          </w:p>
        </w:tc>
        <w:tc>
          <w:tcPr>
            <w:tcW w:type="dxa" w:w="1280"/>
            <w:vAlign w:val="center"/>
            <w:tcMar>
              <w:top w:w="80" w:type="dxa"/>
              <w:start w:w="120" w:type="dxa"/>
              <w:bottom w:w="80" w:type="dxa"/>
              <w:end w:w="120" w:type="dxa"/>
            </w:tcMar>
          </w:tcPr>
          <w:p>
            <w:pPr>
              <w:spacing w:before="0" w:after="0" w:line="240" w:lineRule="auto"/>
            </w:pPr>
            <w:r>
              <w:rPr>
                <w:rFonts w:ascii="Times New Roman" w:hAnsi="Times New Roman"/>
                <w:sz w:val="15"/>
              </w:rPr>
              <w:t>14.5643</w:t>
            </w:r>
          </w:p>
        </w:tc>
        <w:tc>
          <w:tcPr>
            <w:tcW w:type="dxa" w:w="1280"/>
            <w:vAlign w:val="center"/>
            <w:tcMar>
              <w:top w:w="80" w:type="dxa"/>
              <w:start w:w="120" w:type="dxa"/>
              <w:bottom w:w="80" w:type="dxa"/>
              <w:end w:w="120" w:type="dxa"/>
            </w:tcMar>
          </w:tcPr>
          <w:p>
            <w:pPr>
              <w:spacing w:before="0" w:after="0" w:line="240" w:lineRule="auto"/>
            </w:pPr>
            <w:r>
              <w:rPr>
                <w:rFonts w:ascii="Times New Roman" w:hAnsi="Times New Roman"/>
                <w:sz w:val="15"/>
              </w:rPr>
              <w:t>14.8068</w:t>
            </w:r>
          </w:p>
        </w:tc>
        <w:tc>
          <w:tcPr>
            <w:tcW w:type="dxa" w:w="1152"/>
            <w:vAlign w:val="center"/>
            <w:tcMar>
              <w:top w:w="80" w:type="dxa"/>
              <w:start w:w="120" w:type="dxa"/>
              <w:bottom w:w="80" w:type="dxa"/>
              <w:end w:w="120" w:type="dxa"/>
            </w:tcMar>
          </w:tcPr>
          <w:p>
            <w:pPr>
              <w:spacing w:before="0" w:after="0" w:line="240" w:lineRule="auto"/>
            </w:pPr>
            <w:r>
              <w:rPr>
                <w:rFonts w:ascii="Times New Roman" w:hAnsi="Times New Roman"/>
                <w:sz w:val="15"/>
              </w:rPr>
              <w:t>+1.665%</w:t>
            </w:r>
          </w:p>
        </w:tc>
      </w:tr>
    </w:tbl>
    <w:p>
      <w:pPr>
        <w:pStyle w:val="Caption"/>
      </w:pPr>
      <w:r>
        <w:t>Figure V3-1. Target-6 relative perplexity increase under a fixed RMSNorm allocation.</w:t>
      </w:r>
    </w:p>
    <w:p>
      <w:pPr>
        <w:jc w:val="center"/>
      </w:pPr>
      <w:r>
        <w:drawing>
          <wp:inline xmlns:a="http://schemas.openxmlformats.org/drawingml/2006/main" xmlns:pic="http://schemas.openxmlformats.org/drawingml/2006/picture">
            <wp:extent cx="5669280" cy="3325978"/>
            <wp:docPr id="4" name="Picture 4"/>
            <wp:cNvGraphicFramePr>
              <a:graphicFrameLocks noChangeAspect="1"/>
            </wp:cNvGraphicFramePr>
            <a:graphic>
              <a:graphicData uri="http://schemas.openxmlformats.org/drawingml/2006/picture">
                <pic:pic>
                  <pic:nvPicPr>
                    <pic:cNvPr id="0" name="target6_ranking_comparison.png"/>
                    <pic:cNvPicPr/>
                  </pic:nvPicPr>
                  <pic:blipFill>
                    <a:blip r:embed="rId13"/>
                    <a:stretch>
                      <a:fillRect/>
                    </a:stretch>
                  </pic:blipFill>
                  <pic:spPr>
                    <a:xfrm>
                      <a:off x="0" y="0"/>
                      <a:ext cx="5669280" cy="3325978"/>
                    </a:xfrm>
                    <a:prstGeom prst="rect"/>
                  </pic:spPr>
                </pic:pic>
              </a:graphicData>
            </a:graphic>
          </wp:inline>
        </w:drawing>
      </w:r>
    </w:p>
    <w:p>
      <w:pPr>
        <w:pStyle w:val="Heading2"/>
      </w:pPr>
      <w:r>
        <w:t>7.4 Paired Statistical Comparisons</w:t>
      </w:r>
    </w:p>
    <w:p>
      <w:pPr/>
      <w:r>
        <w:t>Per-document NLL differences were paired because all rankings were evaluated on the same documents. Negative ellipsoid-minus-competitor NLL means ellipsoid ranking is better. All four 95% bootstrap intervals exclude zero. The C4 advantage over the original bound is smaller than the other effects but remains negative in the reported interval.</w:t>
      </w:r>
    </w:p>
    <w:p>
      <w:pPr>
        <w:pStyle w:val="Caption"/>
      </w:pPr>
      <w:r>
        <w:t>Table V3-4. Paired target-6 ellipsoid-versus-competitor NLL comparisons.</w:t>
      </w:r>
    </w:p>
    <w:tbl>
      <w:tblPr>
        <w:tblStyle w:val="TableGrid"/>
        <w:tblW w:type="dxa" w:w="10080"/>
        <w:tblLayout w:type="fixed"/>
        <w:tblLook w:firstColumn="1" w:firstRow="1" w:lastColumn="0" w:lastRow="0" w:noHBand="0" w:noVBand="1" w:val="04A0"/>
        <w:tblInd w:w="120" w:type="dxa"/>
      </w:tblPr>
      <w:tblGrid>
        <w:gridCol w:w="1512"/>
        <w:gridCol w:w="1512"/>
        <w:gridCol w:w="1296"/>
        <w:gridCol w:w="1296"/>
        <w:gridCol w:w="1296"/>
        <w:gridCol w:w="936"/>
        <w:gridCol w:w="1152"/>
        <w:gridCol w:w="1080"/>
      </w:tblGrid>
      <w:tr>
        <w:trPr>
          <w:tblHeader w:val="true"/>
        </w:trPr>
        <w:tc>
          <w:tcPr>
            <w:tcW w:type="dxa" w:w="1512"/>
            <w:vAlign w:val="center"/>
            <w:tcMar>
              <w:top w:w="80" w:type="dxa"/>
              <w:start w:w="120" w:type="dxa"/>
              <w:bottom w:w="80" w:type="dxa"/>
              <w:end w:w="120" w:type="dxa"/>
            </w:tcMar>
            <w:shd w:fill="4F81BD"/>
          </w:tcPr>
          <w:p>
            <w:pPr>
              <w:spacing w:before="0" w:after="0" w:line="240" w:lineRule="auto"/>
              <w:jc w:val="center"/>
            </w:pPr>
            <w:r>
              <w:rPr>
                <w:rFonts w:ascii="Times New Roman" w:hAnsi="Times New Roman"/>
                <w:b/>
                <w:color w:val="FFFFFF"/>
                <w:sz w:val="16"/>
              </w:rPr>
              <w:t>Dataset</w:t>
            </w:r>
          </w:p>
        </w:tc>
        <w:tc>
          <w:tcPr>
            <w:tcW w:type="dxa" w:w="1512"/>
            <w:vAlign w:val="center"/>
            <w:tcMar>
              <w:top w:w="80" w:type="dxa"/>
              <w:start w:w="120" w:type="dxa"/>
              <w:bottom w:w="80" w:type="dxa"/>
              <w:end w:w="120" w:type="dxa"/>
            </w:tcMar>
            <w:shd w:fill="4F81BD"/>
          </w:tcPr>
          <w:p>
            <w:pPr>
              <w:spacing w:before="0" w:after="0" w:line="240" w:lineRule="auto"/>
              <w:jc w:val="center"/>
            </w:pPr>
            <w:r>
              <w:rPr>
                <w:rFonts w:ascii="Times New Roman" w:hAnsi="Times New Roman"/>
                <w:b/>
                <w:color w:val="FFFFFF"/>
                <w:sz w:val="16"/>
              </w:rPr>
              <w:t>Competitor</w:t>
            </w:r>
          </w:p>
        </w:tc>
        <w:tc>
          <w:tcPr>
            <w:tcW w:type="dxa" w:w="1296"/>
            <w:vAlign w:val="center"/>
            <w:tcMar>
              <w:top w:w="80" w:type="dxa"/>
              <w:start w:w="120" w:type="dxa"/>
              <w:bottom w:w="80" w:type="dxa"/>
              <w:end w:w="120" w:type="dxa"/>
            </w:tcMar>
            <w:shd w:fill="4F81BD"/>
          </w:tcPr>
          <w:p>
            <w:pPr>
              <w:spacing w:before="0" w:after="0" w:line="240" w:lineRule="auto"/>
              <w:jc w:val="center"/>
            </w:pPr>
            <w:r>
              <w:rPr>
                <w:rFonts w:ascii="Times New Roman" w:hAnsi="Times New Roman"/>
                <w:b/>
                <w:color w:val="FFFFFF"/>
                <w:sz w:val="16"/>
              </w:rPr>
              <w:t>Mean NLL Δ</w:t>
            </w:r>
          </w:p>
        </w:tc>
        <w:tc>
          <w:tcPr>
            <w:tcW w:type="dxa" w:w="1296"/>
            <w:vAlign w:val="center"/>
            <w:tcMar>
              <w:top w:w="80" w:type="dxa"/>
              <w:start w:w="120" w:type="dxa"/>
              <w:bottom w:w="80" w:type="dxa"/>
              <w:end w:w="120" w:type="dxa"/>
            </w:tcMar>
            <w:shd w:fill="4F81BD"/>
          </w:tcPr>
          <w:p>
            <w:pPr>
              <w:spacing w:before="0" w:after="0" w:line="240" w:lineRule="auto"/>
              <w:jc w:val="center"/>
            </w:pPr>
            <w:r>
              <w:rPr>
                <w:rFonts w:ascii="Times New Roman" w:hAnsi="Times New Roman"/>
                <w:b/>
                <w:color w:val="FFFFFF"/>
                <w:sz w:val="16"/>
              </w:rPr>
              <w:t>95% lower</w:t>
            </w:r>
          </w:p>
        </w:tc>
        <w:tc>
          <w:tcPr>
            <w:tcW w:type="dxa" w:w="1296"/>
            <w:vAlign w:val="center"/>
            <w:tcMar>
              <w:top w:w="80" w:type="dxa"/>
              <w:start w:w="120" w:type="dxa"/>
              <w:bottom w:w="80" w:type="dxa"/>
              <w:end w:w="120" w:type="dxa"/>
            </w:tcMar>
            <w:shd w:fill="4F81BD"/>
          </w:tcPr>
          <w:p>
            <w:pPr>
              <w:spacing w:before="0" w:after="0" w:line="240" w:lineRule="auto"/>
              <w:jc w:val="center"/>
            </w:pPr>
            <w:r>
              <w:rPr>
                <w:rFonts w:ascii="Times New Roman" w:hAnsi="Times New Roman"/>
                <w:b/>
                <w:color w:val="FFFFFF"/>
                <w:sz w:val="16"/>
              </w:rPr>
              <w:t>95% upper</w:t>
            </w:r>
          </w:p>
        </w:tc>
        <w:tc>
          <w:tcPr>
            <w:tcW w:type="dxa" w:w="936"/>
            <w:vAlign w:val="center"/>
            <w:tcMar>
              <w:top w:w="80" w:type="dxa"/>
              <w:start w:w="120" w:type="dxa"/>
              <w:bottom w:w="80" w:type="dxa"/>
              <w:end w:w="120" w:type="dxa"/>
            </w:tcMar>
            <w:shd w:fill="4F81BD"/>
          </w:tcPr>
          <w:p>
            <w:pPr>
              <w:spacing w:before="0" w:after="0" w:line="240" w:lineRule="auto"/>
              <w:jc w:val="center"/>
            </w:pPr>
            <w:r>
              <w:rPr>
                <w:rFonts w:ascii="Times New Roman" w:hAnsi="Times New Roman"/>
                <w:b/>
                <w:color w:val="FFFFFF"/>
                <w:sz w:val="16"/>
              </w:rPr>
              <w:t>Docs</w:t>
            </w:r>
          </w:p>
        </w:tc>
        <w:tc>
          <w:tcPr>
            <w:tcW w:type="dxa" w:w="1152"/>
            <w:vAlign w:val="center"/>
            <w:tcMar>
              <w:top w:w="80" w:type="dxa"/>
              <w:start w:w="120" w:type="dxa"/>
              <w:bottom w:w="80" w:type="dxa"/>
              <w:end w:w="120" w:type="dxa"/>
            </w:tcMar>
            <w:shd w:fill="4F81BD"/>
          </w:tcPr>
          <w:p>
            <w:pPr>
              <w:spacing w:before="0" w:after="0" w:line="240" w:lineRule="auto"/>
              <w:jc w:val="center"/>
            </w:pPr>
            <w:r>
              <w:rPr>
                <w:rFonts w:ascii="Times New Roman" w:hAnsi="Times New Roman"/>
                <w:b/>
                <w:color w:val="FFFFFF"/>
                <w:sz w:val="16"/>
              </w:rPr>
              <w:t>Tokens</w:t>
            </w:r>
          </w:p>
        </w:tc>
        <w:tc>
          <w:tcPr>
            <w:tcW w:type="dxa" w:w="1080"/>
            <w:vAlign w:val="center"/>
            <w:tcMar>
              <w:top w:w="80" w:type="dxa"/>
              <w:start w:w="120" w:type="dxa"/>
              <w:bottom w:w="80" w:type="dxa"/>
              <w:end w:w="120" w:type="dxa"/>
            </w:tcMar>
            <w:shd w:fill="4F81BD"/>
          </w:tcPr>
          <w:p>
            <w:pPr>
              <w:spacing w:before="0" w:after="0" w:line="240" w:lineRule="auto"/>
              <w:jc w:val="center"/>
            </w:pPr>
            <w:r>
              <w:rPr>
                <w:rFonts w:ascii="Times New Roman" w:hAnsi="Times New Roman"/>
                <w:b/>
                <w:color w:val="FFFFFF"/>
                <w:sz w:val="16"/>
              </w:rPr>
              <w:t>Resamples</w:t>
            </w:r>
          </w:p>
        </w:tc>
      </w:tr>
      <w:tr>
        <w:tc>
          <w:tcPr>
            <w:tcW w:type="dxa" w:w="1512"/>
            <w:vAlign w:val="center"/>
            <w:tcMar>
              <w:top w:w="80" w:type="dxa"/>
              <w:start w:w="120" w:type="dxa"/>
              <w:bottom w:w="80" w:type="dxa"/>
              <w:end w:w="120" w:type="dxa"/>
            </w:tcMar>
          </w:tcPr>
          <w:p>
            <w:pPr>
              <w:spacing w:before="0" w:after="0" w:line="240" w:lineRule="auto"/>
            </w:pPr>
            <w:r>
              <w:rPr>
                <w:rFonts w:ascii="Times New Roman" w:hAnsi="Times New Roman"/>
                <w:sz w:val="16"/>
              </w:rPr>
              <w:t>WikiText-2</w:t>
            </w:r>
          </w:p>
        </w:tc>
        <w:tc>
          <w:tcPr>
            <w:tcW w:type="dxa" w:w="1512"/>
            <w:vAlign w:val="center"/>
            <w:tcMar>
              <w:top w:w="80" w:type="dxa"/>
              <w:start w:w="120" w:type="dxa"/>
              <w:bottom w:w="80" w:type="dxa"/>
              <w:end w:w="120" w:type="dxa"/>
            </w:tcMar>
          </w:tcPr>
          <w:p>
            <w:pPr>
              <w:spacing w:before="0" w:after="0" w:line="240" w:lineRule="auto"/>
            </w:pPr>
            <w:r>
              <w:rPr>
                <w:rFonts w:ascii="Times New Roman" w:hAnsi="Times New Roman"/>
                <w:sz w:val="16"/>
              </w:rPr>
              <w:t>Original bound</w:t>
            </w:r>
          </w:p>
        </w:tc>
        <w:tc>
          <w:tcPr>
            <w:tcW w:type="dxa" w:w="1296"/>
            <w:vAlign w:val="center"/>
            <w:tcMar>
              <w:top w:w="80" w:type="dxa"/>
              <w:start w:w="120" w:type="dxa"/>
              <w:bottom w:w="80" w:type="dxa"/>
              <w:end w:w="120" w:type="dxa"/>
            </w:tcMar>
          </w:tcPr>
          <w:p>
            <w:pPr>
              <w:spacing w:before="0" w:after="0" w:line="240" w:lineRule="auto"/>
            </w:pPr>
            <w:r>
              <w:rPr>
                <w:rFonts w:ascii="Times New Roman" w:hAnsi="Times New Roman"/>
                <w:sz w:val="16"/>
              </w:rPr>
              <w:t>−0.023276</w:t>
            </w:r>
          </w:p>
        </w:tc>
        <w:tc>
          <w:tcPr>
            <w:tcW w:type="dxa" w:w="1296"/>
            <w:vAlign w:val="center"/>
            <w:tcMar>
              <w:top w:w="80" w:type="dxa"/>
              <w:start w:w="120" w:type="dxa"/>
              <w:bottom w:w="80" w:type="dxa"/>
              <w:end w:w="120" w:type="dxa"/>
            </w:tcMar>
          </w:tcPr>
          <w:p>
            <w:pPr>
              <w:spacing w:before="0" w:after="0" w:line="240" w:lineRule="auto"/>
            </w:pPr>
            <w:r>
              <w:rPr>
                <w:rFonts w:ascii="Times New Roman" w:hAnsi="Times New Roman"/>
                <w:sz w:val="16"/>
              </w:rPr>
              <w:t>−0.026276</w:t>
            </w:r>
          </w:p>
        </w:tc>
        <w:tc>
          <w:tcPr>
            <w:tcW w:type="dxa" w:w="1296"/>
            <w:vAlign w:val="center"/>
            <w:tcMar>
              <w:top w:w="80" w:type="dxa"/>
              <w:start w:w="120" w:type="dxa"/>
              <w:bottom w:w="80" w:type="dxa"/>
              <w:end w:w="120" w:type="dxa"/>
            </w:tcMar>
          </w:tcPr>
          <w:p>
            <w:pPr>
              <w:spacing w:before="0" w:after="0" w:line="240" w:lineRule="auto"/>
            </w:pPr>
            <w:r>
              <w:rPr>
                <w:rFonts w:ascii="Times New Roman" w:hAnsi="Times New Roman"/>
                <w:sz w:val="16"/>
              </w:rPr>
              <w:t>−0.020332</w:t>
            </w:r>
          </w:p>
        </w:tc>
        <w:tc>
          <w:tcPr>
            <w:tcW w:type="dxa" w:w="936"/>
            <w:vAlign w:val="center"/>
            <w:tcMar>
              <w:top w:w="80" w:type="dxa"/>
              <w:start w:w="120" w:type="dxa"/>
              <w:bottom w:w="80" w:type="dxa"/>
              <w:end w:w="120" w:type="dxa"/>
            </w:tcMar>
          </w:tcPr>
          <w:p>
            <w:pPr>
              <w:spacing w:before="0" w:after="0" w:line="240" w:lineRule="auto"/>
            </w:pPr>
            <w:r>
              <w:rPr>
                <w:rFonts w:ascii="Times New Roman" w:hAnsi="Times New Roman"/>
                <w:sz w:val="16"/>
              </w:rPr>
              <w:t>1024</w:t>
            </w:r>
          </w:p>
        </w:tc>
        <w:tc>
          <w:tcPr>
            <w:tcW w:type="dxa" w:w="1152"/>
            <w:vAlign w:val="center"/>
            <w:tcMar>
              <w:top w:w="80" w:type="dxa"/>
              <w:start w:w="120" w:type="dxa"/>
              <w:bottom w:w="80" w:type="dxa"/>
              <w:end w:w="120" w:type="dxa"/>
            </w:tcMar>
          </w:tcPr>
          <w:p>
            <w:pPr>
              <w:spacing w:before="0" w:after="0" w:line="240" w:lineRule="auto"/>
            </w:pPr>
            <w:r>
              <w:rPr>
                <w:rFonts w:ascii="Times New Roman" w:hAnsi="Times New Roman"/>
                <w:sz w:val="16"/>
              </w:rPr>
              <w:t>170,564</w:t>
            </w:r>
          </w:p>
        </w:tc>
        <w:tc>
          <w:tcPr>
            <w:tcW w:type="dxa" w:w="1080"/>
            <w:vAlign w:val="center"/>
            <w:tcMar>
              <w:top w:w="80" w:type="dxa"/>
              <w:start w:w="120" w:type="dxa"/>
              <w:bottom w:w="80" w:type="dxa"/>
              <w:end w:w="120" w:type="dxa"/>
            </w:tcMar>
          </w:tcPr>
          <w:p>
            <w:pPr>
              <w:spacing w:before="0" w:after="0" w:line="240" w:lineRule="auto"/>
            </w:pPr>
            <w:r>
              <w:rPr>
                <w:rFonts w:ascii="Times New Roman" w:hAnsi="Times New Roman"/>
                <w:sz w:val="16"/>
              </w:rPr>
              <w:t>10,000</w:t>
            </w:r>
          </w:p>
        </w:tc>
      </w:tr>
      <w:tr>
        <w:tc>
          <w:tcPr>
            <w:tcW w:type="dxa" w:w="1512"/>
            <w:vAlign w:val="center"/>
            <w:tcMar>
              <w:top w:w="80" w:type="dxa"/>
              <w:start w:w="120" w:type="dxa"/>
              <w:bottom w:w="80" w:type="dxa"/>
              <w:end w:w="120" w:type="dxa"/>
            </w:tcMar>
          </w:tcPr>
          <w:p>
            <w:pPr>
              <w:spacing w:before="0" w:after="0" w:line="240" w:lineRule="auto"/>
            </w:pPr>
            <w:r>
              <w:rPr>
                <w:rFonts w:ascii="Times New Roman" w:hAnsi="Times New Roman"/>
                <w:sz w:val="16"/>
              </w:rPr>
              <w:t>WikiText-2</w:t>
            </w:r>
          </w:p>
        </w:tc>
        <w:tc>
          <w:tcPr>
            <w:tcW w:type="dxa" w:w="1512"/>
            <w:vAlign w:val="center"/>
            <w:tcMar>
              <w:top w:w="80" w:type="dxa"/>
              <w:start w:w="120" w:type="dxa"/>
              <w:bottom w:w="80" w:type="dxa"/>
              <w:end w:w="120" w:type="dxa"/>
            </w:tcMar>
          </w:tcPr>
          <w:p>
            <w:pPr>
              <w:spacing w:before="0" w:after="0" w:line="240" w:lineRule="auto"/>
            </w:pPr>
            <w:r>
              <w:rPr>
                <w:rFonts w:ascii="Times New Roman" w:hAnsi="Times New Roman"/>
                <w:sz w:val="16"/>
              </w:rPr>
              <w:t>Activation</w:t>
            </w:r>
          </w:p>
        </w:tc>
        <w:tc>
          <w:tcPr>
            <w:tcW w:type="dxa" w:w="1296"/>
            <w:vAlign w:val="center"/>
            <w:tcMar>
              <w:top w:w="80" w:type="dxa"/>
              <w:start w:w="120" w:type="dxa"/>
              <w:bottom w:w="80" w:type="dxa"/>
              <w:end w:w="120" w:type="dxa"/>
            </w:tcMar>
          </w:tcPr>
          <w:p>
            <w:pPr>
              <w:spacing w:before="0" w:after="0" w:line="240" w:lineRule="auto"/>
            </w:pPr>
            <w:r>
              <w:rPr>
                <w:rFonts w:ascii="Times New Roman" w:hAnsi="Times New Roman"/>
                <w:sz w:val="16"/>
              </w:rPr>
              <w:t>−0.011767</w:t>
            </w:r>
          </w:p>
        </w:tc>
        <w:tc>
          <w:tcPr>
            <w:tcW w:type="dxa" w:w="1296"/>
            <w:vAlign w:val="center"/>
            <w:tcMar>
              <w:top w:w="80" w:type="dxa"/>
              <w:start w:w="120" w:type="dxa"/>
              <w:bottom w:w="80" w:type="dxa"/>
              <w:end w:w="120" w:type="dxa"/>
            </w:tcMar>
          </w:tcPr>
          <w:p>
            <w:pPr>
              <w:spacing w:before="0" w:after="0" w:line="240" w:lineRule="auto"/>
            </w:pPr>
            <w:r>
              <w:rPr>
                <w:rFonts w:ascii="Times New Roman" w:hAnsi="Times New Roman"/>
                <w:sz w:val="16"/>
              </w:rPr>
              <w:t>−0.015570</w:t>
            </w:r>
          </w:p>
        </w:tc>
        <w:tc>
          <w:tcPr>
            <w:tcW w:type="dxa" w:w="1296"/>
            <w:vAlign w:val="center"/>
            <w:tcMar>
              <w:top w:w="80" w:type="dxa"/>
              <w:start w:w="120" w:type="dxa"/>
              <w:bottom w:w="80" w:type="dxa"/>
              <w:end w:w="120" w:type="dxa"/>
            </w:tcMar>
          </w:tcPr>
          <w:p>
            <w:pPr>
              <w:spacing w:before="0" w:after="0" w:line="240" w:lineRule="auto"/>
            </w:pPr>
            <w:r>
              <w:rPr>
                <w:rFonts w:ascii="Times New Roman" w:hAnsi="Times New Roman"/>
                <w:sz w:val="16"/>
              </w:rPr>
              <w:t>−0.007894</w:t>
            </w:r>
          </w:p>
        </w:tc>
        <w:tc>
          <w:tcPr>
            <w:tcW w:type="dxa" w:w="936"/>
            <w:vAlign w:val="center"/>
            <w:tcMar>
              <w:top w:w="80" w:type="dxa"/>
              <w:start w:w="120" w:type="dxa"/>
              <w:bottom w:w="80" w:type="dxa"/>
              <w:end w:w="120" w:type="dxa"/>
            </w:tcMar>
          </w:tcPr>
          <w:p>
            <w:pPr>
              <w:spacing w:before="0" w:after="0" w:line="240" w:lineRule="auto"/>
            </w:pPr>
            <w:r>
              <w:rPr>
                <w:rFonts w:ascii="Times New Roman" w:hAnsi="Times New Roman"/>
                <w:sz w:val="16"/>
              </w:rPr>
              <w:t>1024</w:t>
            </w:r>
          </w:p>
        </w:tc>
        <w:tc>
          <w:tcPr>
            <w:tcW w:type="dxa" w:w="1152"/>
            <w:vAlign w:val="center"/>
            <w:tcMar>
              <w:top w:w="80" w:type="dxa"/>
              <w:start w:w="120" w:type="dxa"/>
              <w:bottom w:w="80" w:type="dxa"/>
              <w:end w:w="120" w:type="dxa"/>
            </w:tcMar>
          </w:tcPr>
          <w:p>
            <w:pPr>
              <w:spacing w:before="0" w:after="0" w:line="240" w:lineRule="auto"/>
            </w:pPr>
            <w:r>
              <w:rPr>
                <w:rFonts w:ascii="Times New Roman" w:hAnsi="Times New Roman"/>
                <w:sz w:val="16"/>
              </w:rPr>
              <w:t>170,564</w:t>
            </w:r>
          </w:p>
        </w:tc>
        <w:tc>
          <w:tcPr>
            <w:tcW w:type="dxa" w:w="1080"/>
            <w:vAlign w:val="center"/>
            <w:tcMar>
              <w:top w:w="80" w:type="dxa"/>
              <w:start w:w="120" w:type="dxa"/>
              <w:bottom w:w="80" w:type="dxa"/>
              <w:end w:w="120" w:type="dxa"/>
            </w:tcMar>
          </w:tcPr>
          <w:p>
            <w:pPr>
              <w:spacing w:before="0" w:after="0" w:line="240" w:lineRule="auto"/>
            </w:pPr>
            <w:r>
              <w:rPr>
                <w:rFonts w:ascii="Times New Roman" w:hAnsi="Times New Roman"/>
                <w:sz w:val="16"/>
              </w:rPr>
              <w:t>10,000</w:t>
            </w:r>
          </w:p>
        </w:tc>
      </w:tr>
      <w:tr>
        <w:tc>
          <w:tcPr>
            <w:tcW w:type="dxa" w:w="1512"/>
            <w:vAlign w:val="center"/>
            <w:tcMar>
              <w:top w:w="80" w:type="dxa"/>
              <w:start w:w="120" w:type="dxa"/>
              <w:bottom w:w="80" w:type="dxa"/>
              <w:end w:w="120" w:type="dxa"/>
            </w:tcMar>
          </w:tcPr>
          <w:p>
            <w:pPr>
              <w:spacing w:before="0" w:after="0" w:line="240" w:lineRule="auto"/>
            </w:pPr>
            <w:r>
              <w:rPr>
                <w:rFonts w:ascii="Times New Roman" w:hAnsi="Times New Roman"/>
                <w:sz w:val="16"/>
              </w:rPr>
              <w:t>C4</w:t>
            </w:r>
          </w:p>
        </w:tc>
        <w:tc>
          <w:tcPr>
            <w:tcW w:type="dxa" w:w="1512"/>
            <w:vAlign w:val="center"/>
            <w:tcMar>
              <w:top w:w="80" w:type="dxa"/>
              <w:start w:w="120" w:type="dxa"/>
              <w:bottom w:w="80" w:type="dxa"/>
              <w:end w:w="120" w:type="dxa"/>
            </w:tcMar>
          </w:tcPr>
          <w:p>
            <w:pPr>
              <w:spacing w:before="0" w:after="0" w:line="240" w:lineRule="auto"/>
            </w:pPr>
            <w:r>
              <w:rPr>
                <w:rFonts w:ascii="Times New Roman" w:hAnsi="Times New Roman"/>
                <w:sz w:val="16"/>
              </w:rPr>
              <w:t>Original bound</w:t>
            </w:r>
          </w:p>
        </w:tc>
        <w:tc>
          <w:tcPr>
            <w:tcW w:type="dxa" w:w="1296"/>
            <w:vAlign w:val="center"/>
            <w:tcMar>
              <w:top w:w="80" w:type="dxa"/>
              <w:start w:w="120" w:type="dxa"/>
              <w:bottom w:w="80" w:type="dxa"/>
              <w:end w:w="120" w:type="dxa"/>
            </w:tcMar>
          </w:tcPr>
          <w:p>
            <w:pPr>
              <w:spacing w:before="0" w:after="0" w:line="240" w:lineRule="auto"/>
            </w:pPr>
            <w:r>
              <w:rPr>
                <w:rFonts w:ascii="Times New Roman" w:hAnsi="Times New Roman"/>
                <w:sz w:val="16"/>
              </w:rPr>
              <w:t>−0.002246</w:t>
            </w:r>
          </w:p>
        </w:tc>
        <w:tc>
          <w:tcPr>
            <w:tcW w:type="dxa" w:w="1296"/>
            <w:vAlign w:val="center"/>
            <w:tcMar>
              <w:top w:w="80" w:type="dxa"/>
              <w:start w:w="120" w:type="dxa"/>
              <w:bottom w:w="80" w:type="dxa"/>
              <w:end w:w="120" w:type="dxa"/>
            </w:tcMar>
          </w:tcPr>
          <w:p>
            <w:pPr>
              <w:spacing w:before="0" w:after="0" w:line="240" w:lineRule="auto"/>
            </w:pPr>
            <w:r>
              <w:rPr>
                <w:rFonts w:ascii="Times New Roman" w:hAnsi="Times New Roman"/>
                <w:sz w:val="16"/>
              </w:rPr>
              <w:t>−0.004448</w:t>
            </w:r>
          </w:p>
        </w:tc>
        <w:tc>
          <w:tcPr>
            <w:tcW w:type="dxa" w:w="1296"/>
            <w:vAlign w:val="center"/>
            <w:tcMar>
              <w:top w:w="80" w:type="dxa"/>
              <w:start w:w="120" w:type="dxa"/>
              <w:bottom w:w="80" w:type="dxa"/>
              <w:end w:w="120" w:type="dxa"/>
            </w:tcMar>
          </w:tcPr>
          <w:p>
            <w:pPr>
              <w:spacing w:before="0" w:after="0" w:line="240" w:lineRule="auto"/>
            </w:pPr>
            <w:r>
              <w:rPr>
                <w:rFonts w:ascii="Times New Roman" w:hAnsi="Times New Roman"/>
                <w:sz w:val="16"/>
              </w:rPr>
              <w:t>−0.000238</w:t>
            </w:r>
          </w:p>
        </w:tc>
        <w:tc>
          <w:tcPr>
            <w:tcW w:type="dxa" w:w="936"/>
            <w:vAlign w:val="center"/>
            <w:tcMar>
              <w:top w:w="80" w:type="dxa"/>
              <w:start w:w="120" w:type="dxa"/>
              <w:bottom w:w="80" w:type="dxa"/>
              <w:end w:w="120" w:type="dxa"/>
            </w:tcMar>
          </w:tcPr>
          <w:p>
            <w:pPr>
              <w:spacing w:before="0" w:after="0" w:line="240" w:lineRule="auto"/>
            </w:pPr>
            <w:r>
              <w:rPr>
                <w:rFonts w:ascii="Times New Roman" w:hAnsi="Times New Roman"/>
                <w:sz w:val="16"/>
              </w:rPr>
              <w:t>1024</w:t>
            </w:r>
          </w:p>
        </w:tc>
        <w:tc>
          <w:tcPr>
            <w:tcW w:type="dxa" w:w="1152"/>
            <w:vAlign w:val="center"/>
            <w:tcMar>
              <w:top w:w="80" w:type="dxa"/>
              <w:start w:w="120" w:type="dxa"/>
              <w:bottom w:w="80" w:type="dxa"/>
              <w:end w:w="120" w:type="dxa"/>
            </w:tcMar>
          </w:tcPr>
          <w:p>
            <w:pPr>
              <w:spacing w:before="0" w:after="0" w:line="240" w:lineRule="auto"/>
            </w:pPr>
            <w:r>
              <w:rPr>
                <w:rFonts w:ascii="Times New Roman" w:hAnsi="Times New Roman"/>
                <w:sz w:val="16"/>
              </w:rPr>
              <w:t>285,750</w:t>
            </w:r>
          </w:p>
        </w:tc>
        <w:tc>
          <w:tcPr>
            <w:tcW w:type="dxa" w:w="1080"/>
            <w:vAlign w:val="center"/>
            <w:tcMar>
              <w:top w:w="80" w:type="dxa"/>
              <w:start w:w="120" w:type="dxa"/>
              <w:bottom w:w="80" w:type="dxa"/>
              <w:end w:w="120" w:type="dxa"/>
            </w:tcMar>
          </w:tcPr>
          <w:p>
            <w:pPr>
              <w:spacing w:before="0" w:after="0" w:line="240" w:lineRule="auto"/>
            </w:pPr>
            <w:r>
              <w:rPr>
                <w:rFonts w:ascii="Times New Roman" w:hAnsi="Times New Roman"/>
                <w:sz w:val="16"/>
              </w:rPr>
              <w:t>10,000</w:t>
            </w:r>
          </w:p>
        </w:tc>
      </w:tr>
      <w:tr>
        <w:tc>
          <w:tcPr>
            <w:tcW w:type="dxa" w:w="1512"/>
            <w:vAlign w:val="center"/>
            <w:tcMar>
              <w:top w:w="80" w:type="dxa"/>
              <w:start w:w="120" w:type="dxa"/>
              <w:bottom w:w="80" w:type="dxa"/>
              <w:end w:w="120" w:type="dxa"/>
            </w:tcMar>
          </w:tcPr>
          <w:p>
            <w:pPr>
              <w:spacing w:before="0" w:after="0" w:line="240" w:lineRule="auto"/>
            </w:pPr>
            <w:r>
              <w:rPr>
                <w:rFonts w:ascii="Times New Roman" w:hAnsi="Times New Roman"/>
                <w:sz w:val="16"/>
              </w:rPr>
              <w:t>C4</w:t>
            </w:r>
          </w:p>
        </w:tc>
        <w:tc>
          <w:tcPr>
            <w:tcW w:type="dxa" w:w="1512"/>
            <w:vAlign w:val="center"/>
            <w:tcMar>
              <w:top w:w="80" w:type="dxa"/>
              <w:start w:w="120" w:type="dxa"/>
              <w:bottom w:w="80" w:type="dxa"/>
              <w:end w:w="120" w:type="dxa"/>
            </w:tcMar>
          </w:tcPr>
          <w:p>
            <w:pPr>
              <w:spacing w:before="0" w:after="0" w:line="240" w:lineRule="auto"/>
            </w:pPr>
            <w:r>
              <w:rPr>
                <w:rFonts w:ascii="Times New Roman" w:hAnsi="Times New Roman"/>
                <w:sz w:val="16"/>
              </w:rPr>
              <w:t>Activation</w:t>
            </w:r>
          </w:p>
        </w:tc>
        <w:tc>
          <w:tcPr>
            <w:tcW w:type="dxa" w:w="1296"/>
            <w:vAlign w:val="center"/>
            <w:tcMar>
              <w:top w:w="80" w:type="dxa"/>
              <w:start w:w="120" w:type="dxa"/>
              <w:bottom w:w="80" w:type="dxa"/>
              <w:end w:w="120" w:type="dxa"/>
            </w:tcMar>
          </w:tcPr>
          <w:p>
            <w:pPr>
              <w:spacing w:before="0" w:after="0" w:line="240" w:lineRule="auto"/>
            </w:pPr>
            <w:r>
              <w:rPr>
                <w:rFonts w:ascii="Times New Roman" w:hAnsi="Times New Roman"/>
                <w:sz w:val="16"/>
              </w:rPr>
              <w:t>−0.008206</w:t>
            </w:r>
          </w:p>
        </w:tc>
        <w:tc>
          <w:tcPr>
            <w:tcW w:type="dxa" w:w="1296"/>
            <w:vAlign w:val="center"/>
            <w:tcMar>
              <w:top w:w="80" w:type="dxa"/>
              <w:start w:w="120" w:type="dxa"/>
              <w:bottom w:w="80" w:type="dxa"/>
              <w:end w:w="120" w:type="dxa"/>
            </w:tcMar>
          </w:tcPr>
          <w:p>
            <w:pPr>
              <w:spacing w:before="0" w:after="0" w:line="240" w:lineRule="auto"/>
            </w:pPr>
            <w:r>
              <w:rPr>
                <w:rFonts w:ascii="Times New Roman" w:hAnsi="Times New Roman"/>
                <w:sz w:val="16"/>
              </w:rPr>
              <w:t>−0.010625</w:t>
            </w:r>
          </w:p>
        </w:tc>
        <w:tc>
          <w:tcPr>
            <w:tcW w:type="dxa" w:w="1296"/>
            <w:vAlign w:val="center"/>
            <w:tcMar>
              <w:top w:w="80" w:type="dxa"/>
              <w:start w:w="120" w:type="dxa"/>
              <w:bottom w:w="80" w:type="dxa"/>
              <w:end w:w="120" w:type="dxa"/>
            </w:tcMar>
          </w:tcPr>
          <w:p>
            <w:pPr>
              <w:spacing w:before="0" w:after="0" w:line="240" w:lineRule="auto"/>
            </w:pPr>
            <w:r>
              <w:rPr>
                <w:rFonts w:ascii="Times New Roman" w:hAnsi="Times New Roman"/>
                <w:sz w:val="16"/>
              </w:rPr>
              <w:t>−0.005849</w:t>
            </w:r>
          </w:p>
        </w:tc>
        <w:tc>
          <w:tcPr>
            <w:tcW w:type="dxa" w:w="936"/>
            <w:vAlign w:val="center"/>
            <w:tcMar>
              <w:top w:w="80" w:type="dxa"/>
              <w:start w:w="120" w:type="dxa"/>
              <w:bottom w:w="80" w:type="dxa"/>
              <w:end w:w="120" w:type="dxa"/>
            </w:tcMar>
          </w:tcPr>
          <w:p>
            <w:pPr>
              <w:spacing w:before="0" w:after="0" w:line="240" w:lineRule="auto"/>
            </w:pPr>
            <w:r>
              <w:rPr>
                <w:rFonts w:ascii="Times New Roman" w:hAnsi="Times New Roman"/>
                <w:sz w:val="16"/>
              </w:rPr>
              <w:t>1024</w:t>
            </w:r>
          </w:p>
        </w:tc>
        <w:tc>
          <w:tcPr>
            <w:tcW w:type="dxa" w:w="1152"/>
            <w:vAlign w:val="center"/>
            <w:tcMar>
              <w:top w:w="80" w:type="dxa"/>
              <w:start w:w="120" w:type="dxa"/>
              <w:bottom w:w="80" w:type="dxa"/>
              <w:end w:w="120" w:type="dxa"/>
            </w:tcMar>
          </w:tcPr>
          <w:p>
            <w:pPr>
              <w:spacing w:before="0" w:after="0" w:line="240" w:lineRule="auto"/>
            </w:pPr>
            <w:r>
              <w:rPr>
                <w:rFonts w:ascii="Times New Roman" w:hAnsi="Times New Roman"/>
                <w:sz w:val="16"/>
              </w:rPr>
              <w:t>285,750</w:t>
            </w:r>
          </w:p>
        </w:tc>
        <w:tc>
          <w:tcPr>
            <w:tcW w:type="dxa" w:w="1080"/>
            <w:vAlign w:val="center"/>
            <w:tcMar>
              <w:top w:w="80" w:type="dxa"/>
              <w:start w:w="120" w:type="dxa"/>
              <w:bottom w:w="80" w:type="dxa"/>
              <w:end w:w="120" w:type="dxa"/>
            </w:tcMar>
          </w:tcPr>
          <w:p>
            <w:pPr>
              <w:spacing w:before="0" w:after="0" w:line="240" w:lineRule="auto"/>
            </w:pPr>
            <w:r>
              <w:rPr>
                <w:rFonts w:ascii="Times New Roman" w:hAnsi="Times New Roman"/>
                <w:sz w:val="16"/>
              </w:rPr>
              <w:t>10,000</w:t>
            </w:r>
          </w:p>
        </w:tc>
      </w:tr>
    </w:tbl>
    <w:p>
      <w:pPr>
        <w:pStyle w:val="Heading2"/>
      </w:pPr>
      <w:r>
        <w:t>7.5 Certificate Validity and Tightness</w:t>
      </w:r>
    </w:p>
    <w:p>
      <w:pPr/>
      <w:r>
        <w:t>The tightness metric is observed channel-contribution norm divided by its bound. A larger ratio below one means a tighter certificate. Across 3,283,968 sampled expert-channel evaluations, neither bound reported a numerical violation. The ellipsoid ratio is approximately 6.08× larger at the median, 5.03× at p95, 4.07× at p99, and 5.28× at the maximum. The maximum observed contribution reaches 17.31% of the ellipsoid bound versus 3.28% of the spherical bound. Nevertheless, the median and p95 ratios remain below 0.1%, demonstrating that a uniform channel-wise certificate is still highly conservative on typical routed inputs.</w:t>
      </w:r>
    </w:p>
    <w:p>
      <w:pPr>
        <w:pStyle w:val="Caption"/>
      </w:pPr>
      <w:r>
        <w:t>Table V3-5. Sampled expert-channel bound tightness.</w:t>
      </w:r>
    </w:p>
    <w:tbl>
      <w:tblPr>
        <w:tblStyle w:val="TableGrid"/>
        <w:tblW w:type="dxa" w:w="10080"/>
        <w:tblLayout w:type="fixed"/>
        <w:tblLook w:firstColumn="1" w:firstRow="1" w:lastColumn="0" w:lastRow="0" w:noHBand="0" w:noVBand="1" w:val="04A0"/>
        <w:tblInd w:w="120" w:type="dxa"/>
      </w:tblPr>
      <w:tblGrid>
        <w:gridCol w:w="1440"/>
        <w:gridCol w:w="1440"/>
        <w:gridCol w:w="1440"/>
        <w:gridCol w:w="1440"/>
        <w:gridCol w:w="1440"/>
        <w:gridCol w:w="1512"/>
        <w:gridCol w:w="1368"/>
      </w:tblGrid>
      <w:tr>
        <w:trPr>
          <w:tblHeader w:val="true"/>
        </w:trPr>
        <w:tc>
          <w:tcPr>
            <w:tcW w:type="dxa" w:w="1440"/>
            <w:vAlign w:val="center"/>
            <w:tcMar>
              <w:top w:w="80" w:type="dxa"/>
              <w:start w:w="120" w:type="dxa"/>
              <w:bottom w:w="80" w:type="dxa"/>
              <w:end w:w="120" w:type="dxa"/>
            </w:tcMar>
            <w:shd w:fill="4F81BD"/>
          </w:tcPr>
          <w:p>
            <w:pPr>
              <w:spacing w:before="0" w:after="0" w:line="240" w:lineRule="auto"/>
              <w:jc w:val="center"/>
            </w:pPr>
            <w:r>
              <w:rPr>
                <w:rFonts w:ascii="Times New Roman" w:hAnsi="Times New Roman"/>
                <w:b/>
                <w:color w:val="FFFFFF"/>
                <w:sz w:val="16"/>
              </w:rPr>
              <w:t>Bound</w:t>
            </w:r>
          </w:p>
        </w:tc>
        <w:tc>
          <w:tcPr>
            <w:tcW w:type="dxa" w:w="1440"/>
            <w:vAlign w:val="center"/>
            <w:tcMar>
              <w:top w:w="80" w:type="dxa"/>
              <w:start w:w="120" w:type="dxa"/>
              <w:bottom w:w="80" w:type="dxa"/>
              <w:end w:w="120" w:type="dxa"/>
            </w:tcMar>
            <w:shd w:fill="4F81BD"/>
          </w:tcPr>
          <w:p>
            <w:pPr>
              <w:spacing w:before="0" w:after="0" w:line="240" w:lineRule="auto"/>
              <w:jc w:val="center"/>
            </w:pPr>
            <w:r>
              <w:rPr>
                <w:rFonts w:ascii="Times New Roman" w:hAnsi="Times New Roman"/>
                <w:b/>
                <w:color w:val="FFFFFF"/>
                <w:sz w:val="16"/>
              </w:rPr>
              <w:t>Count</w:t>
            </w:r>
          </w:p>
        </w:tc>
        <w:tc>
          <w:tcPr>
            <w:tcW w:type="dxa" w:w="1440"/>
            <w:vAlign w:val="center"/>
            <w:tcMar>
              <w:top w:w="80" w:type="dxa"/>
              <w:start w:w="120" w:type="dxa"/>
              <w:bottom w:w="80" w:type="dxa"/>
              <w:end w:w="120" w:type="dxa"/>
            </w:tcMar>
            <w:shd w:fill="4F81BD"/>
          </w:tcPr>
          <w:p>
            <w:pPr>
              <w:spacing w:before="0" w:after="0" w:line="240" w:lineRule="auto"/>
              <w:jc w:val="center"/>
            </w:pPr>
            <w:r>
              <w:rPr>
                <w:rFonts w:ascii="Times New Roman" w:hAnsi="Times New Roman"/>
                <w:b/>
                <w:color w:val="FFFFFF"/>
                <w:sz w:val="16"/>
              </w:rPr>
              <w:t>Median</w:t>
            </w:r>
          </w:p>
        </w:tc>
        <w:tc>
          <w:tcPr>
            <w:tcW w:type="dxa" w:w="1440"/>
            <w:vAlign w:val="center"/>
            <w:tcMar>
              <w:top w:w="80" w:type="dxa"/>
              <w:start w:w="120" w:type="dxa"/>
              <w:bottom w:w="80" w:type="dxa"/>
              <w:end w:w="120" w:type="dxa"/>
            </w:tcMar>
            <w:shd w:fill="4F81BD"/>
          </w:tcPr>
          <w:p>
            <w:pPr>
              <w:spacing w:before="0" w:after="0" w:line="240" w:lineRule="auto"/>
              <w:jc w:val="center"/>
            </w:pPr>
            <w:r>
              <w:rPr>
                <w:rFonts w:ascii="Times New Roman" w:hAnsi="Times New Roman"/>
                <w:b/>
                <w:color w:val="FFFFFF"/>
                <w:sz w:val="16"/>
              </w:rPr>
              <w:t>p95</w:t>
            </w:r>
          </w:p>
        </w:tc>
        <w:tc>
          <w:tcPr>
            <w:tcW w:type="dxa" w:w="1440"/>
            <w:vAlign w:val="center"/>
            <w:tcMar>
              <w:top w:w="80" w:type="dxa"/>
              <w:start w:w="120" w:type="dxa"/>
              <w:bottom w:w="80" w:type="dxa"/>
              <w:end w:w="120" w:type="dxa"/>
            </w:tcMar>
            <w:shd w:fill="4F81BD"/>
          </w:tcPr>
          <w:p>
            <w:pPr>
              <w:spacing w:before="0" w:after="0" w:line="240" w:lineRule="auto"/>
              <w:jc w:val="center"/>
            </w:pPr>
            <w:r>
              <w:rPr>
                <w:rFonts w:ascii="Times New Roman" w:hAnsi="Times New Roman"/>
                <w:b/>
                <w:color w:val="FFFFFF"/>
                <w:sz w:val="16"/>
              </w:rPr>
              <w:t>p99</w:t>
            </w:r>
          </w:p>
        </w:tc>
        <w:tc>
          <w:tcPr>
            <w:tcW w:type="dxa" w:w="1512"/>
            <w:vAlign w:val="center"/>
            <w:tcMar>
              <w:top w:w="80" w:type="dxa"/>
              <w:start w:w="120" w:type="dxa"/>
              <w:bottom w:w="80" w:type="dxa"/>
              <w:end w:w="120" w:type="dxa"/>
            </w:tcMar>
            <w:shd w:fill="4F81BD"/>
          </w:tcPr>
          <w:p>
            <w:pPr>
              <w:spacing w:before="0" w:after="0" w:line="240" w:lineRule="auto"/>
              <w:jc w:val="center"/>
            </w:pPr>
            <w:r>
              <w:rPr>
                <w:rFonts w:ascii="Times New Roman" w:hAnsi="Times New Roman"/>
                <w:b/>
                <w:color w:val="FFFFFF"/>
                <w:sz w:val="16"/>
              </w:rPr>
              <w:t>Maximum</w:t>
            </w:r>
          </w:p>
        </w:tc>
        <w:tc>
          <w:tcPr>
            <w:tcW w:type="dxa" w:w="1368"/>
            <w:vAlign w:val="center"/>
            <w:tcMar>
              <w:top w:w="80" w:type="dxa"/>
              <w:start w:w="120" w:type="dxa"/>
              <w:bottom w:w="80" w:type="dxa"/>
              <w:end w:w="120" w:type="dxa"/>
            </w:tcMar>
            <w:shd w:fill="4F81BD"/>
          </w:tcPr>
          <w:p>
            <w:pPr>
              <w:spacing w:before="0" w:after="0" w:line="240" w:lineRule="auto"/>
              <w:jc w:val="center"/>
            </w:pPr>
            <w:r>
              <w:rPr>
                <w:rFonts w:ascii="Times New Roman" w:hAnsi="Times New Roman"/>
                <w:b/>
                <w:color w:val="FFFFFF"/>
                <w:sz w:val="16"/>
              </w:rPr>
              <w:t>Violations</w:t>
            </w:r>
          </w:p>
        </w:tc>
      </w:tr>
      <w:tr>
        <w:tc>
          <w:tcPr>
            <w:tcW w:type="dxa" w:w="1440"/>
            <w:vAlign w:val="center"/>
            <w:tcMar>
              <w:top w:w="80" w:type="dxa"/>
              <w:start w:w="120" w:type="dxa"/>
              <w:bottom w:w="80" w:type="dxa"/>
              <w:end w:w="120" w:type="dxa"/>
            </w:tcMar>
          </w:tcPr>
          <w:p>
            <w:pPr>
              <w:spacing w:before="0" w:after="0" w:line="240" w:lineRule="auto"/>
            </w:pPr>
            <w:r>
              <w:rPr>
                <w:rFonts w:ascii="Times New Roman" w:hAnsi="Times New Roman"/>
                <w:sz w:val="16"/>
              </w:rPr>
              <w:t>Ellipsoid</w:t>
            </w:r>
          </w:p>
        </w:tc>
        <w:tc>
          <w:tcPr>
            <w:tcW w:type="dxa" w:w="1440"/>
            <w:vAlign w:val="center"/>
            <w:tcMar>
              <w:top w:w="80" w:type="dxa"/>
              <w:start w:w="120" w:type="dxa"/>
              <w:bottom w:w="80" w:type="dxa"/>
              <w:end w:w="120" w:type="dxa"/>
            </w:tcMar>
          </w:tcPr>
          <w:p>
            <w:pPr>
              <w:spacing w:before="0" w:after="0" w:line="240" w:lineRule="auto"/>
            </w:pPr>
            <w:r>
              <w:rPr>
                <w:rFonts w:ascii="Times New Roman" w:hAnsi="Times New Roman"/>
                <w:sz w:val="16"/>
              </w:rPr>
              <w:t>3,283,968</w:t>
            </w:r>
          </w:p>
        </w:tc>
        <w:tc>
          <w:tcPr>
            <w:tcW w:type="dxa" w:w="1440"/>
            <w:vAlign w:val="center"/>
            <w:tcMar>
              <w:top w:w="80" w:type="dxa"/>
              <w:start w:w="120" w:type="dxa"/>
              <w:bottom w:w="80" w:type="dxa"/>
              <w:end w:w="120" w:type="dxa"/>
            </w:tcMar>
          </w:tcPr>
          <w:p>
            <w:pPr>
              <w:spacing w:before="0" w:after="0" w:line="240" w:lineRule="auto"/>
            </w:pPr>
            <w:r>
              <w:rPr>
                <w:rFonts w:ascii="Times New Roman" w:hAnsi="Times New Roman"/>
                <w:sz w:val="16"/>
              </w:rPr>
              <w:t>0.0001768</w:t>
            </w:r>
          </w:p>
        </w:tc>
        <w:tc>
          <w:tcPr>
            <w:tcW w:type="dxa" w:w="1440"/>
            <w:vAlign w:val="center"/>
            <w:tcMar>
              <w:top w:w="80" w:type="dxa"/>
              <w:start w:w="120" w:type="dxa"/>
              <w:bottom w:w="80" w:type="dxa"/>
              <w:end w:w="120" w:type="dxa"/>
            </w:tcMar>
          </w:tcPr>
          <w:p>
            <w:pPr>
              <w:spacing w:before="0" w:after="0" w:line="240" w:lineRule="auto"/>
            </w:pPr>
            <w:r>
              <w:rPr>
                <w:rFonts w:ascii="Times New Roman" w:hAnsi="Times New Roman"/>
                <w:sz w:val="16"/>
              </w:rPr>
              <w:t>0.0008960</w:t>
            </w:r>
          </w:p>
        </w:tc>
        <w:tc>
          <w:tcPr>
            <w:tcW w:type="dxa" w:w="1440"/>
            <w:vAlign w:val="center"/>
            <w:tcMar>
              <w:top w:w="80" w:type="dxa"/>
              <w:start w:w="120" w:type="dxa"/>
              <w:bottom w:w="80" w:type="dxa"/>
              <w:end w:w="120" w:type="dxa"/>
            </w:tcMar>
          </w:tcPr>
          <w:p>
            <w:pPr>
              <w:spacing w:before="0" w:after="0" w:line="240" w:lineRule="auto"/>
            </w:pPr>
            <w:r>
              <w:rPr>
                <w:rFonts w:ascii="Times New Roman" w:hAnsi="Times New Roman"/>
                <w:sz w:val="16"/>
              </w:rPr>
              <w:t>0.0020092</w:t>
            </w:r>
          </w:p>
        </w:tc>
        <w:tc>
          <w:tcPr>
            <w:tcW w:type="dxa" w:w="1512"/>
            <w:vAlign w:val="center"/>
            <w:tcMar>
              <w:top w:w="80" w:type="dxa"/>
              <w:start w:w="120" w:type="dxa"/>
              <w:bottom w:w="80" w:type="dxa"/>
              <w:end w:w="120" w:type="dxa"/>
            </w:tcMar>
          </w:tcPr>
          <w:p>
            <w:pPr>
              <w:spacing w:before="0" w:after="0" w:line="240" w:lineRule="auto"/>
            </w:pPr>
            <w:r>
              <w:rPr>
                <w:rFonts w:ascii="Times New Roman" w:hAnsi="Times New Roman"/>
                <w:sz w:val="16"/>
              </w:rPr>
              <w:t>0.1731215</w:t>
            </w:r>
          </w:p>
        </w:tc>
        <w:tc>
          <w:tcPr>
            <w:tcW w:type="dxa" w:w="1368"/>
            <w:vAlign w:val="center"/>
            <w:tcMar>
              <w:top w:w="80" w:type="dxa"/>
              <w:start w:w="120" w:type="dxa"/>
              <w:bottom w:w="80" w:type="dxa"/>
              <w:end w:w="120" w:type="dxa"/>
            </w:tcMar>
          </w:tcPr>
          <w:p>
            <w:pPr>
              <w:spacing w:before="0" w:after="0" w:line="240" w:lineRule="auto"/>
            </w:pPr>
            <w:r>
              <w:rPr>
                <w:rFonts w:ascii="Times New Roman" w:hAnsi="Times New Roman"/>
                <w:sz w:val="16"/>
              </w:rPr>
              <w:t>0</w:t>
            </w:r>
          </w:p>
        </w:tc>
      </w:tr>
      <w:tr>
        <w:tc>
          <w:tcPr>
            <w:tcW w:type="dxa" w:w="1440"/>
            <w:vAlign w:val="center"/>
            <w:tcMar>
              <w:top w:w="80" w:type="dxa"/>
              <w:start w:w="120" w:type="dxa"/>
              <w:bottom w:w="80" w:type="dxa"/>
              <w:end w:w="120" w:type="dxa"/>
            </w:tcMar>
          </w:tcPr>
          <w:p>
            <w:pPr>
              <w:spacing w:before="0" w:after="0" w:line="240" w:lineRule="auto"/>
            </w:pPr>
            <w:r>
              <w:rPr>
                <w:rFonts w:ascii="Times New Roman" w:hAnsi="Times New Roman"/>
                <w:sz w:val="16"/>
              </w:rPr>
              <w:t>Sphere</w:t>
            </w:r>
          </w:p>
        </w:tc>
        <w:tc>
          <w:tcPr>
            <w:tcW w:type="dxa" w:w="1440"/>
            <w:vAlign w:val="center"/>
            <w:tcMar>
              <w:top w:w="80" w:type="dxa"/>
              <w:start w:w="120" w:type="dxa"/>
              <w:bottom w:w="80" w:type="dxa"/>
              <w:end w:w="120" w:type="dxa"/>
            </w:tcMar>
          </w:tcPr>
          <w:p>
            <w:pPr>
              <w:spacing w:before="0" w:after="0" w:line="240" w:lineRule="auto"/>
            </w:pPr>
            <w:r>
              <w:rPr>
                <w:rFonts w:ascii="Times New Roman" w:hAnsi="Times New Roman"/>
                <w:sz w:val="16"/>
              </w:rPr>
              <w:t>3,283,968</w:t>
            </w:r>
          </w:p>
        </w:tc>
        <w:tc>
          <w:tcPr>
            <w:tcW w:type="dxa" w:w="1440"/>
            <w:vAlign w:val="center"/>
            <w:tcMar>
              <w:top w:w="80" w:type="dxa"/>
              <w:start w:w="120" w:type="dxa"/>
              <w:bottom w:w="80" w:type="dxa"/>
              <w:end w:w="120" w:type="dxa"/>
            </w:tcMar>
          </w:tcPr>
          <w:p>
            <w:pPr>
              <w:spacing w:before="0" w:after="0" w:line="240" w:lineRule="auto"/>
            </w:pPr>
            <w:r>
              <w:rPr>
                <w:rFonts w:ascii="Times New Roman" w:hAnsi="Times New Roman"/>
                <w:sz w:val="16"/>
              </w:rPr>
              <w:t>0.0000291</w:t>
            </w:r>
          </w:p>
        </w:tc>
        <w:tc>
          <w:tcPr>
            <w:tcW w:type="dxa" w:w="1440"/>
            <w:vAlign w:val="center"/>
            <w:tcMar>
              <w:top w:w="80" w:type="dxa"/>
              <w:start w:w="120" w:type="dxa"/>
              <w:bottom w:w="80" w:type="dxa"/>
              <w:end w:w="120" w:type="dxa"/>
            </w:tcMar>
          </w:tcPr>
          <w:p>
            <w:pPr>
              <w:spacing w:before="0" w:after="0" w:line="240" w:lineRule="auto"/>
            </w:pPr>
            <w:r>
              <w:rPr>
                <w:rFonts w:ascii="Times New Roman" w:hAnsi="Times New Roman"/>
                <w:sz w:val="16"/>
              </w:rPr>
              <w:t>0.0001780</w:t>
            </w:r>
          </w:p>
        </w:tc>
        <w:tc>
          <w:tcPr>
            <w:tcW w:type="dxa" w:w="1440"/>
            <w:vAlign w:val="center"/>
            <w:tcMar>
              <w:top w:w="80" w:type="dxa"/>
              <w:start w:w="120" w:type="dxa"/>
              <w:bottom w:w="80" w:type="dxa"/>
              <w:end w:w="120" w:type="dxa"/>
            </w:tcMar>
          </w:tcPr>
          <w:p>
            <w:pPr>
              <w:spacing w:before="0" w:after="0" w:line="240" w:lineRule="auto"/>
            </w:pPr>
            <w:r>
              <w:rPr>
                <w:rFonts w:ascii="Times New Roman" w:hAnsi="Times New Roman"/>
                <w:sz w:val="16"/>
              </w:rPr>
              <w:t>0.0004944</w:t>
            </w:r>
          </w:p>
        </w:tc>
        <w:tc>
          <w:tcPr>
            <w:tcW w:type="dxa" w:w="1512"/>
            <w:vAlign w:val="center"/>
            <w:tcMar>
              <w:top w:w="80" w:type="dxa"/>
              <w:start w:w="120" w:type="dxa"/>
              <w:bottom w:w="80" w:type="dxa"/>
              <w:end w:w="120" w:type="dxa"/>
            </w:tcMar>
          </w:tcPr>
          <w:p>
            <w:pPr>
              <w:spacing w:before="0" w:after="0" w:line="240" w:lineRule="auto"/>
            </w:pPr>
            <w:r>
              <w:rPr>
                <w:rFonts w:ascii="Times New Roman" w:hAnsi="Times New Roman"/>
                <w:sz w:val="16"/>
              </w:rPr>
              <w:t>0.0327641</w:t>
            </w:r>
          </w:p>
        </w:tc>
        <w:tc>
          <w:tcPr>
            <w:tcW w:type="dxa" w:w="1368"/>
            <w:vAlign w:val="center"/>
            <w:tcMar>
              <w:top w:w="80" w:type="dxa"/>
              <w:start w:w="120" w:type="dxa"/>
              <w:bottom w:w="80" w:type="dxa"/>
              <w:end w:w="120" w:type="dxa"/>
            </w:tcMar>
          </w:tcPr>
          <w:p>
            <w:pPr>
              <w:spacing w:before="0" w:after="0" w:line="240" w:lineRule="auto"/>
            </w:pPr>
            <w:r>
              <w:rPr>
                <w:rFonts w:ascii="Times New Roman" w:hAnsi="Times New Roman"/>
                <w:sz w:val="16"/>
              </w:rPr>
              <w:t>0</w:t>
            </w:r>
          </w:p>
        </w:tc>
      </w:tr>
    </w:tbl>
    <w:p>
      <w:pPr>
        <w:pStyle w:val="Caption"/>
      </w:pPr>
      <w:r>
        <w:t>Figure V3-2. Observed contribution divided by bound; higher values below one indicate tighter certificates.</w:t>
      </w:r>
    </w:p>
    <w:p>
      <w:pPr>
        <w:jc w:val="center"/>
      </w:pPr>
      <w:r>
        <w:drawing>
          <wp:inline xmlns:a="http://schemas.openxmlformats.org/drawingml/2006/main" xmlns:pic="http://schemas.openxmlformats.org/drawingml/2006/picture">
            <wp:extent cx="5669280" cy="3325978"/>
            <wp:docPr id="5" name="Picture 5"/>
            <wp:cNvGraphicFramePr>
              <a:graphicFrameLocks noChangeAspect="1"/>
            </wp:cNvGraphicFramePr>
            <a:graphic>
              <a:graphicData uri="http://schemas.openxmlformats.org/drawingml/2006/picture">
                <pic:pic>
                  <pic:nvPicPr>
                    <pic:cNvPr id="0" name="bound_tightness.png"/>
                    <pic:cNvPicPr/>
                  </pic:nvPicPr>
                  <pic:blipFill>
                    <a:blip r:embed="rId14"/>
                    <a:stretch>
                      <a:fillRect/>
                    </a:stretch>
                  </pic:blipFill>
                  <pic:spPr>
                    <a:xfrm>
                      <a:off x="0" y="0"/>
                      <a:ext cx="5669280" cy="3325978"/>
                    </a:xfrm>
                    <a:prstGeom prst="rect"/>
                  </pic:spPr>
                </pic:pic>
              </a:graphicData>
            </a:graphic>
          </wp:inline>
        </w:drawing>
      </w:r>
    </w:p>
    <w:p>
      <w:pPr>
        <w:pStyle w:val="Heading2"/>
      </w:pPr>
      <w:r>
        <w:t>7.6 Comparison with the Version 2 MoE Benchmark</w:t>
      </w:r>
    </w:p>
    <w:p>
      <w:pPr/>
      <w:r>
        <w:t>The Version 2 6.2% pure-deletion rows reported +3.8% relative PPL on WikiText-2 and +2.2% on C4 at n_eval=512. The Version 3 ellipsoid rows report +0.610% and +1.672% at n_eval=1024. These values are directionally encouraging but are not a controlled before/after comparison: the baseline PPL changed from 12.3194/14.4115 to 12.8342/14.5643, establishing that the evaluated sample sets or protocol differ. The valid causal comparison is the contemporaneous fixed-allocation result within Version 3: ellipsoid versus original-bound and activation ranking under identical evaluation documents.</w:t>
      </w:r>
    </w:p>
    <w:p>
      <w:pPr>
        <w:pStyle w:val="Heading2"/>
      </w:pPr>
      <w:r>
        <w:t>7.7 Current Empirical Conclusion</w:t>
      </w:r>
    </w:p>
    <w:p>
      <w:pPr/>
      <w:r>
        <w:t>The combined 2%, 4%, and 6% evidence supports three claims. First, coordinatewise RMSNorm geometry contains useful channel-ranking information beyond the original spherical proxy. Second, this advantage persists under two allocation sources and two language-modeling corpora. Third, raw local-bound magnitudes should not be used as a global layer-sensitivity measure without normalization or downstream amplification modeling. The current evidence does not yet establish superiority at high pruning ratios, downstream-task preservation, or realized inference speed.</w:t>
      </w:r>
    </w:p>
    <w:p>
      <w:pPr>
        <w:pStyle w:val="Heading1"/>
      </w:pPr>
      <w:r>
        <w:t>8. What We Have Achieved So Far</w:t>
      </w:r>
    </w:p>
    <w:p>
      <w:pPr>
        <w:pStyle w:val="Caption"/>
      </w:pPr>
      <w:r>
        <w:rPr>
          <w:b/>
        </w:rPr>
        <w:t>Table 9. Research and engineering achievements since the previous draft.</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5040"/>
            <w:vAlign w:val="center"/>
            <w:shd w:fill="4F81BD"/>
            <w:tcMar>
              <w:top w:w="80" w:type="dxa"/>
              <w:start w:w="120" w:type="dxa"/>
              <w:bottom w:w="80" w:type="dxa"/>
              <w:end w:w="120" w:type="dxa"/>
            </w:tcMar>
          </w:tcPr>
          <w:p>
            <w:pPr>
              <w:spacing w:before="0" w:after="0" w:line="240" w:lineRule="auto"/>
              <w:jc w:val="center"/>
            </w:pPr>
            <w:r>
              <w:rPr>
                <w:rFonts w:ascii="Times New Roman" w:hAnsi="Times New Roman"/>
                <w:b/>
                <w:color w:val="FFFFFF"/>
                <w:sz w:val="17"/>
              </w:rPr>
            </w:r>
            <w:r>
              <w:rPr>
                <w:rFonts w:ascii="Times New Roman" w:hAnsi="Times New Roman"/>
                <w:b/>
                <w:color w:val="FFFFFF"/>
                <w:sz w:val="17"/>
              </w:rPr>
              <w:t>Achievement</w:t>
            </w:r>
          </w:p>
        </w:tc>
        <w:tc>
          <w:tcPr>
            <w:tcW w:type="dxa" w:w="5040"/>
            <w:vAlign w:val="center"/>
            <w:shd w:fill="4F81BD"/>
            <w:tcMar>
              <w:top w:w="80" w:type="dxa"/>
              <w:start w:w="120" w:type="dxa"/>
              <w:bottom w:w="80" w:type="dxa"/>
              <w:end w:w="120" w:type="dxa"/>
            </w:tcMar>
          </w:tcPr>
          <w:p>
            <w:pPr>
              <w:spacing w:before="0" w:after="0" w:line="240" w:lineRule="auto"/>
              <w:jc w:val="center"/>
            </w:pPr>
            <w:r>
              <w:rPr>
                <w:rFonts w:ascii="Times New Roman" w:hAnsi="Times New Roman"/>
                <w:b/>
                <w:color w:val="FFFFFF"/>
                <w:sz w:val="17"/>
              </w:rPr>
            </w:r>
            <w:r>
              <w:rPr>
                <w:rFonts w:ascii="Times New Roman" w:hAnsi="Times New Roman"/>
                <w:b/>
                <w:color w:val="FFFFFF"/>
                <w:sz w:val="17"/>
              </w:rPr>
              <w:t>Description</w:t>
            </w:r>
          </w:p>
        </w:tc>
      </w:tr>
      <w:tr>
        <w:tc>
          <w:tcPr>
            <w:tcW w:type="dxa" w:w="5040"/>
            <w:vAlign w:val="center"/>
            <w:tcMar>
              <w:top w:w="80" w:type="dxa"/>
              <w:start w:w="120" w:type="dxa"/>
              <w:bottom w:w="80" w:type="dxa"/>
              <w:end w:w="120" w:type="dxa"/>
            </w:tcMar>
          </w:tcPr>
          <w:p>
            <w:pPr>
              <w:spacing w:before="0" w:after="0" w:line="240" w:lineRule="auto"/>
            </w:pPr>
            <w:r>
              <w:rPr>
                <w:rFonts w:ascii="Times New Roman" w:hAnsi="Times New Roman"/>
                <w:sz w:val="17"/>
              </w:rPr>
            </w:r>
            <w:r>
              <w:rPr>
                <w:rFonts w:ascii="Times New Roman" w:hAnsi="Times New Roman"/>
                <w:b w:val="0"/>
                <w:sz w:val="17"/>
              </w:rPr>
              <w:t>Method formulation</w:t>
            </w:r>
          </w:p>
        </w:tc>
        <w:tc>
          <w:tcPr>
            <w:tcW w:type="dxa" w:w="5040"/>
            <w:vAlign w:val="center"/>
            <w:tcMar>
              <w:top w:w="80" w:type="dxa"/>
              <w:start w:w="120" w:type="dxa"/>
              <w:bottom w:w="80" w:type="dxa"/>
              <w:end w:w="120" w:type="dxa"/>
            </w:tcMar>
          </w:tcPr>
          <w:p>
            <w:pPr>
              <w:spacing w:before="0" w:after="0" w:line="240" w:lineRule="auto"/>
            </w:pPr>
            <w:r>
              <w:rPr>
                <w:rFonts w:ascii="Times New Roman" w:hAnsi="Times New Roman"/>
                <w:sz w:val="17"/>
              </w:rPr>
            </w:r>
            <w:r>
              <w:rPr>
                <w:rFonts w:ascii="Times New Roman" w:hAnsi="Times New Roman"/>
                <w:b w:val="0"/>
                <w:sz w:val="17"/>
              </w:rPr>
              <w:t>Defined SwiGLU channel pruning as a coupled gate/up/down physical deletion problem and created a bound-guided selection criterion.</w:t>
            </w:r>
          </w:p>
        </w:tc>
      </w:tr>
      <w:tr>
        <w:tc>
          <w:tcPr>
            <w:tcW w:type="dxa" w:w="5040"/>
            <w:vAlign w:val="center"/>
            <w:tcMar>
              <w:top w:w="80" w:type="dxa"/>
              <w:start w:w="120" w:type="dxa"/>
              <w:bottom w:w="80" w:type="dxa"/>
              <w:end w:w="120" w:type="dxa"/>
            </w:tcMar>
          </w:tcPr>
          <w:p>
            <w:pPr>
              <w:spacing w:before="0" w:after="0" w:line="240" w:lineRule="auto"/>
            </w:pPr>
            <w:r>
              <w:rPr>
                <w:rFonts w:ascii="Times New Roman" w:hAnsi="Times New Roman"/>
                <w:sz w:val="17"/>
              </w:rPr>
            </w:r>
            <w:r>
              <w:rPr>
                <w:rFonts w:ascii="Times New Roman" w:hAnsi="Times New Roman"/>
                <w:b w:val="0"/>
                <w:sz w:val="17"/>
              </w:rPr>
              <w:t>Dense validation</w:t>
            </w:r>
          </w:p>
        </w:tc>
        <w:tc>
          <w:tcPr>
            <w:tcW w:type="dxa" w:w="5040"/>
            <w:vAlign w:val="center"/>
            <w:tcMar>
              <w:top w:w="80" w:type="dxa"/>
              <w:start w:w="120" w:type="dxa"/>
              <w:bottom w:w="80" w:type="dxa"/>
              <w:end w:w="120" w:type="dxa"/>
            </w:tcMar>
          </w:tcPr>
          <w:p>
            <w:pPr>
              <w:spacing w:before="0" w:after="0" w:line="240" w:lineRule="auto"/>
            </w:pPr>
            <w:r>
              <w:rPr>
                <w:rFonts w:ascii="Times New Roman" w:hAnsi="Times New Roman"/>
                <w:sz w:val="17"/>
              </w:rPr>
            </w:r>
            <w:r>
              <w:rPr>
                <w:rFonts w:ascii="Times New Roman" w:hAnsi="Times New Roman"/>
                <w:b w:val="0"/>
                <w:sz w:val="17"/>
              </w:rPr>
              <w:t>Showed near-lossless 2-4% dense MLP pruning and meaningful residual recovery at 6-8% on Qwen2.5-3B/7B.</w:t>
            </w:r>
          </w:p>
        </w:tc>
      </w:tr>
      <w:tr>
        <w:tc>
          <w:tcPr>
            <w:tcW w:type="dxa" w:w="5040"/>
            <w:vAlign w:val="center"/>
            <w:tcMar>
              <w:top w:w="80" w:type="dxa"/>
              <w:start w:w="120" w:type="dxa"/>
              <w:bottom w:w="80" w:type="dxa"/>
              <w:end w:w="120" w:type="dxa"/>
            </w:tcMar>
          </w:tcPr>
          <w:p>
            <w:pPr>
              <w:spacing w:before="0" w:after="0" w:line="240" w:lineRule="auto"/>
            </w:pPr>
            <w:r>
              <w:rPr>
                <w:rFonts w:ascii="Times New Roman" w:hAnsi="Times New Roman"/>
                <w:sz w:val="17"/>
              </w:rPr>
            </w:r>
            <w:r>
              <w:rPr>
                <w:rFonts w:ascii="Times New Roman" w:hAnsi="Times New Roman"/>
                <w:b w:val="0"/>
                <w:sz w:val="17"/>
              </w:rPr>
              <w:t>MoE architecture support</w:t>
            </w:r>
          </w:p>
        </w:tc>
        <w:tc>
          <w:tcPr>
            <w:tcW w:type="dxa" w:w="5040"/>
            <w:vAlign w:val="center"/>
            <w:tcMar>
              <w:top w:w="80" w:type="dxa"/>
              <w:start w:w="120" w:type="dxa"/>
              <w:bottom w:w="80" w:type="dxa"/>
              <w:end w:w="120" w:type="dxa"/>
            </w:tcMar>
          </w:tcPr>
          <w:p>
            <w:pPr>
              <w:spacing w:before="0" w:after="0" w:line="240" w:lineRule="auto"/>
            </w:pPr>
            <w:r>
              <w:rPr>
                <w:rFonts w:ascii="Times New Roman" w:hAnsi="Times New Roman"/>
                <w:sz w:val="17"/>
              </w:rPr>
            </w:r>
            <w:r>
              <w:rPr>
                <w:rFonts w:ascii="Times New Roman" w:hAnsi="Times New Roman"/>
                <w:b w:val="0"/>
                <w:sz w:val="17"/>
              </w:rPr>
              <w:t>Handled Qwen3-30B-A3B’s unpacked ModuleList expert layout and avoided incorrect packed-only assumptions.</w:t>
            </w:r>
          </w:p>
        </w:tc>
      </w:tr>
      <w:tr>
        <w:tc>
          <w:tcPr>
            <w:tcW w:type="dxa" w:w="5040"/>
            <w:vAlign w:val="center"/>
            <w:tcMar>
              <w:top w:w="80" w:type="dxa"/>
              <w:start w:w="120" w:type="dxa"/>
              <w:bottom w:w="80" w:type="dxa"/>
              <w:end w:w="120" w:type="dxa"/>
            </w:tcMar>
          </w:tcPr>
          <w:p>
            <w:pPr>
              <w:spacing w:before="0" w:after="0" w:line="240" w:lineRule="auto"/>
            </w:pPr>
            <w:r>
              <w:rPr>
                <w:rFonts w:ascii="Times New Roman" w:hAnsi="Times New Roman"/>
                <w:sz w:val="17"/>
              </w:rPr>
            </w:r>
            <w:r>
              <w:rPr>
                <w:rFonts w:ascii="Times New Roman" w:hAnsi="Times New Roman"/>
                <w:b w:val="0"/>
                <w:sz w:val="17"/>
              </w:rPr>
              <w:t>Physical MoE pruning</w:t>
            </w:r>
          </w:p>
        </w:tc>
        <w:tc>
          <w:tcPr>
            <w:tcW w:type="dxa" w:w="5040"/>
            <w:vAlign w:val="center"/>
            <w:tcMar>
              <w:top w:w="80" w:type="dxa"/>
              <w:start w:w="120" w:type="dxa"/>
              <w:bottom w:w="80" w:type="dxa"/>
              <w:end w:w="120" w:type="dxa"/>
            </w:tcMar>
          </w:tcPr>
          <w:p>
            <w:pPr>
              <w:spacing w:before="0" w:after="0" w:line="240" w:lineRule="auto"/>
            </w:pPr>
            <w:r>
              <w:rPr>
                <w:rFonts w:ascii="Times New Roman" w:hAnsi="Times New Roman"/>
                <w:sz w:val="17"/>
              </w:rPr>
            </w:r>
            <w:r>
              <w:rPr>
                <w:rFonts w:ascii="Times New Roman" w:hAnsi="Times New Roman"/>
                <w:b w:val="0"/>
                <w:sz w:val="17"/>
              </w:rPr>
              <w:t>Verified real shape changes inside expert MLPs and active expert FLOP reductions.</w:t>
            </w:r>
          </w:p>
        </w:tc>
      </w:tr>
      <w:tr>
        <w:tc>
          <w:tcPr>
            <w:tcW w:type="dxa" w:w="5040"/>
            <w:vAlign w:val="center"/>
            <w:tcMar>
              <w:top w:w="80" w:type="dxa"/>
              <w:start w:w="120" w:type="dxa"/>
              <w:bottom w:w="80" w:type="dxa"/>
              <w:end w:w="120" w:type="dxa"/>
            </w:tcMar>
          </w:tcPr>
          <w:p>
            <w:pPr>
              <w:spacing w:before="0" w:after="0" w:line="240" w:lineRule="auto"/>
            </w:pPr>
            <w:r>
              <w:rPr>
                <w:rFonts w:ascii="Times New Roman" w:hAnsi="Times New Roman"/>
                <w:sz w:val="17"/>
              </w:rPr>
            </w:r>
            <w:r>
              <w:rPr>
                <w:rFonts w:ascii="Times New Roman" w:hAnsi="Times New Roman"/>
                <w:b w:val="0"/>
                <w:sz w:val="17"/>
              </w:rPr>
              <w:t>Residual variants</w:t>
            </w:r>
          </w:p>
        </w:tc>
        <w:tc>
          <w:tcPr>
            <w:tcW w:type="dxa" w:w="5040"/>
            <w:vAlign w:val="center"/>
            <w:tcMar>
              <w:top w:w="80" w:type="dxa"/>
              <w:start w:w="120" w:type="dxa"/>
              <w:bottom w:w="80" w:type="dxa"/>
              <w:end w:w="120" w:type="dxa"/>
            </w:tcMar>
          </w:tcPr>
          <w:p>
            <w:pPr>
              <w:spacing w:before="0" w:after="0" w:line="240" w:lineRule="auto"/>
            </w:pPr>
            <w:r>
              <w:rPr>
                <w:rFonts w:ascii="Times New Roman" w:hAnsi="Times New Roman"/>
                <w:sz w:val="17"/>
              </w:rPr>
            </w:r>
            <w:r>
              <w:rPr>
                <w:rFonts w:ascii="Times New Roman" w:hAnsi="Times New Roman"/>
                <w:b w:val="0"/>
                <w:sz w:val="17"/>
              </w:rPr>
              <w:t>Implemented and compared full residual, ridge residual, only-if-improves variants, and nearest-channel merge for MoE experts.</w:t>
            </w:r>
          </w:p>
        </w:tc>
      </w:tr>
      <w:tr>
        <w:tc>
          <w:tcPr>
            <w:tcW w:type="dxa" w:w="5040"/>
            <w:vAlign w:val="center"/>
            <w:tcMar>
              <w:top w:w="80" w:type="dxa"/>
              <w:start w:w="120" w:type="dxa"/>
              <w:bottom w:w="80" w:type="dxa"/>
              <w:end w:w="120" w:type="dxa"/>
            </w:tcMar>
          </w:tcPr>
          <w:p>
            <w:pPr>
              <w:spacing w:before="0" w:after="0" w:line="240" w:lineRule="auto"/>
            </w:pPr>
            <w:r>
              <w:rPr>
                <w:rFonts w:ascii="Times New Roman" w:hAnsi="Times New Roman"/>
                <w:sz w:val="17"/>
              </w:rPr>
            </w:r>
            <w:r>
              <w:rPr>
                <w:rFonts w:ascii="Times New Roman" w:hAnsi="Times New Roman"/>
                <w:b w:val="0"/>
                <w:sz w:val="17"/>
              </w:rPr>
              <w:t>Fair method comparison</w:t>
            </w:r>
          </w:p>
        </w:tc>
        <w:tc>
          <w:tcPr>
            <w:tcW w:type="dxa" w:w="5040"/>
            <w:vAlign w:val="center"/>
            <w:tcMar>
              <w:top w:w="80" w:type="dxa"/>
              <w:start w:w="120" w:type="dxa"/>
              <w:bottom w:w="80" w:type="dxa"/>
              <w:end w:w="120" w:type="dxa"/>
            </w:tcMar>
          </w:tcPr>
          <w:p>
            <w:pPr>
              <w:spacing w:before="0" w:after="0" w:line="240" w:lineRule="auto"/>
            </w:pPr>
            <w:r>
              <w:rPr>
                <w:rFonts w:ascii="Times New Roman" w:hAnsi="Times New Roman"/>
                <w:sz w:val="17"/>
              </w:rPr>
            </w:r>
            <w:r>
              <w:rPr>
                <w:rFonts w:ascii="Times New Roman" w:hAnsi="Times New Roman"/>
                <w:b w:val="0"/>
                <w:sz w:val="17"/>
              </w:rPr>
              <w:t>Added pruning-plan save/load so all methods at a target prune the same layer/channel plan.</w:t>
            </w:r>
          </w:p>
        </w:tc>
      </w:tr>
      <w:tr>
        <w:tc>
          <w:tcPr>
            <w:tcW w:type="dxa" w:w="5040"/>
            <w:vAlign w:val="center"/>
            <w:tcMar>
              <w:top w:w="80" w:type="dxa"/>
              <w:start w:w="120" w:type="dxa"/>
              <w:bottom w:w="80" w:type="dxa"/>
              <w:end w:w="120" w:type="dxa"/>
            </w:tcMar>
          </w:tcPr>
          <w:p>
            <w:pPr>
              <w:spacing w:before="0" w:after="0" w:line="240" w:lineRule="auto"/>
            </w:pPr>
            <w:r>
              <w:rPr>
                <w:rFonts w:ascii="Times New Roman" w:hAnsi="Times New Roman"/>
                <w:sz w:val="17"/>
              </w:rPr>
            </w:r>
            <w:r>
              <w:rPr>
                <w:rFonts w:ascii="Times New Roman" w:hAnsi="Times New Roman"/>
                <w:b w:val="0"/>
                <w:sz w:val="17"/>
              </w:rPr>
              <w:t>Benchmark reliability</w:t>
            </w:r>
          </w:p>
        </w:tc>
        <w:tc>
          <w:tcPr>
            <w:tcW w:type="dxa" w:w="5040"/>
            <w:vAlign w:val="center"/>
            <w:tcMar>
              <w:top w:w="80" w:type="dxa"/>
              <w:start w:w="120" w:type="dxa"/>
              <w:bottom w:w="80" w:type="dxa"/>
              <w:end w:w="120" w:type="dxa"/>
            </w:tcMar>
          </w:tcPr>
          <w:p>
            <w:pPr>
              <w:spacing w:before="0" w:after="0" w:line="240" w:lineRule="auto"/>
            </w:pPr>
            <w:r>
              <w:rPr>
                <w:rFonts w:ascii="Times New Roman" w:hAnsi="Times New Roman"/>
                <w:sz w:val="17"/>
              </w:rPr>
            </w:r>
            <w:r>
              <w:rPr>
                <w:rFonts w:ascii="Times New Roman" w:hAnsi="Times New Roman"/>
                <w:b w:val="0"/>
                <w:sz w:val="17"/>
              </w:rPr>
              <w:t>Built smoke, quick, and selected full benchmark scripts with run-specific directories and failure detection.</w:t>
            </w:r>
          </w:p>
        </w:tc>
      </w:tr>
      <w:tr>
        <w:tc>
          <w:tcPr>
            <w:tcW w:type="dxa" w:w="5040"/>
            <w:vAlign w:val="center"/>
            <w:tcMar>
              <w:top w:w="80" w:type="dxa"/>
              <w:start w:w="120" w:type="dxa"/>
              <w:bottom w:w="80" w:type="dxa"/>
              <w:end w:w="120" w:type="dxa"/>
            </w:tcMar>
          </w:tcPr>
          <w:p>
            <w:pPr>
              <w:spacing w:before="0" w:after="0" w:line="240" w:lineRule="auto"/>
            </w:pPr>
            <w:r>
              <w:rPr>
                <w:rFonts w:ascii="Times New Roman" w:hAnsi="Times New Roman"/>
                <w:sz w:val="17"/>
              </w:rPr>
            </w:r>
            <w:r>
              <w:rPr>
                <w:rFonts w:ascii="Times New Roman" w:hAnsi="Times New Roman"/>
                <w:b w:val="0"/>
                <w:sz w:val="17"/>
              </w:rPr>
              <w:t>Full selected MoE evaluation</w:t>
            </w:r>
          </w:p>
        </w:tc>
        <w:tc>
          <w:tcPr>
            <w:tcW w:type="dxa" w:w="5040"/>
            <w:vAlign w:val="center"/>
            <w:tcMar>
              <w:top w:w="80" w:type="dxa"/>
              <w:start w:w="120" w:type="dxa"/>
              <w:bottom w:w="80" w:type="dxa"/>
              <w:end w:w="120" w:type="dxa"/>
            </w:tcMar>
          </w:tcPr>
          <w:p>
            <w:pPr>
              <w:spacing w:before="0" w:after="0" w:line="240" w:lineRule="auto"/>
            </w:pPr>
            <w:r>
              <w:rPr>
                <w:rFonts w:ascii="Times New Roman" w:hAnsi="Times New Roman"/>
                <w:sz w:val="17"/>
              </w:rPr>
            </w:r>
            <w:r>
              <w:rPr>
                <w:rFonts w:ascii="Times New Roman" w:hAnsi="Times New Roman"/>
                <w:b w:val="0"/>
                <w:sz w:val="17"/>
              </w:rPr>
              <w:t>Completed 24/24 selected full benchmark runs across WikiText2, C4, 2/4/6/8%, and three methods.</w:t>
            </w:r>
          </w:p>
        </w:tc>
      </w:tr>
      <w:tr>
        <w:tc>
          <w:tcPr>
            <w:tcW w:type="dxa" w:w="5040"/>
            <w:vAlign w:val="center"/>
            <w:tcMar>
              <w:top w:w="80" w:type="dxa"/>
              <w:start w:w="120" w:type="dxa"/>
              <w:bottom w:w="80" w:type="dxa"/>
              <w:end w:w="120" w:type="dxa"/>
            </w:tcMar>
          </w:tcPr>
          <w:p>
            <w:pPr>
              <w:spacing w:before="0" w:after="0" w:line="240" w:lineRule="auto"/>
            </w:pPr>
            <w:r>
              <w:rPr>
                <w:rFonts w:ascii="Times New Roman" w:hAnsi="Times New Roman"/>
                <w:sz w:val="17"/>
              </w:rPr>
              <w:t>Exact ellipsoid theorem</w:t>
            </w:r>
          </w:p>
        </w:tc>
        <w:tc>
          <w:tcPr>
            <w:tcW w:type="dxa" w:w="5040"/>
            <w:vAlign w:val="center"/>
            <w:tcMar>
              <w:top w:w="80" w:type="dxa"/>
              <w:start w:w="120" w:type="dxa"/>
              <w:bottom w:w="80" w:type="dxa"/>
              <w:end w:w="120" w:type="dxa"/>
            </w:tcMar>
          </w:tcPr>
          <w:p>
            <w:pPr>
              <w:spacing w:before="0" w:after="0" w:line="240" w:lineRule="auto"/>
            </w:pPr>
            <w:r>
              <w:rPr>
                <w:rFonts w:ascii="Times New Roman" w:hAnsi="Times New Roman"/>
                <w:sz w:val="17"/>
              </w:rPr>
              <w:t>Derived the exact bilinear maximum over the RMSNorm-induced ellipsoid and implemented the resulting selector.</w:t>
            </w:r>
          </w:p>
        </w:tc>
      </w:tr>
      <w:tr>
        <w:tc>
          <w:tcPr>
            <w:tcW w:type="dxa" w:w="5040"/>
            <w:vAlign w:val="center"/>
            <w:tcMar>
              <w:top w:w="80" w:type="dxa"/>
              <w:start w:w="120" w:type="dxa"/>
              <w:bottom w:w="80" w:type="dxa"/>
              <w:end w:w="120" w:type="dxa"/>
            </w:tcMar>
          </w:tcPr>
          <w:p>
            <w:pPr>
              <w:spacing w:before="0" w:after="0" w:line="240" w:lineRule="auto"/>
            </w:pPr>
            <w:r>
              <w:rPr>
                <w:rFonts w:ascii="Times New Roman" w:hAnsi="Times New Roman"/>
                <w:sz w:val="17"/>
              </w:rPr>
              <w:t>Controlled selector attribution</w:t>
            </w:r>
          </w:p>
        </w:tc>
        <w:tc>
          <w:tcPr>
            <w:tcW w:type="dxa" w:w="5040"/>
            <w:vAlign w:val="center"/>
            <w:tcMar>
              <w:top w:w="80" w:type="dxa"/>
              <w:start w:w="120" w:type="dxa"/>
              <w:bottom w:w="80" w:type="dxa"/>
              <w:end w:w="120" w:type="dxa"/>
            </w:tcMar>
          </w:tcPr>
          <w:p>
            <w:pPr>
              <w:spacing w:before="0" w:after="0" w:line="240" w:lineRule="auto"/>
            </w:pPr>
            <w:r>
              <w:rPr>
                <w:rFonts w:ascii="Times New Roman" w:hAnsi="Times New Roman"/>
                <w:sz w:val="17"/>
              </w:rPr>
              <w:t>Separated allocation and ranking; ellipsoid ranking improves fixed-plan baselines at targets 4% and 6%.</w:t>
            </w:r>
          </w:p>
        </w:tc>
      </w:tr>
      <w:tr>
        <w:tc>
          <w:tcPr>
            <w:tcW w:type="dxa" w:w="5040"/>
            <w:vAlign w:val="center"/>
            <w:tcMar>
              <w:top w:w="80" w:type="dxa"/>
              <w:start w:w="120" w:type="dxa"/>
              <w:bottom w:w="80" w:type="dxa"/>
              <w:end w:w="120" w:type="dxa"/>
            </w:tcMar>
          </w:tcPr>
          <w:p>
            <w:pPr>
              <w:spacing w:before="0" w:after="0" w:line="240" w:lineRule="auto"/>
            </w:pPr>
            <w:r>
              <w:rPr>
                <w:rFonts w:ascii="Times New Roman" w:hAnsi="Times New Roman"/>
                <w:sz w:val="17"/>
              </w:rPr>
              <w:t>Statistical support</w:t>
            </w:r>
          </w:p>
        </w:tc>
        <w:tc>
          <w:tcPr>
            <w:tcW w:type="dxa" w:w="5040"/>
            <w:vAlign w:val="center"/>
            <w:tcMar>
              <w:top w:w="80" w:type="dxa"/>
              <w:start w:w="120" w:type="dxa"/>
              <w:bottom w:w="80" w:type="dxa"/>
              <w:end w:w="120" w:type="dxa"/>
            </w:tcMar>
          </w:tcPr>
          <w:p>
            <w:pPr>
              <w:spacing w:before="0" w:after="0" w:line="240" w:lineRule="auto"/>
            </w:pPr>
            <w:r>
              <w:rPr>
                <w:rFonts w:ascii="Times New Roman" w:hAnsi="Times New Roman"/>
                <w:sz w:val="17"/>
              </w:rPr>
              <w:t>Paired target-6 NLL intervals favor ellipsoid ranking over original-bound and activation ranking on both datasets.</w:t>
            </w:r>
          </w:p>
        </w:tc>
      </w:tr>
      <w:tr>
        <w:tc>
          <w:tcPr>
            <w:tcW w:type="dxa" w:w="5040"/>
            <w:vAlign w:val="center"/>
            <w:tcMar>
              <w:top w:w="80" w:type="dxa"/>
              <w:start w:w="120" w:type="dxa"/>
              <w:bottom w:w="80" w:type="dxa"/>
              <w:end w:w="120" w:type="dxa"/>
            </w:tcMar>
          </w:tcPr>
          <w:p>
            <w:pPr>
              <w:spacing w:before="0" w:after="0" w:line="240" w:lineRule="auto"/>
            </w:pPr>
            <w:r>
              <w:rPr>
                <w:rFonts w:ascii="Times New Roman" w:hAnsi="Times New Roman"/>
                <w:sz w:val="17"/>
              </w:rPr>
              <w:t>Certificate audit</w:t>
            </w:r>
          </w:p>
        </w:tc>
        <w:tc>
          <w:tcPr>
            <w:tcW w:type="dxa" w:w="5040"/>
            <w:vAlign w:val="center"/>
            <w:tcMar>
              <w:top w:w="80" w:type="dxa"/>
              <w:start w:w="120" w:type="dxa"/>
              <w:bottom w:w="80" w:type="dxa"/>
              <w:end w:w="120" w:type="dxa"/>
            </w:tcMar>
          </w:tcPr>
          <w:p>
            <w:pPr>
              <w:spacing w:before="0" w:after="0" w:line="240" w:lineRule="auto"/>
            </w:pPr>
            <w:r>
              <w:rPr>
                <w:rFonts w:ascii="Times New Roman" w:hAnsi="Times New Roman"/>
                <w:sz w:val="17"/>
              </w:rPr>
              <w:t>Zero sampled violations and roughly 4–6× tighter observed/bound ratios than the sphere.</w:t>
            </w:r>
          </w:p>
        </w:tc>
      </w:tr>
    </w:tbl>
    <w:p/>
    <w:p>
      <w:pPr>
        <w:pStyle w:val="Heading1"/>
      </w:pPr>
      <w:r>
        <w:t>9. Competitiveness and Research Position</w:t>
      </w:r>
    </w:p>
    <w:p>
      <w:r>
        <w:t>The current results are promising but should be framed carefully. The method is not directly comparable to SparseGPT or Wanda at the same compression ratio because those methods typically report unstructured or semi-structured weight sparsity, while our method physically removes SwiGLU/MoE expert channels. It is also not directly comparable to LLM-Pruner or SlimLLM if they use gradient scoring, LoRA recovery, or broader structural groups. The correct competitive claim is that our method is a practical no-finetuning structured pruning approach for Qwen-family SwiGLU and MoE expert MLPs.</w:t>
      </w:r>
    </w:p>
    <w:p>
      <w:r>
        <w:t>The strongest differentiator is the MoE expert-channel result. Many pruning papers evaluate dense LLaMA/OPT-style models; fewer focus on physical expert-channel pruning in a large open MoE model while preserving routers and reporting residual coverage. The Qwen3-30B-A3B result gives the draft a stronger systems angle: real expert parameter and active-FLOP reduction with dense shape changes.</w:t>
      </w:r>
    </w:p>
    <w:p>
      <w:r>
        <w:t>Version 3 changes the strongest differentiator. Physical expert-channel pruning alone is no longer sufficiently distinctive given recent atomic- and micro-expert methods. The more defensible contribution is the exact RMSNorm ellipsoid analysis and the controlled evidence that a certificate-derived, weight-only ranking can outperform a data-dependent activation ranking at the tested 6% operating point. This must still be compared against the closest modern methods at matched pruning units and budgets.</w:t>
      </w:r>
    </w:p>
    <w:p>
      <w:r>
        <w:t>The allocation/ranking diagnostic is itself useful: it shows that a mathematically tighter local bound need not be a better global allocation score. This clarifies a common conceptual error in structured pruning. A future global objective should combine the local certificate with a layer-sensitivity or downstream-amplification factor rather than treating raw bounds from different layers as commensurate.</w:t>
      </w:r>
    </w:p>
    <w:p>
      <w:r>
        <w:t>To compete convincingly at a CS venue, the paper still needs speed and downstream evaluation. PPL alone is a useful proxy, but systems venues will ask whether smaller shapes improve prefill/decode throughput and memory. ML venues will ask whether accuracy on standard tasks remains stable. Therefore, the next experiments should include measured latency/tokens-per-second and a small downstream task suite.</w:t>
      </w:r>
    </w:p>
    <w:p>
      <w:pPr>
        <w:pStyle w:val="Caption"/>
      </w:pPr>
      <w:r>
        <w:rPr>
          <w:b/>
        </w:rPr>
        <w:t>Table 10. What can be claimed now versus what still needs evidence.</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3360"/>
            <w:vAlign w:val="center"/>
            <w:shd w:fill="4F81BD"/>
            <w:tcMar>
              <w:top w:w="80" w:type="dxa"/>
              <w:start w:w="120" w:type="dxa"/>
              <w:bottom w:w="80" w:type="dxa"/>
              <w:end w:w="120" w:type="dxa"/>
            </w:tcMar>
          </w:tcPr>
          <w:p>
            <w:pPr>
              <w:spacing w:before="0" w:after="0" w:line="240" w:lineRule="auto"/>
              <w:jc w:val="center"/>
            </w:pPr>
            <w:r>
              <w:rPr>
                <w:rFonts w:ascii="Times New Roman" w:hAnsi="Times New Roman"/>
                <w:b/>
                <w:color w:val="FFFFFF"/>
                <w:sz w:val="17"/>
              </w:rPr>
            </w:r>
            <w:r>
              <w:rPr>
                <w:rFonts w:ascii="Times New Roman" w:hAnsi="Times New Roman"/>
                <w:b/>
                <w:color w:val="FFFFFF"/>
                <w:sz w:val="17"/>
              </w:rPr>
              <w:t>Claim level</w:t>
            </w:r>
          </w:p>
        </w:tc>
        <w:tc>
          <w:tcPr>
            <w:tcW w:type="dxa" w:w="3360"/>
            <w:vAlign w:val="center"/>
            <w:shd w:fill="4F81BD"/>
            <w:tcMar>
              <w:top w:w="80" w:type="dxa"/>
              <w:start w:w="120" w:type="dxa"/>
              <w:bottom w:w="80" w:type="dxa"/>
              <w:end w:w="120" w:type="dxa"/>
            </w:tcMar>
          </w:tcPr>
          <w:p>
            <w:pPr>
              <w:spacing w:before="0" w:after="0" w:line="240" w:lineRule="auto"/>
              <w:jc w:val="center"/>
            </w:pPr>
            <w:r>
              <w:rPr>
                <w:rFonts w:ascii="Times New Roman" w:hAnsi="Times New Roman"/>
                <w:b/>
                <w:color w:val="FFFFFF"/>
                <w:sz w:val="17"/>
              </w:rPr>
            </w:r>
            <w:r>
              <w:rPr>
                <w:rFonts w:ascii="Times New Roman" w:hAnsi="Times New Roman"/>
                <w:b/>
                <w:color w:val="FFFFFF"/>
                <w:sz w:val="17"/>
              </w:rPr>
              <w:t>Can we claim it now?</w:t>
            </w:r>
          </w:p>
        </w:tc>
        <w:tc>
          <w:tcPr>
            <w:tcW w:type="dxa" w:w="3360"/>
            <w:vAlign w:val="center"/>
            <w:shd w:fill="4F81BD"/>
            <w:tcMar>
              <w:top w:w="80" w:type="dxa"/>
              <w:start w:w="120" w:type="dxa"/>
              <w:bottom w:w="80" w:type="dxa"/>
              <w:end w:w="120" w:type="dxa"/>
            </w:tcMar>
          </w:tcPr>
          <w:p>
            <w:pPr>
              <w:spacing w:before="0" w:after="0" w:line="240" w:lineRule="auto"/>
              <w:jc w:val="center"/>
            </w:pPr>
            <w:r>
              <w:rPr>
                <w:rFonts w:ascii="Times New Roman" w:hAnsi="Times New Roman"/>
                <w:b/>
                <w:color w:val="FFFFFF"/>
                <w:sz w:val="17"/>
              </w:rPr>
            </w:r>
            <w:r>
              <w:rPr>
                <w:rFonts w:ascii="Times New Roman" w:hAnsi="Times New Roman"/>
                <w:b/>
                <w:color w:val="FFFFFF"/>
                <w:sz w:val="17"/>
              </w:rPr>
              <w:t>Evidence needed</w:t>
            </w:r>
          </w:p>
        </w:tc>
      </w:tr>
      <w:tr>
        <w:tc>
          <w:tcPr>
            <w:tcW w:type="dxa" w:w="3360"/>
            <w:vAlign w:val="center"/>
            <w:tcMar>
              <w:top w:w="80" w:type="dxa"/>
              <w:start w:w="120" w:type="dxa"/>
              <w:bottom w:w="80" w:type="dxa"/>
              <w:end w:w="120" w:type="dxa"/>
            </w:tcMar>
          </w:tcPr>
          <w:p>
            <w:pPr>
              <w:spacing w:before="0" w:after="0" w:line="240" w:lineRule="auto"/>
            </w:pPr>
            <w:r>
              <w:rPr>
                <w:rFonts w:ascii="Times New Roman" w:hAnsi="Times New Roman"/>
                <w:sz w:val="17"/>
              </w:rPr>
            </w:r>
            <w:r>
              <w:rPr>
                <w:rFonts w:ascii="Times New Roman" w:hAnsi="Times New Roman"/>
                <w:b w:val="0"/>
                <w:sz w:val="17"/>
              </w:rPr>
              <w:t>Physical structured pruning works for dense SwiGLU MLPs</w:t>
            </w:r>
          </w:p>
        </w:tc>
        <w:tc>
          <w:tcPr>
            <w:tcW w:type="dxa" w:w="3360"/>
            <w:vAlign w:val="center"/>
            <w:tcMar>
              <w:top w:w="80" w:type="dxa"/>
              <w:start w:w="120" w:type="dxa"/>
              <w:bottom w:w="80" w:type="dxa"/>
              <w:end w:w="120" w:type="dxa"/>
            </w:tcMar>
          </w:tcPr>
          <w:p>
            <w:pPr>
              <w:spacing w:before="0" w:after="0" w:line="240" w:lineRule="auto"/>
            </w:pPr>
            <w:r>
              <w:rPr>
                <w:rFonts w:ascii="Times New Roman" w:hAnsi="Times New Roman"/>
                <w:sz w:val="17"/>
              </w:rPr>
            </w:r>
            <w:r>
              <w:rPr>
                <w:rFonts w:ascii="Times New Roman" w:hAnsi="Times New Roman"/>
                <w:b w:val="0"/>
                <w:sz w:val="17"/>
              </w:rPr>
              <w:t>Yes</w:t>
            </w:r>
          </w:p>
        </w:tc>
        <w:tc>
          <w:tcPr>
            <w:tcW w:type="dxa" w:w="3360"/>
            <w:vAlign w:val="center"/>
            <w:tcMar>
              <w:top w:w="80" w:type="dxa"/>
              <w:start w:w="120" w:type="dxa"/>
              <w:bottom w:w="80" w:type="dxa"/>
              <w:end w:w="120" w:type="dxa"/>
            </w:tcMar>
          </w:tcPr>
          <w:p>
            <w:pPr>
              <w:spacing w:before="0" w:after="0" w:line="240" w:lineRule="auto"/>
            </w:pPr>
            <w:r>
              <w:rPr>
                <w:rFonts w:ascii="Times New Roman" w:hAnsi="Times New Roman"/>
                <w:sz w:val="17"/>
              </w:rPr>
            </w:r>
            <w:r>
              <w:rPr>
                <w:rFonts w:ascii="Times New Roman" w:hAnsi="Times New Roman"/>
                <w:b w:val="0"/>
                <w:sz w:val="17"/>
              </w:rPr>
              <w:t>Dense Qwen2.5 target-pruning results with shape changes and PPL.</w:t>
            </w:r>
          </w:p>
        </w:tc>
      </w:tr>
      <w:tr>
        <w:tc>
          <w:tcPr>
            <w:tcW w:type="dxa" w:w="3360"/>
            <w:vAlign w:val="center"/>
            <w:tcMar>
              <w:top w:w="80" w:type="dxa"/>
              <w:start w:w="120" w:type="dxa"/>
              <w:bottom w:w="80" w:type="dxa"/>
              <w:end w:w="120" w:type="dxa"/>
            </w:tcMar>
          </w:tcPr>
          <w:p>
            <w:pPr>
              <w:spacing w:before="0" w:after="0" w:line="240" w:lineRule="auto"/>
            </w:pPr>
            <w:r>
              <w:rPr>
                <w:rFonts w:ascii="Times New Roman" w:hAnsi="Times New Roman"/>
                <w:sz w:val="17"/>
              </w:rPr>
            </w:r>
            <w:r>
              <w:rPr>
                <w:rFonts w:ascii="Times New Roman" w:hAnsi="Times New Roman"/>
                <w:b w:val="0"/>
                <w:sz w:val="17"/>
              </w:rPr>
              <w:t>Physical structured pruning works for Qwen3 MoE experts</w:t>
            </w:r>
          </w:p>
        </w:tc>
        <w:tc>
          <w:tcPr>
            <w:tcW w:type="dxa" w:w="3360"/>
            <w:vAlign w:val="center"/>
            <w:tcMar>
              <w:top w:w="80" w:type="dxa"/>
              <w:start w:w="120" w:type="dxa"/>
              <w:bottom w:w="80" w:type="dxa"/>
              <w:end w:w="120" w:type="dxa"/>
            </w:tcMar>
          </w:tcPr>
          <w:p>
            <w:pPr>
              <w:spacing w:before="0" w:after="0" w:line="240" w:lineRule="auto"/>
            </w:pPr>
            <w:r>
              <w:rPr>
                <w:rFonts w:ascii="Times New Roman" w:hAnsi="Times New Roman"/>
                <w:sz w:val="17"/>
              </w:rPr>
            </w:r>
            <w:r>
              <w:rPr>
                <w:rFonts w:ascii="Times New Roman" w:hAnsi="Times New Roman"/>
                <w:b w:val="0"/>
                <w:sz w:val="17"/>
              </w:rPr>
              <w:t>Yes, preliminarily</w:t>
            </w:r>
          </w:p>
        </w:tc>
        <w:tc>
          <w:tcPr>
            <w:tcW w:type="dxa" w:w="3360"/>
            <w:vAlign w:val="center"/>
            <w:tcMar>
              <w:top w:w="80" w:type="dxa"/>
              <w:start w:w="120" w:type="dxa"/>
              <w:bottom w:w="80" w:type="dxa"/>
              <w:end w:w="120" w:type="dxa"/>
            </w:tcMar>
          </w:tcPr>
          <w:p>
            <w:pPr>
              <w:spacing w:before="0" w:after="0" w:line="240" w:lineRule="auto"/>
            </w:pPr>
            <w:r>
              <w:rPr>
                <w:rFonts w:ascii="Times New Roman" w:hAnsi="Times New Roman"/>
                <w:sz w:val="17"/>
              </w:rPr>
            </w:r>
            <w:r>
              <w:rPr>
                <w:rFonts w:ascii="Times New Roman" w:hAnsi="Times New Roman"/>
                <w:b w:val="0"/>
                <w:sz w:val="17"/>
              </w:rPr>
              <w:t>24/24 selected full benchmark runs with forward checks and PPL.</w:t>
            </w:r>
          </w:p>
        </w:tc>
      </w:tr>
      <w:tr>
        <w:tc>
          <w:tcPr>
            <w:tcW w:type="dxa" w:w="3360"/>
            <w:vAlign w:val="center"/>
            <w:tcMar>
              <w:top w:w="80" w:type="dxa"/>
              <w:start w:w="120" w:type="dxa"/>
              <w:bottom w:w="80" w:type="dxa"/>
              <w:end w:w="120" w:type="dxa"/>
            </w:tcMar>
          </w:tcPr>
          <w:p>
            <w:pPr>
              <w:spacing w:before="0" w:after="0" w:line="240" w:lineRule="auto"/>
            </w:pPr>
            <w:r>
              <w:rPr>
                <w:rFonts w:ascii="Times New Roman" w:hAnsi="Times New Roman"/>
                <w:sz w:val="17"/>
              </w:rPr>
            </w:r>
            <w:r>
              <w:rPr>
                <w:rFonts w:ascii="Times New Roman" w:hAnsi="Times New Roman"/>
                <w:b w:val="0"/>
                <w:sz w:val="17"/>
              </w:rPr>
              <w:t>Nearest-channel residual merge is the best MoE repair method</w:t>
            </w:r>
          </w:p>
        </w:tc>
        <w:tc>
          <w:tcPr>
            <w:tcW w:type="dxa" w:w="3360"/>
            <w:vAlign w:val="center"/>
            <w:tcMar>
              <w:top w:w="80" w:type="dxa"/>
              <w:start w:w="120" w:type="dxa"/>
              <w:bottom w:w="80" w:type="dxa"/>
              <w:end w:w="120" w:type="dxa"/>
            </w:tcMar>
          </w:tcPr>
          <w:p>
            <w:pPr>
              <w:spacing w:before="0" w:after="0" w:line="240" w:lineRule="auto"/>
            </w:pPr>
            <w:r>
              <w:rPr>
                <w:rFonts w:ascii="Times New Roman" w:hAnsi="Times New Roman"/>
                <w:sz w:val="17"/>
              </w:rPr>
            </w:r>
            <w:r>
              <w:rPr>
                <w:rFonts w:ascii="Times New Roman" w:hAnsi="Times New Roman"/>
                <w:b w:val="0"/>
                <w:sz w:val="17"/>
              </w:rPr>
              <w:t>For current tested settings</w:t>
            </w:r>
          </w:p>
        </w:tc>
        <w:tc>
          <w:tcPr>
            <w:tcW w:type="dxa" w:w="3360"/>
            <w:vAlign w:val="center"/>
            <w:tcMar>
              <w:top w:w="80" w:type="dxa"/>
              <w:start w:w="120" w:type="dxa"/>
              <w:bottom w:w="80" w:type="dxa"/>
              <w:end w:w="120" w:type="dxa"/>
            </w:tcMar>
          </w:tcPr>
          <w:p>
            <w:pPr>
              <w:spacing w:before="0" w:after="0" w:line="240" w:lineRule="auto"/>
            </w:pPr>
            <w:r>
              <w:rPr>
                <w:rFonts w:ascii="Times New Roman" w:hAnsi="Times New Roman"/>
                <w:sz w:val="17"/>
              </w:rPr>
            </w:r>
            <w:r>
              <w:rPr>
                <w:rFonts w:ascii="Times New Roman" w:hAnsi="Times New Roman"/>
                <w:b w:val="0"/>
                <w:sz w:val="17"/>
              </w:rPr>
              <w:t>It wins or ties at 2/4/6%; pure delete wins at 8%.</w:t>
            </w:r>
          </w:p>
        </w:tc>
      </w:tr>
      <w:tr>
        <w:tc>
          <w:tcPr>
            <w:tcW w:type="dxa" w:w="3360"/>
            <w:vAlign w:val="center"/>
            <w:tcMar>
              <w:top w:w="80" w:type="dxa"/>
              <w:start w:w="120" w:type="dxa"/>
              <w:bottom w:w="80" w:type="dxa"/>
              <w:end w:w="120" w:type="dxa"/>
            </w:tcMar>
          </w:tcPr>
          <w:p>
            <w:pPr>
              <w:spacing w:before="0" w:after="0" w:line="240" w:lineRule="auto"/>
            </w:pPr>
            <w:r>
              <w:rPr>
                <w:rFonts w:ascii="Times New Roman" w:hAnsi="Times New Roman"/>
                <w:sz w:val="17"/>
              </w:rPr>
            </w:r>
            <w:r>
              <w:rPr>
                <w:rFonts w:ascii="Times New Roman" w:hAnsi="Times New Roman"/>
                <w:b w:val="0"/>
                <w:sz w:val="17"/>
              </w:rPr>
              <w:t>State-of-the-art LLM pruning</w:t>
            </w:r>
          </w:p>
        </w:tc>
        <w:tc>
          <w:tcPr>
            <w:tcW w:type="dxa" w:w="3360"/>
            <w:vAlign w:val="center"/>
            <w:tcMar>
              <w:top w:w="80" w:type="dxa"/>
              <w:start w:w="120" w:type="dxa"/>
              <w:bottom w:w="80" w:type="dxa"/>
              <w:end w:w="120" w:type="dxa"/>
            </w:tcMar>
          </w:tcPr>
          <w:p>
            <w:pPr>
              <w:spacing w:before="0" w:after="0" w:line="240" w:lineRule="auto"/>
            </w:pPr>
            <w:r>
              <w:rPr>
                <w:rFonts w:ascii="Times New Roman" w:hAnsi="Times New Roman"/>
                <w:sz w:val="17"/>
              </w:rPr>
            </w:r>
            <w:r>
              <w:rPr>
                <w:rFonts w:ascii="Times New Roman" w:hAnsi="Times New Roman"/>
                <w:b w:val="0"/>
                <w:sz w:val="17"/>
              </w:rPr>
              <w:t>Not yet</w:t>
            </w:r>
          </w:p>
        </w:tc>
        <w:tc>
          <w:tcPr>
            <w:tcW w:type="dxa" w:w="3360"/>
            <w:vAlign w:val="center"/>
            <w:tcMar>
              <w:top w:w="80" w:type="dxa"/>
              <w:start w:w="120" w:type="dxa"/>
              <w:bottom w:w="80" w:type="dxa"/>
              <w:end w:w="120" w:type="dxa"/>
            </w:tcMar>
          </w:tcPr>
          <w:p>
            <w:pPr>
              <w:spacing w:before="0" w:after="0" w:line="240" w:lineRule="auto"/>
            </w:pPr>
            <w:r>
              <w:rPr>
                <w:rFonts w:ascii="Times New Roman" w:hAnsi="Times New Roman"/>
                <w:sz w:val="17"/>
              </w:rPr>
            </w:r>
            <w:r>
              <w:rPr>
                <w:rFonts w:ascii="Times New Roman" w:hAnsi="Times New Roman"/>
                <w:b w:val="0"/>
                <w:sz w:val="17"/>
              </w:rPr>
              <w:t>Need external baselines, downstream tasks, and speed comparisons.</w:t>
            </w:r>
          </w:p>
        </w:tc>
      </w:tr>
      <w:tr>
        <w:tc>
          <w:tcPr>
            <w:tcW w:type="dxa" w:w="3360"/>
            <w:vAlign w:val="center"/>
            <w:tcMar>
              <w:top w:w="80" w:type="dxa"/>
              <w:start w:w="120" w:type="dxa"/>
              <w:bottom w:w="80" w:type="dxa"/>
              <w:end w:w="120" w:type="dxa"/>
            </w:tcMar>
          </w:tcPr>
          <w:p>
            <w:pPr>
              <w:spacing w:before="0" w:after="0" w:line="240" w:lineRule="auto"/>
            </w:pPr>
            <w:r>
              <w:rPr>
                <w:rFonts w:ascii="Times New Roman" w:hAnsi="Times New Roman"/>
                <w:sz w:val="17"/>
              </w:rPr>
            </w:r>
            <w:r>
              <w:rPr>
                <w:rFonts w:ascii="Times New Roman" w:hAnsi="Times New Roman"/>
                <w:b w:val="0"/>
                <w:sz w:val="17"/>
              </w:rPr>
              <w:t>Inference speedup</w:t>
            </w:r>
          </w:p>
        </w:tc>
        <w:tc>
          <w:tcPr>
            <w:tcW w:type="dxa" w:w="3360"/>
            <w:vAlign w:val="center"/>
            <w:tcMar>
              <w:top w:w="80" w:type="dxa"/>
              <w:start w:w="120" w:type="dxa"/>
              <w:bottom w:w="80" w:type="dxa"/>
              <w:end w:w="120" w:type="dxa"/>
            </w:tcMar>
          </w:tcPr>
          <w:p>
            <w:pPr>
              <w:spacing w:before="0" w:after="0" w:line="240" w:lineRule="auto"/>
            </w:pPr>
            <w:r>
              <w:rPr>
                <w:rFonts w:ascii="Times New Roman" w:hAnsi="Times New Roman"/>
                <w:sz w:val="17"/>
              </w:rPr>
            </w:r>
            <w:r>
              <w:rPr>
                <w:rFonts w:ascii="Times New Roman" w:hAnsi="Times New Roman"/>
                <w:b w:val="0"/>
                <w:sz w:val="17"/>
              </w:rPr>
              <w:t>Not yet</w:t>
            </w:r>
          </w:p>
        </w:tc>
        <w:tc>
          <w:tcPr>
            <w:tcW w:type="dxa" w:w="3360"/>
            <w:vAlign w:val="center"/>
            <w:tcMar>
              <w:top w:w="80" w:type="dxa"/>
              <w:start w:w="120" w:type="dxa"/>
              <w:bottom w:w="80" w:type="dxa"/>
              <w:end w:w="120" w:type="dxa"/>
            </w:tcMar>
          </w:tcPr>
          <w:p>
            <w:pPr>
              <w:spacing w:before="0" w:after="0" w:line="240" w:lineRule="auto"/>
            </w:pPr>
            <w:r>
              <w:rPr>
                <w:rFonts w:ascii="Times New Roman" w:hAnsi="Times New Roman"/>
                <w:sz w:val="17"/>
              </w:rPr>
            </w:r>
            <w:r>
              <w:rPr>
                <w:rFonts w:ascii="Times New Roman" w:hAnsi="Times New Roman"/>
                <w:b w:val="0"/>
                <w:sz w:val="17"/>
              </w:rPr>
              <w:t>Need prefill/decode/tokens-sec benchmarks in an optimized runtime.</w:t>
            </w:r>
          </w:p>
        </w:tc>
      </w:tr>
      <w:tr>
        <w:tc>
          <w:tcPr>
            <w:tcW w:type="dxa" w:w="3360"/>
            <w:vAlign w:val="center"/>
            <w:tcMar>
              <w:top w:w="80" w:type="dxa"/>
              <w:start w:w="120" w:type="dxa"/>
              <w:bottom w:w="80" w:type="dxa"/>
              <w:end w:w="120" w:type="dxa"/>
            </w:tcMar>
          </w:tcPr>
          <w:p>
            <w:pPr>
              <w:spacing w:before="0" w:after="0" w:line="240" w:lineRule="auto"/>
            </w:pPr>
            <w:r>
              <w:rPr>
                <w:rFonts w:ascii="Times New Roman" w:hAnsi="Times New Roman"/>
                <w:sz w:val="17"/>
              </w:rPr>
              <w:t>Ellipsoid ranking is better than the original ranking under fixed target-6 allocation</w:t>
            </w:r>
          </w:p>
        </w:tc>
        <w:tc>
          <w:tcPr>
            <w:tcW w:type="dxa" w:w="3360"/>
            <w:vAlign w:val="center"/>
            <w:tcMar>
              <w:top w:w="80" w:type="dxa"/>
              <w:start w:w="120" w:type="dxa"/>
              <w:bottom w:w="80" w:type="dxa"/>
              <w:end w:w="120" w:type="dxa"/>
            </w:tcMar>
          </w:tcPr>
          <w:p>
            <w:pPr>
              <w:spacing w:before="0" w:after="0" w:line="240" w:lineRule="auto"/>
            </w:pPr>
            <w:r>
              <w:rPr>
                <w:rFonts w:ascii="Times New Roman" w:hAnsi="Times New Roman"/>
                <w:sz w:val="17"/>
              </w:rPr>
              <w:t>Yes, for current WT2/C4 protocol</w:t>
            </w:r>
          </w:p>
        </w:tc>
        <w:tc>
          <w:tcPr>
            <w:tcW w:type="dxa" w:w="3360"/>
            <w:vAlign w:val="center"/>
            <w:tcMar>
              <w:top w:w="80" w:type="dxa"/>
              <w:start w:w="120" w:type="dxa"/>
              <w:bottom w:w="80" w:type="dxa"/>
              <w:end w:w="120" w:type="dxa"/>
            </w:tcMar>
          </w:tcPr>
          <w:p>
            <w:pPr>
              <w:spacing w:before="0" w:after="0" w:line="240" w:lineRule="auto"/>
            </w:pPr>
            <w:r>
              <w:rPr>
                <w:rFonts w:ascii="Times New Roman" w:hAnsi="Times New Roman"/>
                <w:sz w:val="17"/>
              </w:rPr>
              <w:t>Paired 95% NLL intervals exclude zero on both datasets.</w:t>
            </w:r>
          </w:p>
        </w:tc>
      </w:tr>
      <w:tr>
        <w:tc>
          <w:tcPr>
            <w:tcW w:type="dxa" w:w="3360"/>
            <w:vAlign w:val="center"/>
            <w:tcMar>
              <w:top w:w="80" w:type="dxa"/>
              <w:start w:w="120" w:type="dxa"/>
              <w:bottom w:w="80" w:type="dxa"/>
              <w:end w:w="120" w:type="dxa"/>
            </w:tcMar>
          </w:tcPr>
          <w:p>
            <w:pPr>
              <w:spacing w:before="0" w:after="0" w:line="240" w:lineRule="auto"/>
            </w:pPr>
            <w:r>
              <w:rPr>
                <w:rFonts w:ascii="Times New Roman" w:hAnsi="Times New Roman"/>
                <w:sz w:val="17"/>
              </w:rPr>
              <w:t>Ellipsoid ranking is calibration-free</w:t>
            </w:r>
          </w:p>
        </w:tc>
        <w:tc>
          <w:tcPr>
            <w:tcW w:type="dxa" w:w="3360"/>
            <w:vAlign w:val="center"/>
            <w:tcMar>
              <w:top w:w="80" w:type="dxa"/>
              <w:start w:w="120" w:type="dxa"/>
              <w:bottom w:w="80" w:type="dxa"/>
              <w:end w:w="120" w:type="dxa"/>
            </w:tcMar>
          </w:tcPr>
          <w:p>
            <w:pPr>
              <w:spacing w:before="0" w:after="0" w:line="240" w:lineRule="auto"/>
            </w:pPr>
            <w:r>
              <w:rPr>
                <w:rFonts w:ascii="Times New Roman" w:hAnsi="Times New Roman"/>
                <w:sz w:val="17"/>
              </w:rPr>
              <w:t>Yes for scoring</w:t>
            </w:r>
          </w:p>
        </w:tc>
        <w:tc>
          <w:tcPr>
            <w:tcW w:type="dxa" w:w="3360"/>
            <w:vAlign w:val="center"/>
            <w:tcMar>
              <w:top w:w="80" w:type="dxa"/>
              <w:start w:w="120" w:type="dxa"/>
              <w:bottom w:w="80" w:type="dxa"/>
              <w:end w:w="120" w:type="dxa"/>
            </w:tcMar>
          </w:tcPr>
          <w:p>
            <w:pPr>
              <w:spacing w:before="0" w:after="0" w:line="240" w:lineRule="auto"/>
            </w:pPr>
            <w:r>
              <w:rPr>
                <w:rFonts w:ascii="Times New Roman" w:hAnsi="Times New Roman"/>
                <w:sz w:val="17"/>
              </w:rPr>
              <w:t>Confirm that no evaluation data enter model selection or allocation tuning.</w:t>
            </w:r>
          </w:p>
        </w:tc>
      </w:tr>
      <w:tr>
        <w:tc>
          <w:tcPr>
            <w:tcW w:type="dxa" w:w="3360"/>
            <w:vAlign w:val="center"/>
            <w:tcMar>
              <w:top w:w="80" w:type="dxa"/>
              <w:start w:w="120" w:type="dxa"/>
              <w:bottom w:w="80" w:type="dxa"/>
              <w:end w:w="120" w:type="dxa"/>
            </w:tcMar>
          </w:tcPr>
          <w:p>
            <w:pPr>
              <w:spacing w:before="0" w:after="0" w:line="240" w:lineRule="auto"/>
            </w:pPr>
            <w:r>
              <w:rPr>
                <w:rFonts w:ascii="Times New Roman" w:hAnsi="Times New Roman"/>
                <w:sz w:val="17"/>
              </w:rPr>
              <w:t>Current p95 packed-channel method is uniformly certified across experts</w:t>
            </w:r>
          </w:p>
        </w:tc>
        <w:tc>
          <w:tcPr>
            <w:tcW w:type="dxa" w:w="3360"/>
            <w:vAlign w:val="center"/>
            <w:tcMar>
              <w:top w:w="80" w:type="dxa"/>
              <w:start w:w="120" w:type="dxa"/>
              <w:bottom w:w="80" w:type="dxa"/>
              <w:end w:w="120" w:type="dxa"/>
            </w:tcMar>
          </w:tcPr>
          <w:p>
            <w:pPr>
              <w:spacing w:before="0" w:after="0" w:line="240" w:lineRule="auto"/>
            </w:pPr>
            <w:r>
              <w:rPr>
                <w:rFonts w:ascii="Times New Roman" w:hAnsi="Times New Roman"/>
                <w:sz w:val="17"/>
              </w:rPr>
              <w:t>No</w:t>
            </w:r>
          </w:p>
        </w:tc>
        <w:tc>
          <w:tcPr>
            <w:tcW w:type="dxa" w:w="3360"/>
            <w:vAlign w:val="center"/>
            <w:tcMar>
              <w:top w:w="80" w:type="dxa"/>
              <w:start w:w="120" w:type="dxa"/>
              <w:bottom w:w="80" w:type="dxa"/>
              <w:end w:w="120" w:type="dxa"/>
            </w:tcMar>
          </w:tcPr>
          <w:p>
            <w:pPr>
              <w:spacing w:before="0" w:after="0" w:line="240" w:lineRule="auto"/>
            </w:pPr>
            <w:r>
              <w:rPr>
                <w:rFonts w:ascii="Times New Roman" w:hAnsi="Times New Roman"/>
                <w:sz w:val="17"/>
              </w:rPr>
              <w:t>Run max-expert aggregation or state p95 as a heuristic.</w:t>
            </w:r>
          </w:p>
        </w:tc>
      </w:tr>
      <w:tr>
        <w:tc>
          <w:tcPr>
            <w:tcW w:type="dxa" w:w="3360"/>
            <w:vAlign w:val="center"/>
            <w:tcMar>
              <w:top w:w="80" w:type="dxa"/>
              <w:start w:w="120" w:type="dxa"/>
              <w:bottom w:w="80" w:type="dxa"/>
              <w:end w:w="120" w:type="dxa"/>
            </w:tcMar>
          </w:tcPr>
          <w:p>
            <w:pPr>
              <w:spacing w:before="0" w:after="0" w:line="240" w:lineRule="auto"/>
            </w:pPr>
            <w:r>
              <w:rPr>
                <w:rFonts w:ascii="Times New Roman" w:hAnsi="Times New Roman"/>
                <w:sz w:val="17"/>
              </w:rPr>
              <w:t>The ellipsoid selector is state of the art at high pruning ratios</w:t>
            </w:r>
          </w:p>
        </w:tc>
        <w:tc>
          <w:tcPr>
            <w:tcW w:type="dxa" w:w="3360"/>
            <w:vAlign w:val="center"/>
            <w:tcMar>
              <w:top w:w="80" w:type="dxa"/>
              <w:start w:w="120" w:type="dxa"/>
              <w:bottom w:w="80" w:type="dxa"/>
              <w:end w:w="120" w:type="dxa"/>
            </w:tcMar>
          </w:tcPr>
          <w:p>
            <w:pPr>
              <w:spacing w:before="0" w:after="0" w:line="240" w:lineRule="auto"/>
            </w:pPr>
            <w:r>
              <w:rPr>
                <w:rFonts w:ascii="Times New Roman" w:hAnsi="Times New Roman"/>
                <w:sz w:val="17"/>
              </w:rPr>
              <w:t>Not yet</w:t>
            </w:r>
          </w:p>
        </w:tc>
        <w:tc>
          <w:tcPr>
            <w:tcW w:type="dxa" w:w="3360"/>
            <w:vAlign w:val="center"/>
            <w:tcMar>
              <w:top w:w="80" w:type="dxa"/>
              <w:start w:w="120" w:type="dxa"/>
              <w:bottom w:w="80" w:type="dxa"/>
              <w:end w:w="120" w:type="dxa"/>
            </w:tcMar>
          </w:tcPr>
          <w:p>
            <w:pPr>
              <w:spacing w:before="0" w:after="0" w:line="240" w:lineRule="auto"/>
            </w:pPr>
            <w:r>
              <w:rPr>
                <w:rFonts w:ascii="Times New Roman" w:hAnsi="Times New Roman"/>
                <w:sz w:val="17"/>
              </w:rPr>
              <w:t>Need target 8%, downstream tasks, and matched HEAPr/CAMERA/attribution baselines.</w:t>
            </w:r>
          </w:p>
        </w:tc>
      </w:tr>
    </w:tbl>
    <w:p/>
    <w:p>
      <w:pPr>
        <w:pStyle w:val="Heading1"/>
      </w:pPr>
      <w:r>
        <w:t>10. Limitations</w:t>
      </w:r>
    </w:p>
    <w:p>
      <w:pPr>
        <w:pStyle w:val="ListBullet"/>
      </w:pPr>
      <w:r>
        <w:t>Current evaluation is based on PPL. Downstream tasks such as MMLU, HellaSwag, ARC, GSM8K, and coding tasks are not yet measured.</w:t>
      </w:r>
    </w:p>
    <w:p>
      <w:pPr>
        <w:pStyle w:val="ListBullet"/>
      </w:pPr>
      <w:r>
        <w:t>Measured latency and throughput are not yet included. Physical shape reduction should reduce active expert FLOPs, but end-to-end speed depends on kernels, batching, routing overhead, and inference framework support.</w:t>
      </w:r>
    </w:p>
    <w:p>
      <w:pPr>
        <w:pStyle w:val="ListBullet"/>
      </w:pPr>
      <w:r>
        <w:t>MoE residual coverage is low (about 6.2-6.4% in the selected full benchmark). This limits the strength of residual reconstruction and explains why pure deletion can win at 8%.</w:t>
      </w:r>
    </w:p>
    <w:p>
      <w:pPr>
        <w:pStyle w:val="ListBullet"/>
      </w:pPr>
      <w:r>
        <w:t>The selected MoE mode prunes the same channel across all experts in a layer. This is alignment-friendly and simple but may be less optimal than expert-specific pruning with reliable per-expert calibration.</w:t>
      </w:r>
    </w:p>
    <w:p>
      <w:pPr>
        <w:pStyle w:val="ListBullet"/>
      </w:pPr>
      <w:r>
        <w:t>The related-work overlap with SlimLLM, SliceGPT, and neuron merging work must be handled carefully. The paper should emphasize the exact unit, setting, and no-finetuning MoE expert-channel contribution rather than broad novelty claims.</w:t>
      </w:r>
    </w:p>
    <w:p>
      <w:pPr>
        <w:pStyle w:val="ListBullet"/>
      </w:pPr>
      <w:r>
        <w:t>The C4/WikiText rows in the current summary should include an explicit dataset column in every generated report. This draft labels rows according to the benchmark configuration order; future exports should preserve dataset explicitly in all CSVs and tables.</w:t>
      </w:r>
    </w:p>
    <w:p>
      <w:pPr>
        <w:pStyle w:val="ListBullet"/>
      </w:pPr>
      <w:r>
        <w:t>The ellipsoid bound is substantially tighter than the sphere but remains very conservative on typical routed inputs; median observed contributions are far below the certified maximum.</w:t>
      </w:r>
    </w:p>
    <w:p>
      <w:pPr>
        <w:pStyle w:val="ListBullet"/>
      </w:pPr>
      <w:r>
        <w:t>The current p95 expert aggregation is a robust ranking heuristic, not a uniform certificate across every expert. Maximum aggregation remains to be evaluated.</w:t>
      </w:r>
    </w:p>
    <w:p>
      <w:pPr>
        <w:pStyle w:val="ListBullet"/>
      </w:pPr>
      <w:r>
        <w:t>The Version 2 and Version 3 evaluations use different sample counts and baseline PPL values. Their headline percentages are directional comparisons only; causal claims rely on within-protocol fixed-plan experiments.</w:t>
      </w:r>
    </w:p>
    <w:p>
      <w:pPr>
        <w:pStyle w:val="ListBullet"/>
      </w:pPr>
      <w:r>
        <w:t>The new selector has not yet been evaluated at 8%, on downstream tasks, or against current fine-grained MoE methods at matched budgets.</w:t>
      </w:r>
    </w:p>
    <w:p>
      <w:pPr>
        <w:pStyle w:val="ListBullet"/>
      </w:pPr>
      <w:r>
        <w:t>Same-channel-across-experts pruning preserves a simple packed layout but is more restrictive than equal-width expert-specific repacking. Expert-specific channel IDs remain an important future extension.</w:t>
      </w:r>
    </w:p>
    <w:p>
      <w:pPr>
        <w:pStyle w:val="Heading1"/>
      </w:pPr>
      <w:r>
        <w:t>11. Next Experiments Before Submission</w:t>
      </w:r>
    </w:p>
    <w:p>
      <w:pPr>
        <w:pStyle w:val="Caption"/>
      </w:pPr>
      <w:r>
        <w:rPr>
          <w:b/>
        </w:rPr>
        <w:t>Table 11. Recommended experiments before submission.</w:t>
      </w:r>
    </w:p>
    <w:p>
      <w:pPr/>
      <w:r>
        <w:t>Version 3 priority order. First complete the target-8 fixed-allocation selector comparison and p95-versus-max aggregation. Second evaluate downstream accuracy and actual serving performance for the selected 4% and 6% checkpoints. Third add a matched modern MoE pruning baseline and dense ellipsoid validation. Exact two-dimensional SiLU optimization and layer-sensitivity modeling are promising extensions, but they should follow these empirical gates so that the paper's central claim remains falsifiable and focused.</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3360"/>
            <w:vAlign w:val="center"/>
            <w:shd w:fill="4F81BD"/>
            <w:tcMar>
              <w:top w:w="80" w:type="dxa"/>
              <w:start w:w="120" w:type="dxa"/>
              <w:bottom w:w="80" w:type="dxa"/>
              <w:end w:w="120" w:type="dxa"/>
            </w:tcMar>
          </w:tcPr>
          <w:p>
            <w:pPr>
              <w:spacing w:before="0" w:after="0" w:line="240" w:lineRule="auto"/>
              <w:jc w:val="center"/>
            </w:pPr>
            <w:r>
              <w:rPr>
                <w:rFonts w:ascii="Times New Roman" w:hAnsi="Times New Roman"/>
                <w:b/>
                <w:color w:val="FFFFFF"/>
                <w:sz w:val="17"/>
              </w:rPr>
            </w:r>
            <w:r>
              <w:rPr>
                <w:rFonts w:ascii="Times New Roman" w:hAnsi="Times New Roman"/>
                <w:b/>
                <w:color w:val="FFFFFF"/>
                <w:sz w:val="17"/>
              </w:rPr>
              <w:t>Next experiment</w:t>
            </w:r>
          </w:p>
        </w:tc>
        <w:tc>
          <w:tcPr>
            <w:tcW w:type="dxa" w:w="3360"/>
            <w:vAlign w:val="center"/>
            <w:shd w:fill="4F81BD"/>
            <w:tcMar>
              <w:top w:w="80" w:type="dxa"/>
              <w:start w:w="120" w:type="dxa"/>
              <w:bottom w:w="80" w:type="dxa"/>
              <w:end w:w="120" w:type="dxa"/>
            </w:tcMar>
          </w:tcPr>
          <w:p>
            <w:pPr>
              <w:spacing w:before="0" w:after="0" w:line="240" w:lineRule="auto"/>
              <w:jc w:val="center"/>
            </w:pPr>
            <w:r>
              <w:rPr>
                <w:rFonts w:ascii="Times New Roman" w:hAnsi="Times New Roman"/>
                <w:b/>
                <w:color w:val="FFFFFF"/>
                <w:sz w:val="17"/>
              </w:rPr>
            </w:r>
            <w:r>
              <w:rPr>
                <w:rFonts w:ascii="Times New Roman" w:hAnsi="Times New Roman"/>
                <w:b/>
                <w:color w:val="FFFFFF"/>
                <w:sz w:val="17"/>
              </w:rPr>
              <w:t>Description</w:t>
            </w:r>
          </w:p>
        </w:tc>
        <w:tc>
          <w:tcPr>
            <w:tcW w:type="dxa" w:w="3360"/>
            <w:vAlign w:val="center"/>
            <w:shd w:fill="4F81BD"/>
            <w:tcMar>
              <w:top w:w="80" w:type="dxa"/>
              <w:start w:w="120" w:type="dxa"/>
              <w:bottom w:w="80" w:type="dxa"/>
              <w:end w:w="120" w:type="dxa"/>
            </w:tcMar>
          </w:tcPr>
          <w:p>
            <w:pPr>
              <w:spacing w:before="0" w:after="0" w:line="240" w:lineRule="auto"/>
              <w:jc w:val="center"/>
            </w:pPr>
            <w:r>
              <w:rPr>
                <w:rFonts w:ascii="Times New Roman" w:hAnsi="Times New Roman"/>
                <w:b/>
                <w:color w:val="FFFFFF"/>
                <w:sz w:val="17"/>
              </w:rPr>
            </w:r>
            <w:r>
              <w:rPr>
                <w:rFonts w:ascii="Times New Roman" w:hAnsi="Times New Roman"/>
                <w:b/>
                <w:color w:val="FFFFFF"/>
                <w:sz w:val="17"/>
              </w:rPr>
              <w:t>Why it matters</w:t>
            </w:r>
          </w:p>
        </w:tc>
      </w:tr>
      <w:tr>
        <w:tc>
          <w:tcPr>
            <w:tcW w:type="dxa" w:w="3360"/>
            <w:vAlign w:val="center"/>
            <w:tcMar>
              <w:top w:w="80" w:type="dxa"/>
              <w:start w:w="120" w:type="dxa"/>
              <w:bottom w:w="80" w:type="dxa"/>
              <w:end w:w="120" w:type="dxa"/>
            </w:tcMar>
          </w:tcPr>
          <w:p>
            <w:pPr>
              <w:spacing w:before="0" w:after="0" w:line="240" w:lineRule="auto"/>
            </w:pPr>
            <w:r>
              <w:rPr>
                <w:rFonts w:ascii="Times New Roman" w:hAnsi="Times New Roman"/>
                <w:sz w:val="17"/>
              </w:rPr>
            </w:r>
            <w:r>
              <w:rPr>
                <w:rFonts w:ascii="Times New Roman" w:hAnsi="Times New Roman"/>
                <w:b w:val="0"/>
                <w:sz w:val="17"/>
              </w:rPr>
              <w:t>Speed benchmark</w:t>
            </w:r>
          </w:p>
        </w:tc>
        <w:tc>
          <w:tcPr>
            <w:tcW w:type="dxa" w:w="3360"/>
            <w:vAlign w:val="center"/>
            <w:tcMar>
              <w:top w:w="80" w:type="dxa"/>
              <w:start w:w="120" w:type="dxa"/>
              <w:bottom w:w="80" w:type="dxa"/>
              <w:end w:w="120" w:type="dxa"/>
            </w:tcMar>
          </w:tcPr>
          <w:p>
            <w:pPr>
              <w:spacing w:before="0" w:after="0" w:line="240" w:lineRule="auto"/>
            </w:pPr>
            <w:r>
              <w:rPr>
                <w:rFonts w:ascii="Times New Roman" w:hAnsi="Times New Roman"/>
                <w:sz w:val="17"/>
              </w:rPr>
            </w:r>
            <w:r>
              <w:rPr>
                <w:rFonts w:ascii="Times New Roman" w:hAnsi="Times New Roman"/>
                <w:b w:val="0"/>
                <w:sz w:val="17"/>
              </w:rPr>
              <w:t>Measure prefill latency, decode latency, tokens/sec, peak memory, and model load size for baseline vs 4/6% pruned models.</w:t>
            </w:r>
          </w:p>
        </w:tc>
        <w:tc>
          <w:tcPr>
            <w:tcW w:type="dxa" w:w="3360"/>
            <w:vAlign w:val="center"/>
            <w:tcMar>
              <w:top w:w="80" w:type="dxa"/>
              <w:start w:w="120" w:type="dxa"/>
              <w:bottom w:w="80" w:type="dxa"/>
              <w:end w:w="120" w:type="dxa"/>
            </w:tcMar>
          </w:tcPr>
          <w:p>
            <w:pPr>
              <w:spacing w:before="0" w:after="0" w:line="240" w:lineRule="auto"/>
            </w:pPr>
            <w:r>
              <w:rPr>
                <w:rFonts w:ascii="Times New Roman" w:hAnsi="Times New Roman"/>
                <w:sz w:val="17"/>
              </w:rPr>
            </w:r>
            <w:r>
              <w:rPr>
                <w:rFonts w:ascii="Times New Roman" w:hAnsi="Times New Roman"/>
                <w:b w:val="0"/>
                <w:sz w:val="17"/>
              </w:rPr>
              <w:t>Critical for CS systems venues.</w:t>
            </w:r>
          </w:p>
        </w:tc>
      </w:tr>
      <w:tr>
        <w:tc>
          <w:tcPr>
            <w:tcW w:type="dxa" w:w="3360"/>
            <w:vAlign w:val="center"/>
            <w:tcMar>
              <w:top w:w="80" w:type="dxa"/>
              <w:start w:w="120" w:type="dxa"/>
              <w:bottom w:w="80" w:type="dxa"/>
              <w:end w:w="120" w:type="dxa"/>
            </w:tcMar>
          </w:tcPr>
          <w:p>
            <w:pPr>
              <w:spacing w:before="0" w:after="0" w:line="240" w:lineRule="auto"/>
            </w:pPr>
            <w:r>
              <w:rPr>
                <w:rFonts w:ascii="Times New Roman" w:hAnsi="Times New Roman"/>
                <w:sz w:val="17"/>
              </w:rPr>
            </w:r>
            <w:r>
              <w:rPr>
                <w:rFonts w:ascii="Times New Roman" w:hAnsi="Times New Roman"/>
                <w:b w:val="0"/>
                <w:sz w:val="17"/>
              </w:rPr>
              <w:t>Downstream tasks</w:t>
            </w:r>
          </w:p>
        </w:tc>
        <w:tc>
          <w:tcPr>
            <w:tcW w:type="dxa" w:w="3360"/>
            <w:vAlign w:val="center"/>
            <w:tcMar>
              <w:top w:w="80" w:type="dxa"/>
              <w:start w:w="120" w:type="dxa"/>
              <w:bottom w:w="80" w:type="dxa"/>
              <w:end w:w="120" w:type="dxa"/>
            </w:tcMar>
          </w:tcPr>
          <w:p>
            <w:pPr>
              <w:spacing w:before="0" w:after="0" w:line="240" w:lineRule="auto"/>
            </w:pPr>
            <w:r>
              <w:rPr>
                <w:rFonts w:ascii="Times New Roman" w:hAnsi="Times New Roman"/>
                <w:sz w:val="17"/>
              </w:rPr>
            </w:r>
            <w:r>
              <w:rPr>
                <w:rFonts w:ascii="Times New Roman" w:hAnsi="Times New Roman"/>
                <w:b w:val="0"/>
                <w:sz w:val="17"/>
              </w:rPr>
              <w:t>Evaluate MMLU, HellaSwag, ARC, GSM8K, and optionally HumanEval/MBPP if using coder models.</w:t>
            </w:r>
          </w:p>
        </w:tc>
        <w:tc>
          <w:tcPr>
            <w:tcW w:type="dxa" w:w="3360"/>
            <w:vAlign w:val="center"/>
            <w:tcMar>
              <w:top w:w="80" w:type="dxa"/>
              <w:start w:w="120" w:type="dxa"/>
              <w:bottom w:w="80" w:type="dxa"/>
              <w:end w:w="120" w:type="dxa"/>
            </w:tcMar>
          </w:tcPr>
          <w:p>
            <w:pPr>
              <w:spacing w:before="0" w:after="0" w:line="240" w:lineRule="auto"/>
            </w:pPr>
            <w:r>
              <w:rPr>
                <w:rFonts w:ascii="Times New Roman" w:hAnsi="Times New Roman"/>
                <w:sz w:val="17"/>
              </w:rPr>
            </w:r>
            <w:r>
              <w:rPr>
                <w:rFonts w:ascii="Times New Roman" w:hAnsi="Times New Roman"/>
                <w:b w:val="0"/>
                <w:sz w:val="17"/>
              </w:rPr>
              <w:t>Needed to move beyond PPL.</w:t>
            </w:r>
          </w:p>
        </w:tc>
      </w:tr>
      <w:tr>
        <w:tc>
          <w:tcPr>
            <w:tcW w:type="dxa" w:w="3360"/>
            <w:vAlign w:val="center"/>
            <w:tcMar>
              <w:top w:w="80" w:type="dxa"/>
              <w:start w:w="120" w:type="dxa"/>
              <w:bottom w:w="80" w:type="dxa"/>
              <w:end w:w="120" w:type="dxa"/>
            </w:tcMar>
          </w:tcPr>
          <w:p>
            <w:pPr>
              <w:spacing w:before="0" w:after="0" w:line="240" w:lineRule="auto"/>
            </w:pPr>
            <w:r>
              <w:rPr>
                <w:rFonts w:ascii="Times New Roman" w:hAnsi="Times New Roman"/>
                <w:sz w:val="17"/>
              </w:rPr>
            </w:r>
            <w:r>
              <w:rPr>
                <w:rFonts w:ascii="Times New Roman" w:hAnsi="Times New Roman"/>
                <w:b w:val="0"/>
                <w:sz w:val="17"/>
              </w:rPr>
              <w:t>Selector baselines in MoE</w:t>
            </w:r>
          </w:p>
        </w:tc>
        <w:tc>
          <w:tcPr>
            <w:tcW w:type="dxa" w:w="3360"/>
            <w:vAlign w:val="center"/>
            <w:tcMar>
              <w:top w:w="80" w:type="dxa"/>
              <w:start w:w="120" w:type="dxa"/>
              <w:bottom w:w="80" w:type="dxa"/>
              <w:end w:w="120" w:type="dxa"/>
            </w:tcMar>
          </w:tcPr>
          <w:p>
            <w:pPr>
              <w:spacing w:before="0" w:after="0" w:line="240" w:lineRule="auto"/>
            </w:pPr>
            <w:r>
              <w:rPr>
                <w:rFonts w:ascii="Times New Roman" w:hAnsi="Times New Roman"/>
                <w:sz w:val="17"/>
              </w:rPr>
            </w:r>
            <w:r>
              <w:rPr>
                <w:rFonts w:ascii="Times New Roman" w:hAnsi="Times New Roman"/>
                <w:b w:val="0"/>
                <w:sz w:val="17"/>
              </w:rPr>
              <w:t>Add random, down_norm, activation_score, and possibly routing-frequency-aware scores at matched targets.</w:t>
            </w:r>
          </w:p>
        </w:tc>
        <w:tc>
          <w:tcPr>
            <w:tcW w:type="dxa" w:w="3360"/>
            <w:vAlign w:val="center"/>
            <w:tcMar>
              <w:top w:w="80" w:type="dxa"/>
              <w:start w:w="120" w:type="dxa"/>
              <w:bottom w:w="80" w:type="dxa"/>
              <w:end w:w="120" w:type="dxa"/>
            </w:tcMar>
          </w:tcPr>
          <w:p>
            <w:pPr>
              <w:spacing w:before="0" w:after="0" w:line="240" w:lineRule="auto"/>
            </w:pPr>
            <w:r>
              <w:rPr>
                <w:rFonts w:ascii="Times New Roman" w:hAnsi="Times New Roman"/>
                <w:sz w:val="17"/>
              </w:rPr>
            </w:r>
            <w:r>
              <w:rPr>
                <w:rFonts w:ascii="Times New Roman" w:hAnsi="Times New Roman"/>
                <w:b w:val="0"/>
                <w:sz w:val="17"/>
              </w:rPr>
              <w:t>Needed for method attribution.</w:t>
            </w:r>
          </w:p>
        </w:tc>
      </w:tr>
      <w:tr>
        <w:tc>
          <w:tcPr>
            <w:tcW w:type="dxa" w:w="3360"/>
            <w:vAlign w:val="center"/>
            <w:tcMar>
              <w:top w:w="80" w:type="dxa"/>
              <w:start w:w="120" w:type="dxa"/>
              <w:bottom w:w="80" w:type="dxa"/>
              <w:end w:w="120" w:type="dxa"/>
            </w:tcMar>
          </w:tcPr>
          <w:p>
            <w:pPr>
              <w:spacing w:before="0" w:after="0" w:line="240" w:lineRule="auto"/>
            </w:pPr>
            <w:r>
              <w:rPr>
                <w:rFonts w:ascii="Times New Roman" w:hAnsi="Times New Roman"/>
                <w:sz w:val="17"/>
              </w:rPr>
            </w:r>
            <w:r>
              <w:rPr>
                <w:rFonts w:ascii="Times New Roman" w:hAnsi="Times New Roman"/>
                <w:b w:val="0"/>
                <w:sz w:val="17"/>
              </w:rPr>
              <w:t>Ablate residual coverage</w:t>
            </w:r>
          </w:p>
        </w:tc>
        <w:tc>
          <w:tcPr>
            <w:tcW w:type="dxa" w:w="3360"/>
            <w:vAlign w:val="center"/>
            <w:tcMar>
              <w:top w:w="80" w:type="dxa"/>
              <w:start w:w="120" w:type="dxa"/>
              <w:bottom w:w="80" w:type="dxa"/>
              <w:end w:w="120" w:type="dxa"/>
            </w:tcMar>
          </w:tcPr>
          <w:p>
            <w:pPr>
              <w:spacing w:before="0" w:after="0" w:line="240" w:lineRule="auto"/>
            </w:pPr>
            <w:r>
              <w:rPr>
                <w:rFonts w:ascii="Times New Roman" w:hAnsi="Times New Roman"/>
                <w:sz w:val="17"/>
              </w:rPr>
            </w:r>
            <w:r>
              <w:rPr>
                <w:rFonts w:ascii="Times New Roman" w:hAnsi="Times New Roman"/>
                <w:b w:val="0"/>
                <w:sz w:val="17"/>
              </w:rPr>
              <w:t>Vary residual_min_tokens and calibration size; see whether higher coverage improves nearest/ridge residual.</w:t>
            </w:r>
          </w:p>
        </w:tc>
        <w:tc>
          <w:tcPr>
            <w:tcW w:type="dxa" w:w="3360"/>
            <w:vAlign w:val="center"/>
            <w:tcMar>
              <w:top w:w="80" w:type="dxa"/>
              <w:start w:w="120" w:type="dxa"/>
              <w:bottom w:w="80" w:type="dxa"/>
              <w:end w:w="120" w:type="dxa"/>
            </w:tcMar>
          </w:tcPr>
          <w:p>
            <w:pPr>
              <w:spacing w:before="0" w:after="0" w:line="240" w:lineRule="auto"/>
            </w:pPr>
            <w:r>
              <w:rPr>
                <w:rFonts w:ascii="Times New Roman" w:hAnsi="Times New Roman"/>
                <w:sz w:val="17"/>
              </w:rPr>
            </w:r>
            <w:r>
              <w:rPr>
                <w:rFonts w:ascii="Times New Roman" w:hAnsi="Times New Roman"/>
                <w:b w:val="0"/>
                <w:sz w:val="17"/>
              </w:rPr>
              <w:t>Explains why MoE residual helps less than dense residual.</w:t>
            </w:r>
          </w:p>
        </w:tc>
      </w:tr>
      <w:tr>
        <w:tc>
          <w:tcPr>
            <w:tcW w:type="dxa" w:w="3360"/>
            <w:vAlign w:val="center"/>
            <w:tcMar>
              <w:top w:w="80" w:type="dxa"/>
              <w:start w:w="120" w:type="dxa"/>
              <w:bottom w:w="80" w:type="dxa"/>
              <w:end w:w="120" w:type="dxa"/>
            </w:tcMar>
          </w:tcPr>
          <w:p>
            <w:pPr>
              <w:spacing w:before="0" w:after="0" w:line="240" w:lineRule="auto"/>
            </w:pPr>
            <w:r>
              <w:rPr>
                <w:rFonts w:ascii="Times New Roman" w:hAnsi="Times New Roman"/>
                <w:sz w:val="17"/>
              </w:rPr>
            </w:r>
            <w:r>
              <w:rPr>
                <w:rFonts w:ascii="Times New Roman" w:hAnsi="Times New Roman"/>
                <w:b w:val="0"/>
                <w:sz w:val="17"/>
              </w:rPr>
              <w:t>Alignment study</w:t>
            </w:r>
          </w:p>
        </w:tc>
        <w:tc>
          <w:tcPr>
            <w:tcW w:type="dxa" w:w="3360"/>
            <w:vAlign w:val="center"/>
            <w:tcMar>
              <w:top w:w="80" w:type="dxa"/>
              <w:start w:w="120" w:type="dxa"/>
              <w:bottom w:w="80" w:type="dxa"/>
              <w:end w:w="120" w:type="dxa"/>
            </w:tcMar>
          </w:tcPr>
          <w:p>
            <w:pPr>
              <w:spacing w:before="0" w:after="0" w:line="240" w:lineRule="auto"/>
            </w:pPr>
            <w:r>
              <w:rPr>
                <w:rFonts w:ascii="Times New Roman" w:hAnsi="Times New Roman"/>
                <w:sz w:val="17"/>
              </w:rPr>
            </w:r>
            <w:r>
              <w:rPr>
                <w:rFonts w:ascii="Times New Roman" w:hAnsi="Times New Roman"/>
                <w:b w:val="0"/>
                <w:sz w:val="17"/>
              </w:rPr>
              <w:t>Compare channel_alignment 16 vs 32/64 if feasible.</w:t>
            </w:r>
          </w:p>
        </w:tc>
        <w:tc>
          <w:tcPr>
            <w:tcW w:type="dxa" w:w="3360"/>
            <w:vAlign w:val="center"/>
            <w:tcMar>
              <w:top w:w="80" w:type="dxa"/>
              <w:start w:w="120" w:type="dxa"/>
              <w:bottom w:w="80" w:type="dxa"/>
              <w:end w:w="120" w:type="dxa"/>
            </w:tcMar>
          </w:tcPr>
          <w:p>
            <w:pPr>
              <w:spacing w:before="0" w:after="0" w:line="240" w:lineRule="auto"/>
            </w:pPr>
            <w:r>
              <w:rPr>
                <w:rFonts w:ascii="Times New Roman" w:hAnsi="Times New Roman"/>
                <w:sz w:val="17"/>
              </w:rPr>
            </w:r>
            <w:r>
              <w:rPr>
                <w:rFonts w:ascii="Times New Roman" w:hAnsi="Times New Roman"/>
                <w:b w:val="0"/>
                <w:sz w:val="17"/>
              </w:rPr>
              <w:t>Determines hardware-friendly settings.</w:t>
            </w:r>
          </w:p>
        </w:tc>
      </w:tr>
      <w:tr>
        <w:tc>
          <w:tcPr>
            <w:tcW w:type="dxa" w:w="3360"/>
            <w:vAlign w:val="center"/>
            <w:tcMar>
              <w:top w:w="80" w:type="dxa"/>
              <w:start w:w="120" w:type="dxa"/>
              <w:bottom w:w="80" w:type="dxa"/>
              <w:end w:w="120" w:type="dxa"/>
            </w:tcMar>
          </w:tcPr>
          <w:p>
            <w:pPr>
              <w:spacing w:before="0" w:after="0" w:line="240" w:lineRule="auto"/>
            </w:pPr>
            <w:r>
              <w:rPr>
                <w:rFonts w:ascii="Times New Roman" w:hAnsi="Times New Roman"/>
                <w:sz w:val="17"/>
              </w:rPr>
            </w:r>
            <w:r>
              <w:rPr>
                <w:rFonts w:ascii="Times New Roman" w:hAnsi="Times New Roman"/>
                <w:b w:val="0"/>
                <w:sz w:val="17"/>
              </w:rPr>
              <w:t>External baselines</w:t>
            </w:r>
          </w:p>
        </w:tc>
        <w:tc>
          <w:tcPr>
            <w:tcW w:type="dxa" w:w="3360"/>
            <w:vAlign w:val="center"/>
            <w:tcMar>
              <w:top w:w="80" w:type="dxa"/>
              <w:start w:w="120" w:type="dxa"/>
              <w:bottom w:w="80" w:type="dxa"/>
              <w:end w:w="120" w:type="dxa"/>
            </w:tcMar>
          </w:tcPr>
          <w:p>
            <w:pPr>
              <w:spacing w:before="0" w:after="0" w:line="240" w:lineRule="auto"/>
            </w:pPr>
            <w:r>
              <w:rPr>
                <w:rFonts w:ascii="Times New Roman" w:hAnsi="Times New Roman"/>
                <w:sz w:val="17"/>
              </w:rPr>
            </w:r>
            <w:r>
              <w:rPr>
                <w:rFonts w:ascii="Times New Roman" w:hAnsi="Times New Roman"/>
                <w:b w:val="0"/>
                <w:sz w:val="17"/>
              </w:rPr>
              <w:t>Run or cite comparable structured pruning methods carefully; avoid direct apples-to-oranges claims against unstructured sparsity.</w:t>
            </w:r>
          </w:p>
        </w:tc>
        <w:tc>
          <w:tcPr>
            <w:tcW w:type="dxa" w:w="3360"/>
            <w:vAlign w:val="center"/>
            <w:tcMar>
              <w:top w:w="80" w:type="dxa"/>
              <w:start w:w="120" w:type="dxa"/>
              <w:bottom w:w="80" w:type="dxa"/>
              <w:end w:w="120" w:type="dxa"/>
            </w:tcMar>
          </w:tcPr>
          <w:p>
            <w:pPr>
              <w:spacing w:before="0" w:after="0" w:line="240" w:lineRule="auto"/>
            </w:pPr>
            <w:r>
              <w:rPr>
                <w:rFonts w:ascii="Times New Roman" w:hAnsi="Times New Roman"/>
                <w:sz w:val="17"/>
              </w:rPr>
            </w:r>
            <w:r>
              <w:rPr>
                <w:rFonts w:ascii="Times New Roman" w:hAnsi="Times New Roman"/>
                <w:b w:val="0"/>
                <w:sz w:val="17"/>
              </w:rPr>
              <w:t>Necessary for competitiveness.</w:t>
            </w:r>
          </w:p>
        </w:tc>
      </w:tr>
      <w:tr>
        <w:tc>
          <w:tcPr>
            <w:tcW w:type="dxa" w:w="3360"/>
            <w:vAlign w:val="center"/>
            <w:tcMar>
              <w:top w:w="80" w:type="dxa"/>
              <w:start w:w="120" w:type="dxa"/>
              <w:bottom w:w="80" w:type="dxa"/>
              <w:end w:w="120" w:type="dxa"/>
            </w:tcMar>
          </w:tcPr>
          <w:p>
            <w:pPr>
              <w:spacing w:before="0" w:after="0" w:line="240" w:lineRule="auto"/>
            </w:pPr>
            <w:r>
              <w:rPr>
                <w:rFonts w:ascii="Times New Roman" w:hAnsi="Times New Roman"/>
                <w:sz w:val="17"/>
              </w:rPr>
            </w:r>
            <w:r>
              <w:rPr>
                <w:rFonts w:ascii="Times New Roman" w:hAnsi="Times New Roman"/>
                <w:b w:val="0"/>
                <w:sz w:val="17"/>
              </w:rPr>
              <w:t>Runtime integration</w:t>
            </w:r>
          </w:p>
        </w:tc>
        <w:tc>
          <w:tcPr>
            <w:tcW w:type="dxa" w:w="3360"/>
            <w:vAlign w:val="center"/>
            <w:tcMar>
              <w:top w:w="80" w:type="dxa"/>
              <w:start w:w="120" w:type="dxa"/>
              <w:bottom w:w="80" w:type="dxa"/>
              <w:end w:w="120" w:type="dxa"/>
            </w:tcMar>
          </w:tcPr>
          <w:p>
            <w:pPr>
              <w:spacing w:before="0" w:after="0" w:line="240" w:lineRule="auto"/>
            </w:pPr>
            <w:r>
              <w:rPr>
                <w:rFonts w:ascii="Times New Roman" w:hAnsi="Times New Roman"/>
                <w:sz w:val="17"/>
              </w:rPr>
            </w:r>
            <w:r>
              <w:rPr>
                <w:rFonts w:ascii="Times New Roman" w:hAnsi="Times New Roman"/>
                <w:b w:val="0"/>
                <w:sz w:val="17"/>
              </w:rPr>
              <w:t>Test in vLLM/TensorRT-LLM or optimized HF path to show actual inference benefit.</w:t>
            </w:r>
          </w:p>
        </w:tc>
        <w:tc>
          <w:tcPr>
            <w:tcW w:type="dxa" w:w="3360"/>
            <w:vAlign w:val="center"/>
            <w:tcMar>
              <w:top w:w="80" w:type="dxa"/>
              <w:start w:w="120" w:type="dxa"/>
              <w:bottom w:w="80" w:type="dxa"/>
              <w:end w:w="120" w:type="dxa"/>
            </w:tcMar>
          </w:tcPr>
          <w:p>
            <w:pPr>
              <w:spacing w:before="0" w:after="0" w:line="240" w:lineRule="auto"/>
            </w:pPr>
            <w:r>
              <w:rPr>
                <w:rFonts w:ascii="Times New Roman" w:hAnsi="Times New Roman"/>
                <w:sz w:val="17"/>
              </w:rPr>
            </w:r>
            <w:r>
              <w:rPr>
                <w:rFonts w:ascii="Times New Roman" w:hAnsi="Times New Roman"/>
                <w:b w:val="0"/>
                <w:sz w:val="17"/>
              </w:rPr>
              <w:t>Turns parameter/FLOP reduction into deployment value.</w:t>
            </w:r>
          </w:p>
        </w:tc>
      </w:tr>
      <w:tr>
        <w:tc>
          <w:tcPr>
            <w:tcW w:type="dxa" w:w="3360"/>
            <w:vAlign w:val="center"/>
            <w:tcMar>
              <w:top w:w="80" w:type="dxa"/>
              <w:start w:w="120" w:type="dxa"/>
              <w:bottom w:w="80" w:type="dxa"/>
              <w:end w:w="120" w:type="dxa"/>
            </w:tcMar>
          </w:tcPr>
          <w:p>
            <w:pPr>
              <w:spacing w:before="0" w:after="0" w:line="240" w:lineRule="auto"/>
            </w:pPr>
            <w:r>
              <w:rPr>
                <w:rFonts w:ascii="Times New Roman" w:hAnsi="Times New Roman"/>
                <w:sz w:val="17"/>
              </w:rPr>
              <w:t>Target-8 fixed-allocation ranking</w:t>
            </w:r>
          </w:p>
        </w:tc>
        <w:tc>
          <w:tcPr>
            <w:tcW w:type="dxa" w:w="3360"/>
            <w:vAlign w:val="center"/>
            <w:tcMar>
              <w:top w:w="80" w:type="dxa"/>
              <w:start w:w="120" w:type="dxa"/>
              <w:bottom w:w="80" w:type="dxa"/>
              <w:end w:w="120" w:type="dxa"/>
            </w:tcMar>
          </w:tcPr>
          <w:p>
            <w:pPr>
              <w:spacing w:before="0" w:after="0" w:line="240" w:lineRule="auto"/>
            </w:pPr>
            <w:r>
              <w:rPr>
                <w:rFonts w:ascii="Times New Roman" w:hAnsi="Times New Roman"/>
                <w:sz w:val="17"/>
              </w:rPr>
              <w:t>Compare original, activation, and ellipsoid rankings under one exact plan on WT2/C4.</w:t>
            </w:r>
          </w:p>
        </w:tc>
        <w:tc>
          <w:tcPr>
            <w:tcW w:type="dxa" w:w="3360"/>
            <w:vAlign w:val="center"/>
            <w:tcMar>
              <w:top w:w="80" w:type="dxa"/>
              <w:start w:w="120" w:type="dxa"/>
              <w:bottom w:w="80" w:type="dxa"/>
              <w:end w:w="120" w:type="dxa"/>
            </w:tcMar>
          </w:tcPr>
          <w:p>
            <w:pPr>
              <w:spacing w:before="0" w:after="0" w:line="240" w:lineRule="auto"/>
            </w:pPr>
            <w:r>
              <w:rPr>
                <w:rFonts w:ascii="Times New Roman" w:hAnsi="Times New Roman"/>
                <w:sz w:val="17"/>
              </w:rPr>
              <w:t>Defines the failure curve of the new selector.</w:t>
            </w:r>
          </w:p>
        </w:tc>
      </w:tr>
      <w:tr>
        <w:tc>
          <w:tcPr>
            <w:tcW w:type="dxa" w:w="3360"/>
            <w:vAlign w:val="center"/>
            <w:tcMar>
              <w:top w:w="80" w:type="dxa"/>
              <w:start w:w="120" w:type="dxa"/>
              <w:bottom w:w="80" w:type="dxa"/>
              <w:end w:w="120" w:type="dxa"/>
            </w:tcMar>
          </w:tcPr>
          <w:p>
            <w:pPr>
              <w:spacing w:before="0" w:after="0" w:line="240" w:lineRule="auto"/>
            </w:pPr>
            <w:r>
              <w:rPr>
                <w:rFonts w:ascii="Times New Roman" w:hAnsi="Times New Roman"/>
                <w:sz w:val="17"/>
              </w:rPr>
              <w:t>p95 versus max aggregation</w:t>
            </w:r>
          </w:p>
        </w:tc>
        <w:tc>
          <w:tcPr>
            <w:tcW w:type="dxa" w:w="3360"/>
            <w:vAlign w:val="center"/>
            <w:tcMar>
              <w:top w:w="80" w:type="dxa"/>
              <w:start w:w="120" w:type="dxa"/>
              <w:bottom w:w="80" w:type="dxa"/>
              <w:end w:w="120" w:type="dxa"/>
            </w:tcMar>
          </w:tcPr>
          <w:p>
            <w:pPr>
              <w:spacing w:before="0" w:after="0" w:line="240" w:lineRule="auto"/>
            </w:pPr>
            <w:r>
              <w:rPr>
                <w:rFonts w:ascii="Times New Roman" w:hAnsi="Times New Roman"/>
                <w:sz w:val="17"/>
              </w:rPr>
              <w:t>Evaluate robust heuristic versus conservative all-expert score at 4% and 6%.</w:t>
            </w:r>
          </w:p>
        </w:tc>
        <w:tc>
          <w:tcPr>
            <w:tcW w:type="dxa" w:w="3360"/>
            <w:vAlign w:val="center"/>
            <w:tcMar>
              <w:top w:w="80" w:type="dxa"/>
              <w:start w:w="120" w:type="dxa"/>
              <w:bottom w:w="80" w:type="dxa"/>
              <w:end w:w="120" w:type="dxa"/>
            </w:tcMar>
          </w:tcPr>
          <w:p>
            <w:pPr>
              <w:spacing w:before="0" w:after="0" w:line="240" w:lineRule="auto"/>
            </w:pPr>
            <w:r>
              <w:rPr>
                <w:rFonts w:ascii="Times New Roman" w:hAnsi="Times New Roman"/>
                <w:sz w:val="17"/>
              </w:rPr>
              <w:t>Separates best empirical quality from the strongest certificate statement.</w:t>
            </w:r>
          </w:p>
        </w:tc>
      </w:tr>
      <w:tr>
        <w:tc>
          <w:tcPr>
            <w:tcW w:type="dxa" w:w="3360"/>
            <w:vAlign w:val="center"/>
            <w:tcMar>
              <w:top w:w="80" w:type="dxa"/>
              <w:start w:w="120" w:type="dxa"/>
              <w:bottom w:w="80" w:type="dxa"/>
              <w:end w:w="120" w:type="dxa"/>
            </w:tcMar>
          </w:tcPr>
          <w:p>
            <w:pPr>
              <w:spacing w:before="0" w:after="0" w:line="240" w:lineRule="auto"/>
            </w:pPr>
            <w:r>
              <w:rPr>
                <w:rFonts w:ascii="Times New Roman" w:hAnsi="Times New Roman"/>
                <w:sz w:val="17"/>
              </w:rPr>
              <w:t>Dense ellipsoid validation</w:t>
            </w:r>
          </w:p>
        </w:tc>
        <w:tc>
          <w:tcPr>
            <w:tcW w:type="dxa" w:w="3360"/>
            <w:vAlign w:val="center"/>
            <w:tcMar>
              <w:top w:w="80" w:type="dxa"/>
              <w:start w:w="120" w:type="dxa"/>
              <w:bottom w:w="80" w:type="dxa"/>
              <w:end w:w="120" w:type="dxa"/>
            </w:tcMar>
          </w:tcPr>
          <w:p>
            <w:pPr>
              <w:spacing w:before="0" w:after="0" w:line="240" w:lineRule="auto"/>
            </w:pPr>
            <w:r>
              <w:rPr>
                <w:rFonts w:ascii="Times New Roman" w:hAnsi="Times New Roman"/>
                <w:sz w:val="17"/>
              </w:rPr>
              <w:t>Rerun Qwen2.5-3B/7B at 4% and 6% with original, activation, and ellipsoid rankings.</w:t>
            </w:r>
          </w:p>
        </w:tc>
        <w:tc>
          <w:tcPr>
            <w:tcW w:type="dxa" w:w="3360"/>
            <w:vAlign w:val="center"/>
            <w:tcMar>
              <w:top w:w="80" w:type="dxa"/>
              <w:start w:w="120" w:type="dxa"/>
              <w:bottom w:w="80" w:type="dxa"/>
              <w:end w:w="120" w:type="dxa"/>
            </w:tcMar>
          </w:tcPr>
          <w:p>
            <w:pPr>
              <w:spacing w:before="0" w:after="0" w:line="240" w:lineRule="auto"/>
            </w:pPr>
            <w:r>
              <w:rPr>
                <w:rFonts w:ascii="Times New Roman" w:hAnsi="Times New Roman"/>
                <w:sz w:val="17"/>
              </w:rPr>
              <w:t>Supports the paper's general SwiGLU claim.</w:t>
            </w:r>
          </w:p>
        </w:tc>
      </w:tr>
      <w:tr>
        <w:tc>
          <w:tcPr>
            <w:tcW w:type="dxa" w:w="3360"/>
            <w:vAlign w:val="center"/>
            <w:tcMar>
              <w:top w:w="80" w:type="dxa"/>
              <w:start w:w="120" w:type="dxa"/>
              <w:bottom w:w="80" w:type="dxa"/>
              <w:end w:w="120" w:type="dxa"/>
            </w:tcMar>
          </w:tcPr>
          <w:p>
            <w:pPr>
              <w:spacing w:before="0" w:after="0" w:line="240" w:lineRule="auto"/>
            </w:pPr>
            <w:r>
              <w:rPr>
                <w:rFonts w:ascii="Times New Roman" w:hAnsi="Times New Roman"/>
                <w:sz w:val="17"/>
              </w:rPr>
              <w:t>Paired downstream evaluation</w:t>
            </w:r>
          </w:p>
        </w:tc>
        <w:tc>
          <w:tcPr>
            <w:tcW w:type="dxa" w:w="3360"/>
            <w:vAlign w:val="center"/>
            <w:tcMar>
              <w:top w:w="80" w:type="dxa"/>
              <w:start w:w="120" w:type="dxa"/>
              <w:bottom w:w="80" w:type="dxa"/>
              <w:end w:w="120" w:type="dxa"/>
            </w:tcMar>
          </w:tcPr>
          <w:p>
            <w:pPr>
              <w:spacing w:before="0" w:after="0" w:line="240" w:lineRule="auto"/>
            </w:pPr>
            <w:r>
              <w:rPr>
                <w:rFonts w:ascii="Times New Roman" w:hAnsi="Times New Roman"/>
                <w:sz w:val="17"/>
              </w:rPr>
              <w:t>Evaluate selected 4%/6% checkpoints on HellaSwag, ARC, MMLU subset, and GSM8K where feasible.</w:t>
            </w:r>
          </w:p>
        </w:tc>
        <w:tc>
          <w:tcPr>
            <w:tcW w:type="dxa" w:w="3360"/>
            <w:vAlign w:val="center"/>
            <w:tcMar>
              <w:top w:w="80" w:type="dxa"/>
              <w:start w:w="120" w:type="dxa"/>
              <w:bottom w:w="80" w:type="dxa"/>
              <w:end w:w="120" w:type="dxa"/>
            </w:tcMar>
          </w:tcPr>
          <w:p>
            <w:pPr>
              <w:spacing w:before="0" w:after="0" w:line="240" w:lineRule="auto"/>
            </w:pPr>
            <w:r>
              <w:rPr>
                <w:rFonts w:ascii="Times New Roman" w:hAnsi="Times New Roman"/>
                <w:sz w:val="17"/>
              </w:rPr>
              <w:t>Moves beyond perplexity.</w:t>
            </w:r>
          </w:p>
        </w:tc>
      </w:tr>
      <w:tr>
        <w:tc>
          <w:tcPr>
            <w:tcW w:type="dxa" w:w="3360"/>
            <w:vAlign w:val="center"/>
            <w:tcMar>
              <w:top w:w="80" w:type="dxa"/>
              <w:start w:w="120" w:type="dxa"/>
              <w:bottom w:w="80" w:type="dxa"/>
              <w:end w:w="120" w:type="dxa"/>
            </w:tcMar>
          </w:tcPr>
          <w:p>
            <w:pPr>
              <w:spacing w:before="0" w:after="0" w:line="240" w:lineRule="auto"/>
            </w:pPr>
            <w:r>
              <w:rPr>
                <w:rFonts w:ascii="Times New Roman" w:hAnsi="Times New Roman"/>
                <w:sz w:val="17"/>
              </w:rPr>
              <w:t>Matched modern MoE baselines</w:t>
            </w:r>
          </w:p>
        </w:tc>
        <w:tc>
          <w:tcPr>
            <w:tcW w:type="dxa" w:w="3360"/>
            <w:vAlign w:val="center"/>
            <w:tcMar>
              <w:top w:w="80" w:type="dxa"/>
              <w:start w:w="120" w:type="dxa"/>
              <w:bottom w:w="80" w:type="dxa"/>
              <w:end w:w="120" w:type="dxa"/>
            </w:tcMar>
          </w:tcPr>
          <w:p>
            <w:pPr>
              <w:spacing w:before="0" w:after="0" w:line="240" w:lineRule="auto"/>
            </w:pPr>
            <w:r>
              <w:rPr>
                <w:rFonts w:ascii="Times New Roman" w:hAnsi="Times New Roman"/>
                <w:sz w:val="17"/>
              </w:rPr>
              <w:t>Compare against or carefully reproduce HEAPr, CAMERA, and attribution-guided compression.</w:t>
            </w:r>
          </w:p>
        </w:tc>
        <w:tc>
          <w:tcPr>
            <w:tcW w:type="dxa" w:w="3360"/>
            <w:vAlign w:val="center"/>
            <w:tcMar>
              <w:top w:w="80" w:type="dxa"/>
              <w:start w:w="120" w:type="dxa"/>
              <w:bottom w:w="80" w:type="dxa"/>
              <w:end w:w="120" w:type="dxa"/>
            </w:tcMar>
          </w:tcPr>
          <w:p>
            <w:pPr>
              <w:spacing w:before="0" w:after="0" w:line="240" w:lineRule="auto"/>
            </w:pPr>
            <w:r>
              <w:rPr>
                <w:rFonts w:ascii="Times New Roman" w:hAnsi="Times New Roman"/>
                <w:sz w:val="17"/>
              </w:rPr>
              <w:t>Required for a current novelty and competitiveness claim.</w:t>
            </w:r>
          </w:p>
        </w:tc>
      </w:tr>
    </w:tbl>
    <w:p/>
    <w:p>
      <w:pPr>
        <w:pStyle w:val="Heading1"/>
      </w:pPr>
      <w:r>
        <w:t>12. Conclusion</w:t>
      </w:r>
    </w:p>
    <w:p>
      <w:r>
        <w:t>This draft now contains both the original dense SwiGLU pruning evidence and the new MoE expert-channel benchmark. The dense results show that bound-guided target pruning can remove 2-4% of Qwen2.5 MLP channels with nearly no PPL loss and that residual reconstruction improves 6-8% pruning. The MoE results show that the method can be extended to Qwen3-30B-A3B with physical expert-channel deletion and fair pruning-plan comparisons. Across WikiText2 and C4, nearest-channel merge is the most robust MoE residual method at low-to-moderate pruning, while pure deletion is best at 8%. The work is now strong enough to support a serious conference-style research manuscript, but final submission should wait for speed measurements, downstream evaluation, and stronger external baselines.</w:t>
      </w:r>
    </w:p>
    <w:p>
      <w:pPr/>
      <w:r>
        <w:t>Version 3 synthesis. The project has progressed from a heuristic spherical score to an exact ellipsoid bound tied to the true RMSNorm feasible set. Controlled experiments show that the new geometry is useful for within-layer selection, while the failed raw ellipsoid allocation reveals that layer sensitivity is a separate problem. At 6.207% expert-width reduction, the ellipsoid selector gives +0.610% WikiText-2 and +1.672% C4 relative PPL under the primary fixed allocation, with paired confidence intervals favoring it over both original-bound and activation rankings. The certificate audit finds zero sampled violations and materially improved tightness. These results justify Version 3 as a serious research manuscript, while the retained historical experiments document the full development path. Final submission should wait for downstream, systems, high-ratio, aggregation, and closest-baseline evidence.</w:t>
      </w:r>
    </w:p>
    <w:p>
      <w:pPr>
        <w:pStyle w:val="Heading1"/>
      </w:pPr>
      <w:r>
        <w:t>References</w:t>
      </w:r>
    </w:p>
    <w:p>
      <w:r>
        <w:t>[1] Qwen Team. Qwen2.5 Technical Report. arXiv:2412.15115, 2024. https://arxiv.org/abs/2412.15115</w:t>
      </w:r>
    </w:p>
    <w:p>
      <w:r>
        <w:t>[2] Qwen Team. Qwen/Qwen3-30B-A3B model card. Hugging Face, 2025. https://huggingface.co/Qwen/Qwen3-30B-A3B</w:t>
      </w:r>
    </w:p>
    <w:p>
      <w:r>
        <w:t>[3] Elias Frantar and Dan Alistarh. SparseGPT: Massive Language Models Can Be Accurately Pruned in One-Shot. ICML, 2023. https://arxiv.org/abs/2301.00774</w:t>
      </w:r>
    </w:p>
    <w:p>
      <w:r>
        <w:t>[4] Mingjie Sun, Zhuang Liu, Anna Bair, and J. Zico Kolter. A Simple and Effective Pruning Approach for Large Language Models (Wanda). 2023. https://arxiv.org/abs/2306.11695</w:t>
      </w:r>
    </w:p>
    <w:p>
      <w:r>
        <w:t>[5] Xinyin Ma, Gongfan Fang, and Xinchao Wang. LLM-Pruner: On the Structural Pruning of Large Language Models. NeurIPS, 2023. https://arxiv.org/abs/2305.11627</w:t>
      </w:r>
    </w:p>
    <w:p>
      <w:r>
        <w:t>[6] Saleh Ashkboos et al. SliceGPT: Compress Large Language Models by Deleting Rows and Columns. ICLR, 2024. https://arxiv.org/abs/2401.15024</w:t>
      </w:r>
    </w:p>
    <w:p>
      <w:r>
        <w:t>[7] Jialong Guo, Xinghao Chen, Yehui Tang, and Yunhe Wang. SlimLLM: Accurate Structured Pruning for Large Language Models. arXiv:2505.22689, 2025. https://arxiv.org/abs/2505.22689</w:t>
      </w:r>
    </w:p>
    <w:p>
      <w:r>
        <w:t>[8] DaSS / GLU-aware pruning work. Declining Roles of Outliers in Pruning GLU-based LLMs. arXiv:2405.01943, 2024. https://arxiv.org/abs/2405.01943</w:t>
      </w:r>
    </w:p>
    <w:p>
      <w:r>
        <w:t>[9] Neha Verma, Kenton Murray, and Kevin Duh. DOTResize: Reducing LLM Width via Discrete Optimal Transport-based Neuron Merging. arXiv:2507.04517, 2025. https://arxiv.org/abs/2507.04517</w:t>
      </w:r>
    </w:p>
    <w:p>
      <w:r>
        <w:t>[10] Internal benchmark artifact. Qwen3-30B-A3B selected MoE residual full benchmark, run id 20260623_020801, 24/24 runs succeeded.</w:t>
      </w:r>
    </w:p>
    <w:p>
      <w:r>
        <w:t>[11] Internal dense-pruning artifact. Qwen2.5-3B/7B target-pruning results on WikiText2, n_eval=1024.</w:t>
      </w:r>
    </w:p>
    <w:p>
      <w:pPr/>
      <w:r>
        <w:t>[12] Biao Zhang and Rico Sennrich. Root Mean Square Layer Normalization. NeurIPS, 2019. https://arxiv.org/abs/1910.07467</w:t>
      </w:r>
    </w:p>
    <w:p>
      <w:pPr/>
      <w:r>
        <w:t>[13] Ke Li, Zheng Yang, Zhongbin Zhou, Feng Xue, Zhonglin Jiang, and Wenxiao Wang. HEAPr: Hessian-based Efficient Atomic Expert Pruning in Output Space. arXiv:2509.22299, 2025. https://arxiv.org/abs/2509.22299</w:t>
      </w:r>
    </w:p>
    <w:p>
      <w:pPr/>
      <w:r>
        <w:t>[14] Yuzhuang Xu, Xu Han, Yuanchi Zhang, Yixuan Wang, Yijun Liu, Shiyu Ji, Qingfu Zhu, and Wanxiang Che. CAMERA: Multi-Matrix Joint Compression for MoE Models via Micro-Expert Redundancy Analysis. arXiv:2508.02322, 2025. https://arxiv.org/abs/2508.02322</w:t>
      </w:r>
    </w:p>
    <w:p>
      <w:pPr/>
      <w:r>
        <w:t>[15] Yifu Ding, Jiacheng Wang, Ge Yang, Yongcheng Jing, Jinyang Guo, Xianglong Liu, and Dacheng Tao. Attribution-Guided and Coverage-Maximized Pruning for Structural MoE Compression. arXiv:2606.18304, 2026. https://arxiv.org/abs/2606.18304</w:t>
      </w:r>
    </w:p>
    <w:p>
      <w:pPr/>
      <w:r>
        <w:t>[16] Internal benchmark artifact. Qwen3-30B-A3B allocation/ranking target-4 experiment, results/moe_allocation_ranking/target4_n1024_v1, 2026.</w:t>
      </w:r>
    </w:p>
    <w:p>
      <w:pPr/>
      <w:r>
        <w:t>[17] Internal benchmark artifact. Qwen3-30B-A3B allocation/ranking target-6 experiment, results/moe_allocation_ranking/target6_rmsnorm_primary_n1024_v1, 2026.</w:t>
      </w:r>
    </w:p>
    <w:p>
      <w:pPr/>
      <w:r>
        <w:t>[18] Internal diagnostic artifact. Qwen3-30B-A3B 2×2 allocation/ranking experiment and ellipsoid target-2 validation, 2026.</w:t>
      </w:r>
    </w:p>
    <w:p>
      <w:pPr/>
      <w:r>
        <w:t>[19] Kimi Team. Kimi K3: Open Frontier Intelligence. arXiv:2607.24653v2, 2026. https://arxiv.org/abs/2607.24653</w:t>
      </w:r>
    </w:p>
    <w:p>
      <w:pPr>
        <w:pStyle w:val="Heading1"/>
      </w:pPr>
      <w:r>
        <w:t>Appendix A. Exact Selected MoE Full Benchmark Matrix</w:t>
      </w:r>
    </w:p>
    <w:p>
      <w:r>
        <w:t>The selected full MoE benchmark used 24 runs: targets {2,4,6,8} × methods {pure_delete, residual_nearest_channel_merge_moe, residual_ridge_moe with λ=1e-3} × datasets {WikiText2, C4}. All runs used n_eval=512 and physical Qwen3-30B-A3B expert-channel pruning.</w:t>
      </w:r>
    </w:p>
    <w:p>
      <w:pPr>
        <w:pStyle w:val="Caption"/>
      </w:pPr>
      <w:r>
        <w:rPr>
          <w:b/>
        </w:rPr>
        <w:t>Table A1. Benchmark commands used or recommended.</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6"/>
              </w:rPr>
              <w:t>Purpose</w:t>
            </w:r>
          </w:p>
        </w:tc>
        <w:tc>
          <w:tcPr>
            <w:tcW w:type="dxa" w:w="5040"/>
            <w:vAlign w:val="center"/>
            <w:shd w:fill="D9EAF7"/>
          </w:tcPr>
          <w:p>
            <w:r/>
            <w:r>
              <w:rPr>
                <w:b/>
                <w:sz w:val="16"/>
              </w:rPr>
              <w:t>Command</w:t>
            </w:r>
          </w:p>
        </w:tc>
      </w:tr>
      <w:tr>
        <w:tc>
          <w:tcPr>
            <w:tcW w:type="dxa" w:w="5040"/>
            <w:vAlign w:val="center"/>
          </w:tcPr>
          <w:p>
            <w:r/>
            <w:r>
              <w:rPr>
                <w:b w:val="0"/>
                <w:sz w:val="16"/>
              </w:rPr>
              <w:t>Quick smoke sweep</w:t>
            </w:r>
          </w:p>
        </w:tc>
        <w:tc>
          <w:tcPr>
            <w:tcW w:type="dxa" w:w="5040"/>
            <w:vAlign w:val="center"/>
          </w:tcPr>
          <w:p>
            <w:r/>
            <w:r>
              <w:rPr>
                <w:b w:val="0"/>
                <w:sz w:val="16"/>
              </w:rPr>
              <w:t>SMOKE=1 bash scripts/run_moe_residual_method_sweep_quick.sh</w:t>
            </w:r>
          </w:p>
        </w:tc>
      </w:tr>
      <w:tr>
        <w:tc>
          <w:tcPr>
            <w:tcW w:type="dxa" w:w="5040"/>
            <w:vAlign w:val="center"/>
          </w:tcPr>
          <w:p>
            <w:r/>
            <w:r>
              <w:rPr>
                <w:b w:val="0"/>
                <w:sz w:val="16"/>
              </w:rPr>
              <w:t>Quick exploratory sweep</w:t>
            </w:r>
          </w:p>
        </w:tc>
        <w:tc>
          <w:tcPr>
            <w:tcW w:type="dxa" w:w="5040"/>
            <w:vAlign w:val="center"/>
          </w:tcPr>
          <w:p>
            <w:r/>
            <w:r>
              <w:rPr>
                <w:b w:val="0"/>
                <w:sz w:val="16"/>
              </w:rPr>
              <w:t>bash scripts/run_moe_residual_method_sweep_quick.sh</w:t>
            </w:r>
          </w:p>
        </w:tc>
      </w:tr>
      <w:tr>
        <w:tc>
          <w:tcPr>
            <w:tcW w:type="dxa" w:w="5040"/>
            <w:vAlign w:val="center"/>
          </w:tcPr>
          <w:p>
            <w:r/>
            <w:r>
              <w:rPr>
                <w:b w:val="0"/>
                <w:sz w:val="16"/>
              </w:rPr>
              <w:t>Selected full benchmark dry run</w:t>
            </w:r>
          </w:p>
        </w:tc>
        <w:tc>
          <w:tcPr>
            <w:tcW w:type="dxa" w:w="5040"/>
            <w:vAlign w:val="center"/>
          </w:tcPr>
          <w:p>
            <w:r/>
            <w:r>
              <w:rPr>
                <w:b w:val="0"/>
                <w:sz w:val="16"/>
              </w:rPr>
              <w:t>DRY_RUN=1 bash scripts/run_moe_residual_selected_full_benchmark.sh</w:t>
            </w:r>
          </w:p>
        </w:tc>
      </w:tr>
      <w:tr>
        <w:tc>
          <w:tcPr>
            <w:tcW w:type="dxa" w:w="5040"/>
            <w:vAlign w:val="center"/>
          </w:tcPr>
          <w:p>
            <w:r/>
            <w:r>
              <w:rPr>
                <w:b w:val="0"/>
                <w:sz w:val="16"/>
              </w:rPr>
              <w:t>Selected full benchmark smoke</w:t>
            </w:r>
          </w:p>
        </w:tc>
        <w:tc>
          <w:tcPr>
            <w:tcW w:type="dxa" w:w="5040"/>
            <w:vAlign w:val="center"/>
          </w:tcPr>
          <w:p>
            <w:r/>
            <w:r>
              <w:rPr>
                <w:b w:val="0"/>
                <w:sz w:val="16"/>
              </w:rPr>
              <w:t>SMOKE=1 bash scripts/run_moe_residual_selected_full_benchmark.sh</w:t>
            </w:r>
          </w:p>
        </w:tc>
      </w:tr>
      <w:tr>
        <w:tc>
          <w:tcPr>
            <w:tcW w:type="dxa" w:w="5040"/>
            <w:vAlign w:val="center"/>
          </w:tcPr>
          <w:p>
            <w:r/>
            <w:r>
              <w:rPr>
                <w:b w:val="0"/>
                <w:sz w:val="16"/>
              </w:rPr>
              <w:t>Selected full benchmark</w:t>
            </w:r>
          </w:p>
        </w:tc>
        <w:tc>
          <w:tcPr>
            <w:tcW w:type="dxa" w:w="5040"/>
            <w:vAlign w:val="center"/>
          </w:tcPr>
          <w:p>
            <w:r/>
            <w:r>
              <w:rPr>
                <w:b w:val="0"/>
                <w:sz w:val="16"/>
              </w:rPr>
              <w:t>bash scripts/run_moe_residual_selected_full_benchmark.sh</w:t>
            </w:r>
          </w:p>
        </w:tc>
      </w:tr>
    </w:tbl>
    <w:p/>
    <w:p>
      <w:pPr>
        <w:pStyle w:val="Heading1"/>
      </w:pPr>
      <w:r>
        <w:t>Appendix B. Detailed MoE Observations</w:t>
      </w:r>
    </w:p>
    <w:p>
      <w:r>
        <w:t>The selected full benchmark confirms the quick-sweep trend. Nearest-channel merge is consistently the most robust residual method at 2-6% target pruning, but at 8% it slightly hurts relative to pure deletion. Ridge residual with λ = 1e-3 is only beneficial in the lowest-pruning quick setting and is not the preferred method at larger targets.</w:t>
      </w:r>
    </w:p>
    <w:p>
      <w:r>
        <w:t>The residual coverage column is a key MoE diagnostic. The selected benchmark reports coverage around 6.2-6.4%, indicating that only a small fraction of candidate expert residual updates had enough stable calibration support. This is a core difference from dense models and should be emphasized in any final paper.</w:t>
      </w:r>
    </w:p>
    <w:p>
      <w:r>
        <w:t>Model reduction is identical for pure deletion and residual methods when they prune the same channels. Residual changes the remaining down-projection weights; it does not change final shapes or parameter counts. Therefore parameter/FLOP reduction should match across methods at the same target and pruning plan.</w:t>
      </w:r>
    </w:p>
    <w:p>
      <w:pPr>
        <w:pStyle w:val="Heading1"/>
      </w:pPr>
      <w:r>
        <w:t>Appendix C. Proof of the RMSNorm Ellipsoid Bound</w:t>
      </w:r>
    </w:p>
    <w:p>
      <w:r>
        <w:t>Let q = x / sqrt(||x||²/d + ε). Then ||q||² = ||x||²/(||x||²/d + ε) &lt; d. With Γ = diag(γ), the post-RMSNorm vector is r = Γq. For one SwiGLU channel, define a = Γg and b = Γu. Its deleted output is c(q) = SiLU(qᵀa)(qᵀb)d_out. Because |SiLU(t)| ≤ |t|,</w:t>
      </w:r>
    </w:p>
    <w:p>
      <w:pPr>
        <w:jc w:val="center"/>
      </w:pPr>
      <w:r>
        <w:rPr>
          <w:rFonts w:ascii="Cambria Math" w:hAnsi="Cambria Math"/>
        </w:rPr>
        <w:t>||c(q)|| ≤ |qᵀa| |qᵀb| ||d_out||.</w:t>
      </w:r>
    </w:p>
    <w:p>
      <w:r>
        <w:t>Define M = (abᵀ + baᵀ)/2. Then (qᵀa)(qᵀb) = qᵀMq. The range of M lies in span{a,b}; its two possibly nonzero eigenvalues are λ± = (aᵀb ± ||a||||b||)/2. Hence its spectral radius is ρ(M) = (||a||||b|| + |aᵀb|)/2. The maximum absolute quadratic form over ||q|| ≤ sqrt(d) is dρ(M), attained along an eigenvector corresponding to the eigenvalue of largest magnitude. Multiplying by ||d_out|| proves</w:t>
      </w:r>
    </w:p>
    <w:p>
      <w:pPr>
        <w:jc w:val="center"/>
      </w:pPr>
      <w:r>
        <w:rPr>
          <w:rFonts w:ascii="Cambria Math" w:hAnsi="Cambria Math"/>
        </w:rPr>
        <w:t>Bᵉˡˡ = d/2 (||Γg|| ||Γu|| + |(Γg)ᵀ(Γu)|) ||d_out||.</w:t>
      </w:r>
    </w:p>
    <w:p>
      <w:r>
        <w:t>The result is exact for the bilinear envelope. Equality for the full SwiGLU channel is not generally expected because |SiLU(t)| can be strictly smaller than |t|, especially on the negative side. This distinction explains why a valid bound can remain loose in empirical routed-token measurements.</w:t>
      </w:r>
    </w:p>
    <w:p>
      <w:pPr>
        <w:pStyle w:val="Heading1"/>
      </w:pPr>
      <w:r>
        <w:t>Appendix D. Generalization to SiTU-GLU</w:t>
      </w:r>
    </w:p>
    <w:p>
      <w:r>
        <w:t>For SiTU-GLU, let φ(a) = β₁ tanh(a/β₁)σ(a) and ψ(b) = β₂ tanh(b/β₂). The elementary envelopes |φ(a)| ≤ min(β₁, |a|) and |ψ(b)| ≤ min(β₂, |b|) imply four simultaneous channel bounds: the global cap β₁β₂; a gate cap times a linear up bound β₁ sqrt(d)||Γu||; an up cap times a linear gate bound β₂ sqrt(d)||Γg||; and the ellipsoidal bilinear bound. Taking their minimum and multiplying by the down-column norm gives the composite bound stated in Section 3.2.5. This provides a direct path to bounded-activation MoE architectures while retaining the same pruning unit and physical width reduction.</w:t>
      </w:r>
    </w:p>
    <w:p>
      <w:r>
        <w:t>Partial MoE activation and structural pruning address different resources. Top-k routing reduces the number of experts executed per token, but the entire expert pool must still be stored and every activated expert retains its original width. Channel pruning reduces stored parameters and the matrix dimensions of each activated expert. The methods are therefore complementary rather than equivalent.</w:t>
      </w:r>
    </w:p>
    <w:p>
      <w:pPr>
        <w:pStyle w:val="Heading1"/>
      </w:pPr>
      <w:r>
        <w:t>Appendix E. Version 3 Claim Checklist</w:t>
      </w:r>
    </w:p>
    <w:p>
      <w:pPr>
        <w:pStyle w:val="ListBullet"/>
      </w:pPr>
      <w:r>
        <w:t>Supported: the expert-specific ellipsoid formula is a valid upper bound under the stated RMSNorm and SwiGLU assumptions.</w:t>
      </w:r>
    </w:p>
    <w:p>
      <w:pPr>
        <w:pStyle w:val="ListBullet"/>
      </w:pPr>
      <w:r>
        <w:t>Supported on sampled routed inputs: zero numerical violations and improved tightness relative to the spherical bound.</w:t>
      </w:r>
    </w:p>
    <w:p>
      <w:pPr>
        <w:pStyle w:val="ListBullet"/>
      </w:pPr>
      <w:r>
        <w:t>Supported under the target-6 fixed allocation: ellipsoid ranking improves original-bound and activation ranking on WikiText-2 and C4 with paired intervals excluding zero.</w:t>
      </w:r>
    </w:p>
    <w:p>
      <w:pPr>
        <w:pStyle w:val="ListBullet"/>
      </w:pPr>
      <w:r>
        <w:t>Supported directionally at target 4%: ellipsoid ranking improves both tested allocation plans on both PPL corpora.</w:t>
      </w:r>
    </w:p>
    <w:p>
      <w:pPr>
        <w:pStyle w:val="ListBullet"/>
      </w:pPr>
      <w:r>
        <w:t>Not yet supported: a uniform all-expert certificate for p95 aggregation, state-of-the-art high-ratio pruning, downstream-task preservation, or end-to-end serving speedup.</w:t>
      </w:r>
    </w:p>
    <w:sectPr w:rsidR="00FC693F" w:rsidRPr="0006063C" w:rsidSect="00034616">
      <w:footerReference w:type="default" r:id="rId12"/>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rPr>
      <w:t>Certified Ellipsoidal SwiGLU and MoE Expert-Channel Pruning — Version 3 Working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i/>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Certified Ellipsoidal Bound-Guided Structured SwiGLU and MoE Expert-Channel Pruning — Version 3</dc:title>
  <dc:subject>Working research draft preserving Versions 1–2 and adding the RMSNorm ellipsoid expansion</dc:subject>
  <dc:creator>python-docx</dc:creator>
  <cp:keywords/>
  <dc:description>Version 3 internal research manuscript; pending downstream, runtime, max-aggregation, and external-baseline experiments.</dc:description>
  <cp:lastModifiedBy/>
  <cp:revision>1</cp:revision>
  <dcterms:created xsi:type="dcterms:W3CDTF">2013-12-23T23:15:00Z</dcterms:created>
  <dcterms:modified xsi:type="dcterms:W3CDTF">2013-12-23T23:15:00Z</dcterms:modified>
  <cp:category/>
</cp:coreProperties>
</file>