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Section</w:t>
            </w:r>
          </w:p>
        </w:tc>
        <w:tc>
          <w:p>
            <w:r>
              <w:t>Script</w:t>
            </w:r>
          </w:p>
        </w:tc>
      </w:tr>
      <w:tr>
        <w:tc>
          <w:p>
            <w:r>
              <w:t>Why CXI</w:t>
            </w:r>
          </w:p>
        </w:tc>
        <w:tc>
          <w:p>
            <w:r>
              <w:t>CXI is not just a score.</w:t>
            </w:r>
            <w:r>
              <w:br/>
            </w:r>
            <w:r>
              <w:t>It shows where customers are dissatisfied.</w:t>
            </w:r>
          </w:p>
          <w:p>
            <w:r>
              <w:t xml:space="preserve">providing</w:t>
            </w:r>
            <w:r>
              <w:rPr>
                <w:strike/>
              </w:rPr>
              <w:t xml:space="preserve"> precise </w:t>
            </w:r>
            <w:r>
              <w:t>optimal response.</w:t>
            </w:r>
          </w:p>
        </w:tc>
      </w:tr>
    </w:tbl>
  </w:body>
</w:document>
</file>