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Partie 1 Etape 2 d) Oui, le client affiche la page web du serveur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Etape 3 b) Le client HTTP envoie une requête HTTP au serveur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Rien ne s’affiche dans le “in layer” et le “out layer” affiche un entête ethernet, une adresse ip et un port tcp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Port 80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d) Dest. IP: 192.168.1.254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e) L’IP de destination est dans le même subnet. L’appareil règle le next-hop vers la destination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f) Les info répétées dans le modèle OSI et les détails PDU de la section ip sont src &amp; dest. Ils sont dans la couche Transport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Les info répétées dans le modèle OSI et les détails PDU de la section tcp src &amp; dest. Ils sont aussi dans la couche Transport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Il y a le header dans la case HTTP. Il est dans la couche Application, Présentation et Session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h) Les informations sont inversées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i) HTTP Data:Connexion: close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j) Tous les onglets ont l'évènement “close”(5). Cela permet de vérifier que les paquets ont bien été envoyé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Partie 2 Etape 1 b) DNS, ARP, TCP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d) NAME: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www.osi.local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e) C’est le client web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C’est l’ip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f) Connexion TCP réussite, état de connexion établi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g) Il ferme la connexion au serveur web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Défi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il écoute le port 80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 serveur web écoute la requête DNS sur 192.168.1.254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osi.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