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Partie 1 b) Oui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Il l’obtient car l’adresse mac est mentionnée dans les paquets du modèle OSI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Partie 2 a) 1er emplacement : IP:87.248.98.7 MAC:00:10:b5:d1:0f:b4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2nd emplacement : IP:104.85.42.204 MAC:00:10:b5:d1:0f:b4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3eme emplacement : IP:216.58.204.132 MAC:00:10:b5:d1:0f:b4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b) Aucune information est importante car ce sont uniquement 1 des nombreux serveurs disponibles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 L’adresse mac est la même pour chaque ip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Remarques générales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Il pouvais afficher l’adresse réelle des hôtes locaux car ils était dans le même réseau local.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