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EB6EE" w14:textId="61ACC0B8" w:rsidR="005E2182" w:rsidRDefault="005E2182" w:rsidP="005E2182">
      <w:pPr>
        <w:spacing w:after="0"/>
        <w:jc w:val="center"/>
        <w:rPr>
          <w:sz w:val="24"/>
          <w:szCs w:val="24"/>
        </w:rPr>
      </w:pPr>
      <w:r>
        <w:rPr>
          <w:sz w:val="28"/>
          <w:szCs w:val="28"/>
        </w:rPr>
        <w:t>Challenge 4 Write-Up</w:t>
      </w:r>
    </w:p>
    <w:p w14:paraId="1123DD47" w14:textId="77777777" w:rsidR="005E2182" w:rsidRDefault="005E2182" w:rsidP="005E2182">
      <w:pPr>
        <w:spacing w:after="0"/>
        <w:jc w:val="center"/>
        <w:rPr>
          <w:sz w:val="24"/>
          <w:szCs w:val="24"/>
        </w:rPr>
      </w:pPr>
    </w:p>
    <w:p w14:paraId="3CCA3D5C" w14:textId="1072C607" w:rsidR="005E2182" w:rsidRPr="005E2182" w:rsidRDefault="005E2182" w:rsidP="005E2182">
      <w:pPr>
        <w:spacing w:after="0"/>
        <w:rPr>
          <w:sz w:val="24"/>
          <w:szCs w:val="24"/>
          <w:u w:val="single"/>
        </w:rPr>
      </w:pPr>
      <w:r w:rsidRPr="005E2182">
        <w:rPr>
          <w:sz w:val="24"/>
          <w:szCs w:val="24"/>
          <w:u w:val="single"/>
        </w:rPr>
        <w:t>Observation 1</w:t>
      </w:r>
    </w:p>
    <w:p w14:paraId="58A71532" w14:textId="6AC7C9DE" w:rsidR="005E2182" w:rsidRDefault="00582283" w:rsidP="005E2182">
      <w:p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  <w:r w:rsidR="005E2182">
        <w:rPr>
          <w:sz w:val="24"/>
          <w:szCs w:val="24"/>
        </w:rPr>
        <w:t xml:space="preserve"> good indication of performance was the total </w:t>
      </w:r>
      <w:proofErr w:type="gramStart"/>
      <w:r w:rsidR="005E2182">
        <w:rPr>
          <w:sz w:val="24"/>
          <w:szCs w:val="24"/>
        </w:rPr>
        <w:t>students</w:t>
      </w:r>
      <w:proofErr w:type="gramEnd"/>
      <w:r w:rsidR="005E2182">
        <w:rPr>
          <w:sz w:val="24"/>
          <w:szCs w:val="24"/>
        </w:rPr>
        <w:t xml:space="preserve"> at each school. The top performing schools have approximately 1000-2000 students in attendance whereas the lowest performing schools were around 3000-4000 or more students. </w:t>
      </w:r>
    </w:p>
    <w:p w14:paraId="747FC80D" w14:textId="77777777" w:rsidR="005E2182" w:rsidRDefault="005E2182" w:rsidP="005E2182">
      <w:pPr>
        <w:spacing w:after="0"/>
        <w:rPr>
          <w:sz w:val="24"/>
          <w:szCs w:val="24"/>
        </w:rPr>
      </w:pPr>
    </w:p>
    <w:p w14:paraId="2F2460CF" w14:textId="777525D7" w:rsidR="005E2182" w:rsidRDefault="005E2182" w:rsidP="005E2182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Observation 2</w:t>
      </w:r>
    </w:p>
    <w:p w14:paraId="13044EBE" w14:textId="52F48D44" w:rsidR="005E2182" w:rsidRDefault="005E2182" w:rsidP="005E2182">
      <w:pPr>
        <w:spacing w:after="0"/>
        <w:rPr>
          <w:sz w:val="24"/>
          <w:szCs w:val="24"/>
        </w:rPr>
      </w:pPr>
      <w:r>
        <w:rPr>
          <w:sz w:val="24"/>
          <w:szCs w:val="24"/>
        </w:rPr>
        <w:t>Average scores appeared to decrease as “Spending Ranges (Per Student)” increased</w:t>
      </w:r>
      <w:r w:rsidR="00582283">
        <w:rPr>
          <w:sz w:val="24"/>
          <w:szCs w:val="24"/>
        </w:rPr>
        <w:t xml:space="preserve"> which could indicate ineffective spending as common sense would dictate that the more resources invested into each individual student should coincide with better </w:t>
      </w:r>
      <w:proofErr w:type="gramStart"/>
      <w:r w:rsidR="00582283">
        <w:rPr>
          <w:sz w:val="24"/>
          <w:szCs w:val="24"/>
        </w:rPr>
        <w:t>performance</w:t>
      </w:r>
      <w:proofErr w:type="gramEnd"/>
      <w:r w:rsidR="00582283">
        <w:rPr>
          <w:sz w:val="24"/>
          <w:szCs w:val="24"/>
        </w:rPr>
        <w:t xml:space="preserve"> but it does not in this case.</w:t>
      </w:r>
    </w:p>
    <w:p w14:paraId="3E96A2FD" w14:textId="77777777" w:rsidR="00582283" w:rsidRDefault="00582283" w:rsidP="005E2182">
      <w:pPr>
        <w:spacing w:after="0"/>
        <w:rPr>
          <w:sz w:val="24"/>
          <w:szCs w:val="24"/>
        </w:rPr>
      </w:pPr>
    </w:p>
    <w:p w14:paraId="3C660C31" w14:textId="77D6BBAB" w:rsidR="00582283" w:rsidRDefault="00582283" w:rsidP="005E2182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Observation 3</w:t>
      </w:r>
    </w:p>
    <w:p w14:paraId="57474362" w14:textId="7D893D79" w:rsidR="00582283" w:rsidRPr="00582283" w:rsidRDefault="00582283" w:rsidP="005E2182">
      <w:pPr>
        <w:spacing w:after="0"/>
        <w:rPr>
          <w:sz w:val="24"/>
          <w:szCs w:val="24"/>
        </w:rPr>
      </w:pPr>
      <w:r>
        <w:rPr>
          <w:sz w:val="24"/>
          <w:szCs w:val="24"/>
        </w:rPr>
        <w:t>Charter schools had a rather large advantage in passing scores compared to district schools. This was most heavily apparent in the “% Passing Math” and “% Overall Passing” categories with the numbers being 93% compared to 66% for math and 90% compared to 53% for overall.</w:t>
      </w:r>
    </w:p>
    <w:sectPr w:rsidR="00582283" w:rsidRPr="00582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82"/>
    <w:rsid w:val="00151362"/>
    <w:rsid w:val="00582283"/>
    <w:rsid w:val="005E2182"/>
    <w:rsid w:val="00C8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7973"/>
  <w15:chartTrackingRefBased/>
  <w15:docId w15:val="{4EBD5A66-F59D-4FF5-A1E0-82EFD0B7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Urueta</dc:creator>
  <cp:keywords/>
  <dc:description/>
  <cp:lastModifiedBy>Steven Urueta</cp:lastModifiedBy>
  <cp:revision>1</cp:revision>
  <dcterms:created xsi:type="dcterms:W3CDTF">2023-05-10T19:34:00Z</dcterms:created>
  <dcterms:modified xsi:type="dcterms:W3CDTF">2023-05-10T19:49:00Z</dcterms:modified>
</cp:coreProperties>
</file>