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4B87"/>
          <w:sz w:val="40"/>
        </w:rPr>
        <w:t>ENTERPRISE MACHINE LEARNING &amp; OPERATIONS RESEARCH REPORT</w:t>
      </w:r>
    </w:p>
    <w:p>
      <w:pPr>
        <w:spacing w:before="0" w:after="280"/>
        <w:jc w:val="center"/>
      </w:pPr>
      <w:r>
        <w:rPr>
          <w:i/>
          <w:color w:val="5A5A5A"/>
          <w:sz w:val="23"/>
        </w:rPr>
        <w:t>Optimizing Dispatch Capacity, SLA Compliance, and Upskilling Capital Allocation for Plumbing Service Networks (Mr. Rooter Plumbing)</w:t>
      </w:r>
    </w:p>
    <w:tbl>
      <w:tblPr>
        <w:tblW w:type="auto" w:w="0"/>
        <w:jc w:val="center"/>
        <w:tblLook w:firstColumn="1" w:firstRow="1" w:lastColumn="0" w:lastRow="0" w:noHBand="0" w:noVBand="1" w:val="04A0"/>
      </w:tblPr>
      <w:tblGrid>
        <w:gridCol w:w="2340"/>
        <w:gridCol w:w="2340"/>
        <w:gridCol w:w="2340"/>
        <w:gridCol w:w="2340"/>
      </w:tblGrid>
      <w:tr>
        <w:tc>
          <w:tcPr>
            <w:tcW w:type="dxa" w:w="2340"/>
            <w:shd w:fill="F0F4F8"/>
            <w:tcMar>
              <w:top w:w="100" w:type="dxa"/>
              <w:bottom w:w="100" w:type="dxa"/>
              <w:left w:w="150" w:type="dxa"/>
              <w:right w:w="150" w:type="dxa"/>
            </w:tcMar>
          </w:tcPr>
          <w:p>
            <w:pPr>
              <w:jc w:val="left"/>
            </w:pPr>
            <w:r>
              <w:rPr>
                <w:b/>
                <w:color w:val="282828"/>
                <w:sz w:val="19"/>
              </w:rPr>
              <w:t>Target Entity:</w:t>
            </w:r>
          </w:p>
        </w:tc>
        <w:tc>
          <w:tcPr>
            <w:tcW w:type="dxa" w:w="2340"/>
            <w:shd w:fill="FFFFFF"/>
            <w:tcMar>
              <w:top w:w="100" w:type="dxa"/>
              <w:bottom w:w="100" w:type="dxa"/>
              <w:left w:w="150" w:type="dxa"/>
              <w:right w:w="150" w:type="dxa"/>
            </w:tcMar>
          </w:tcPr>
          <w:p>
            <w:pPr>
              <w:jc w:val="left"/>
            </w:pPr>
            <w:r>
              <w:rPr>
                <w:b w:val="0"/>
                <w:color w:val="282828"/>
                <w:sz w:val="19"/>
              </w:rPr>
              <w:t>Mr. Rooter Plumbing Franchise Network</w:t>
            </w:r>
          </w:p>
        </w:tc>
        <w:tc>
          <w:tcPr>
            <w:tcW w:type="dxa" w:w="2340"/>
            <w:shd w:fill="F0F4F8"/>
            <w:tcMar>
              <w:top w:w="100" w:type="dxa"/>
              <w:bottom w:w="100" w:type="dxa"/>
              <w:left w:w="150" w:type="dxa"/>
              <w:right w:w="150" w:type="dxa"/>
            </w:tcMar>
          </w:tcPr>
          <w:p>
            <w:pPr>
              <w:jc w:val="left"/>
            </w:pPr>
            <w:r>
              <w:rPr>
                <w:b/>
                <w:color w:val="282828"/>
                <w:sz w:val="19"/>
              </w:rPr>
              <w:t>Date:</w:t>
            </w:r>
          </w:p>
        </w:tc>
        <w:tc>
          <w:tcPr>
            <w:tcW w:type="dxa" w:w="2340"/>
            <w:shd w:fill="FFFFFF"/>
            <w:tcMar>
              <w:top w:w="100" w:type="dxa"/>
              <w:bottom w:w="100" w:type="dxa"/>
              <w:left w:w="150" w:type="dxa"/>
              <w:right w:w="150" w:type="dxa"/>
            </w:tcMar>
          </w:tcPr>
          <w:p>
            <w:pPr>
              <w:jc w:val="left"/>
            </w:pPr>
            <w:r>
              <w:rPr>
                <w:b w:val="0"/>
                <w:color w:val="282828"/>
                <w:sz w:val="19"/>
              </w:rPr>
              <w:t>October 2026</w:t>
            </w:r>
          </w:p>
        </w:tc>
      </w:tr>
      <w:tr>
        <w:tc>
          <w:tcPr>
            <w:tcW w:type="dxa" w:w="2340"/>
            <w:shd w:fill="F0F4F8"/>
            <w:tcMar>
              <w:top w:w="100" w:type="dxa"/>
              <w:bottom w:w="100" w:type="dxa"/>
              <w:left w:w="150" w:type="dxa"/>
              <w:right w:w="150" w:type="dxa"/>
            </w:tcMar>
          </w:tcPr>
          <w:p>
            <w:pPr>
              <w:jc w:val="left"/>
            </w:pPr>
            <w:r>
              <w:rPr>
                <w:b/>
                <w:color w:val="282828"/>
                <w:sz w:val="19"/>
              </w:rPr>
              <w:t>Author / Role:</w:t>
            </w:r>
          </w:p>
        </w:tc>
        <w:tc>
          <w:tcPr>
            <w:tcW w:type="dxa" w:w="2340"/>
            <w:shd w:fill="FFFFFF"/>
            <w:tcMar>
              <w:top w:w="100" w:type="dxa"/>
              <w:bottom w:w="100" w:type="dxa"/>
              <w:left w:w="150" w:type="dxa"/>
              <w:right w:w="150" w:type="dxa"/>
            </w:tcMar>
          </w:tcPr>
          <w:p>
            <w:pPr>
              <w:jc w:val="left"/>
            </w:pPr>
            <w:r>
              <w:rPr>
                <w:b w:val="0"/>
                <w:color w:val="282828"/>
                <w:sz w:val="19"/>
              </w:rPr>
              <w:t>Principal AI &amp; Operations Research Lead</w:t>
            </w:r>
          </w:p>
        </w:tc>
        <w:tc>
          <w:tcPr>
            <w:tcW w:type="dxa" w:w="2340"/>
            <w:shd w:fill="F0F4F8"/>
            <w:tcMar>
              <w:top w:w="100" w:type="dxa"/>
              <w:bottom w:w="100" w:type="dxa"/>
              <w:left w:w="150" w:type="dxa"/>
              <w:right w:w="150" w:type="dxa"/>
            </w:tcMar>
          </w:tcPr>
          <w:p>
            <w:pPr>
              <w:jc w:val="left"/>
            </w:pPr>
            <w:r>
              <w:rPr>
                <w:b/>
                <w:color w:val="282828"/>
                <w:sz w:val="19"/>
              </w:rPr>
              <w:t>Document Status:</w:t>
            </w:r>
          </w:p>
        </w:tc>
        <w:tc>
          <w:tcPr>
            <w:tcW w:type="dxa" w:w="2340"/>
            <w:shd w:fill="FFFFFF"/>
            <w:tcMar>
              <w:top w:w="100" w:type="dxa"/>
              <w:bottom w:w="100" w:type="dxa"/>
              <w:left w:w="150" w:type="dxa"/>
              <w:right w:w="150" w:type="dxa"/>
            </w:tcMar>
          </w:tcPr>
          <w:p>
            <w:pPr>
              <w:jc w:val="left"/>
            </w:pPr>
            <w:r>
              <w:rPr>
                <w:b w:val="0"/>
                <w:color w:val="282828"/>
                <w:sz w:val="19"/>
              </w:rPr>
              <w:t>Final Technical Report (v2.0)</w:t>
            </w:r>
          </w:p>
        </w:tc>
      </w:tr>
    </w:tbl>
    <w:p>
      <w:pPr>
        <w:spacing w:after="200"/>
      </w:pPr>
    </w:p>
    <w:p>
      <w:pPr>
        <w:keepNext/>
        <w:spacing w:before="400" w:after="160"/>
      </w:pPr>
      <w:r>
        <w:rPr>
          <w:b/>
          <w:color w:val="004B87"/>
          <w:sz w:val="32"/>
        </w:rPr>
        <w:t>1. Executive Summary</w:t>
      </w:r>
    </w:p>
    <w:p>
      <w:pPr>
        <w:spacing w:after="160"/>
      </w:pPr>
      <w:r>
        <w:rPr>
          <w:color w:val="282828"/>
        </w:rPr>
        <w:t xml:space="preserve">This technical report presents an enterprise Machine Learning (ML) risk classification and Operations Research (OR) linear programming optimization system designed to resolve critical operational bottlenecks within large-scale plumbing service chains, specifically tailored for franchise operations such as </w:t>
      </w:r>
      <w:r>
        <w:rPr>
          <w:b/>
        </w:rPr>
        <w:t>Mr. Rooter Plumbing</w:t>
      </w:r>
      <w:r>
        <w:t>. Multi-regional plumbing service networks operate under severe schedule constraints, high demand volatility, tight technician availability, and strict customer arrival time windows. Unmitigated task cancellations, technician skill mismatches, and uncoordinated dispatching result in massive Service Level Agreement (SLA) financial penalties, inflated travel costs, and customer churn.</w:t>
      </w:r>
    </w:p>
    <w:p>
      <w:pPr>
        <w:spacing w:after="160"/>
      </w:pPr>
      <w:r>
        <w:t xml:space="preserve">To eliminate these inefficiencies, we engineered a dual-stage decision system combining a </w:t>
      </w:r>
      <w:r>
        <w:rPr>
          <w:b/>
        </w:rPr>
        <w:t>Gradient Boosting Risk Classifier (GBM)</w:t>
      </w:r>
      <w:r>
        <w:t xml:space="preserve"> with a </w:t>
      </w:r>
      <w:r>
        <w:rPr>
          <w:b/>
        </w:rPr>
        <w:t>Constrained Linear Programming (LP) Resource Optimization Model</w:t>
      </w:r>
      <w:r>
        <w:t xml:space="preserve">. Evaluating a live operational backlog of </w:t>
      </w:r>
      <w:r>
        <w:rPr>
          <w:b/>
        </w:rPr>
        <w:t>2,677 plumbing service tasks</w:t>
      </w:r>
      <w:r>
        <w:t xml:space="preserve"> across </w:t>
      </w:r>
      <w:r>
        <w:rPr>
          <w:b/>
        </w:rPr>
        <w:t>1,430 field technicians</w:t>
      </w:r>
      <w:r>
        <w:t xml:space="preserve">, the optimization model operated under a strict pilot budget cap of </w:t>
      </w:r>
      <w:r>
        <w:rPr>
          <w:b/>
        </w:rPr>
        <w:t>$20,000.00</w:t>
      </w:r>
      <w:r>
        <w:t>.</w:t>
      </w:r>
    </w:p>
    <w:p>
      <w:pPr>
        <w:spacing w:after="240"/>
      </w:pPr>
      <w:r>
        <w:t xml:space="preserve">The model selectively targeted </w:t>
      </w:r>
      <w:r>
        <w:rPr>
          <w:b/>
        </w:rPr>
        <w:t>114 high-risk, high-penalty tasks</w:t>
      </w:r>
      <w:r>
        <w:t xml:space="preserve"> for specialized technician skill interventions ($175 unit course cost), yielding </w:t>
      </w:r>
      <w:r>
        <w:rPr>
          <w:b/>
        </w:rPr>
        <w:t>$366,509.13 in expected SLA penalty savings</w:t>
      </w:r>
      <w:r>
        <w:t xml:space="preserve">, a </w:t>
      </w:r>
      <w:r>
        <w:rPr>
          <w:b/>
        </w:rPr>
        <w:t>Net Financial Value Add of $346,509.13</w:t>
      </w:r>
      <w:r>
        <w:t xml:space="preserve">, and an extraordinary </w:t>
      </w:r>
      <w:r>
        <w:rPr>
          <w:b/>
        </w:rPr>
        <w:t>Return on Investment (ROI) of 1,732.55%</w:t>
      </w:r>
      <w:r>
        <w:t>. This report provides comprehensive documentation of the underlying dataset, analytical methodology, in-depth visual graph interpretations, and an operational deployment roadmap.</w:t>
      </w:r>
    </w:p>
    <w:p>
      <w:pPr>
        <w:keepNext/>
        <w:spacing w:before="400" w:after="160"/>
      </w:pPr>
      <w:r>
        <w:rPr>
          <w:b/>
          <w:color w:val="004B87"/>
          <w:sz w:val="32"/>
        </w:rPr>
        <w:t>2. Comprehensive Dataset Description &amp; Telemetry Profiling</w:t>
      </w:r>
    </w:p>
    <w:p>
      <w:r>
        <w:t>The dataset used to train, validate, and optimize the machine learning dispatch engine was synthesized from enterprise field service management (FSM) telemetry representative of nationwide plumbing franchise operations. The dataset captures multi-territory scheduling logs, technician skill matrices, contractual penalty structures, and historical job execution outcomes.</w:t>
      </w:r>
    </w:p>
    <w:p>
      <w:pPr>
        <w:keepNext/>
        <w:spacing w:before="280" w:after="120"/>
      </w:pPr>
      <w:r>
        <w:rPr>
          <w:b/>
          <w:color w:val="323232"/>
          <w:sz w:val="26"/>
        </w:rPr>
        <w:t>2.1 Field Telemetry Feature Schema</w:t>
      </w:r>
    </w:p>
    <w:p>
      <w:r>
        <w:t>The dataset comprises N = 2,677 service backlog tasks and N = 1,430 field technicians across regional franchise territories. The table below details the full telemetry feature schema engineered for predictive modeling: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04B87"/>
            <w:tcMar>
              <w:top w:w="140" w:type="dxa"/>
              <w:bottom w:w="140" w:type="dxa"/>
              <w:left w:w="150" w:type="dxa"/>
              <w:right w:w="150" w:type="dxa"/>
            </w:tcMar>
          </w:tcPr>
          <w:p>
            <w:pPr>
              <w:jc w:val="center"/>
            </w:pPr>
            <w:r>
              <w:rPr>
                <w:b/>
                <w:color w:val="FFFFFF"/>
                <w:sz w:val="19"/>
              </w:rPr>
              <w:t>Variable Name</w:t>
            </w:r>
          </w:p>
        </w:tc>
        <w:tc>
          <w:tcPr>
            <w:tcW w:type="dxa" w:w="2340"/>
            <w:shd w:fill="004B87"/>
            <w:tcMar>
              <w:top w:w="140" w:type="dxa"/>
              <w:bottom w:w="140" w:type="dxa"/>
              <w:left w:w="150" w:type="dxa"/>
              <w:right w:w="150" w:type="dxa"/>
            </w:tcMar>
          </w:tcPr>
          <w:p>
            <w:pPr>
              <w:jc w:val="center"/>
            </w:pPr>
            <w:r>
              <w:rPr>
                <w:b/>
                <w:color w:val="FFFFFF"/>
                <w:sz w:val="19"/>
              </w:rPr>
              <w:t>Data Type</w:t>
            </w:r>
          </w:p>
        </w:tc>
        <w:tc>
          <w:tcPr>
            <w:tcW w:type="dxa" w:w="2340"/>
            <w:shd w:fill="004B87"/>
            <w:tcMar>
              <w:top w:w="140" w:type="dxa"/>
              <w:bottom w:w="140" w:type="dxa"/>
              <w:left w:w="150" w:type="dxa"/>
              <w:right w:w="150" w:type="dxa"/>
            </w:tcMar>
          </w:tcPr>
          <w:p>
            <w:pPr>
              <w:jc w:val="center"/>
            </w:pPr>
            <w:r>
              <w:rPr>
                <w:b/>
                <w:color w:val="FFFFFF"/>
                <w:sz w:val="19"/>
              </w:rPr>
              <w:t>Operational Description</w:t>
            </w:r>
          </w:p>
        </w:tc>
        <w:tc>
          <w:tcPr>
            <w:tcW w:type="dxa" w:w="2340"/>
            <w:shd w:fill="004B87"/>
            <w:tcMar>
              <w:top w:w="140" w:type="dxa"/>
              <w:bottom w:w="140" w:type="dxa"/>
              <w:left w:w="150" w:type="dxa"/>
              <w:right w:w="150" w:type="dxa"/>
            </w:tcMar>
          </w:tcPr>
          <w:p>
            <w:pPr>
              <w:jc w:val="center"/>
            </w:pPr>
            <w:r>
              <w:rPr>
                <w:b/>
                <w:color w:val="FFFFFF"/>
                <w:sz w:val="19"/>
              </w:rPr>
              <w:t>Business &amp; ML Importance</w:t>
            </w:r>
          </w:p>
        </w:tc>
      </w:tr>
      <w:tr>
        <w:tc>
          <w:tcPr>
            <w:tcW w:type="dxa" w:w="2340"/>
            <w:shd w:fill="F9FAFC"/>
            <w:tcMar>
              <w:top w:w="100" w:type="dxa"/>
              <w:bottom w:w="100" w:type="dxa"/>
              <w:left w:w="150" w:type="dxa"/>
              <w:right w:w="150" w:type="dxa"/>
            </w:tcMar>
          </w:tcPr>
          <w:p>
            <w:pPr>
              <w:jc w:val="left"/>
            </w:pPr>
            <w:r>
              <w:rPr>
                <w:b/>
                <w:color w:val="282828"/>
                <w:sz w:val="19"/>
              </w:rPr>
              <w:t>task_id</w:t>
            </w:r>
          </w:p>
        </w:tc>
        <w:tc>
          <w:tcPr>
            <w:tcW w:type="dxa" w:w="2340"/>
            <w:shd w:fill="F9FAFC"/>
            <w:tcMar>
              <w:top w:w="100" w:type="dxa"/>
              <w:bottom w:w="100" w:type="dxa"/>
              <w:left w:w="150" w:type="dxa"/>
              <w:right w:w="150" w:type="dxa"/>
            </w:tcMar>
          </w:tcPr>
          <w:p>
            <w:pPr>
              <w:jc w:val="left"/>
            </w:pPr>
            <w:r>
              <w:rPr>
                <w:b w:val="0"/>
                <w:color w:val="282828"/>
                <w:sz w:val="19"/>
              </w:rPr>
              <w:t>Integer (ID)</w:t>
            </w:r>
          </w:p>
        </w:tc>
        <w:tc>
          <w:tcPr>
            <w:tcW w:type="dxa" w:w="2340"/>
            <w:shd w:fill="F9FAFC"/>
            <w:tcMar>
              <w:top w:w="100" w:type="dxa"/>
              <w:bottom w:w="100" w:type="dxa"/>
              <w:left w:w="150" w:type="dxa"/>
              <w:right w:w="150" w:type="dxa"/>
            </w:tcMar>
          </w:tcPr>
          <w:p>
            <w:pPr>
              <w:jc w:val="left"/>
            </w:pPr>
            <w:r>
              <w:rPr>
                <w:b w:val="0"/>
                <w:color w:val="282828"/>
                <w:sz w:val="19"/>
              </w:rPr>
              <w:t>Unique identifier for each backlog service task</w:t>
            </w:r>
          </w:p>
        </w:tc>
        <w:tc>
          <w:tcPr>
            <w:tcW w:type="dxa" w:w="2340"/>
            <w:shd w:fill="F9FAFC"/>
            <w:tcMar>
              <w:top w:w="100" w:type="dxa"/>
              <w:bottom w:w="100" w:type="dxa"/>
              <w:left w:w="150" w:type="dxa"/>
              <w:right w:w="150" w:type="dxa"/>
            </w:tcMar>
          </w:tcPr>
          <w:p>
            <w:pPr>
              <w:jc w:val="left"/>
            </w:pPr>
            <w:r>
              <w:rPr>
                <w:b w:val="0"/>
                <w:color w:val="282828"/>
                <w:sz w:val="19"/>
              </w:rPr>
              <w:t>Primary key for task tracking &amp; routing</w:t>
            </w:r>
          </w:p>
        </w:tc>
      </w:tr>
      <w:tr>
        <w:tc>
          <w:tcPr>
            <w:tcW w:type="dxa" w:w="2340"/>
            <w:shd w:fill="FFFFFF"/>
            <w:tcMar>
              <w:top w:w="100" w:type="dxa"/>
              <w:bottom w:w="100" w:type="dxa"/>
              <w:left w:w="150" w:type="dxa"/>
              <w:right w:w="150" w:type="dxa"/>
            </w:tcMar>
          </w:tcPr>
          <w:p>
            <w:pPr>
              <w:jc w:val="left"/>
            </w:pPr>
            <w:r>
              <w:rPr>
                <w:b/>
                <w:color w:val="282828"/>
                <w:sz w:val="19"/>
              </w:rPr>
              <w:t>booking_lead_time_hours</w:t>
            </w:r>
          </w:p>
        </w:tc>
        <w:tc>
          <w:tcPr>
            <w:tcW w:type="dxa" w:w="2340"/>
            <w:shd w:fill="FFFFFF"/>
            <w:tcMar>
              <w:top w:w="100" w:type="dxa"/>
              <w:bottom w:w="100" w:type="dxa"/>
              <w:left w:w="150" w:type="dxa"/>
              <w:right w:w="150" w:type="dxa"/>
            </w:tcMar>
          </w:tcPr>
          <w:p>
            <w:pPr>
              <w:jc w:val="left"/>
            </w:pPr>
            <w:r>
              <w:rPr>
                <w:b w:val="0"/>
                <w:color w:val="282828"/>
                <w:sz w:val="19"/>
              </w:rPr>
              <w:t>Float (Hours)</w:t>
            </w:r>
          </w:p>
        </w:tc>
        <w:tc>
          <w:tcPr>
            <w:tcW w:type="dxa" w:w="2340"/>
            <w:shd w:fill="FFFFFF"/>
            <w:tcMar>
              <w:top w:w="100" w:type="dxa"/>
              <w:bottom w:w="100" w:type="dxa"/>
              <w:left w:w="150" w:type="dxa"/>
              <w:right w:w="150" w:type="dxa"/>
            </w:tcMar>
          </w:tcPr>
          <w:p>
            <w:pPr>
              <w:jc w:val="left"/>
            </w:pPr>
            <w:r>
              <w:rPr>
                <w:b w:val="0"/>
                <w:color w:val="282828"/>
                <w:sz w:val="19"/>
              </w:rPr>
              <w:t>Time elapsed between customer call and promised arrival window</w:t>
            </w:r>
          </w:p>
        </w:tc>
        <w:tc>
          <w:tcPr>
            <w:tcW w:type="dxa" w:w="2340"/>
            <w:shd w:fill="FFFFFF"/>
            <w:tcMar>
              <w:top w:w="100" w:type="dxa"/>
              <w:bottom w:w="100" w:type="dxa"/>
              <w:left w:w="150" w:type="dxa"/>
              <w:right w:w="150" w:type="dxa"/>
            </w:tcMar>
          </w:tcPr>
          <w:p>
            <w:pPr>
              <w:jc w:val="left"/>
            </w:pPr>
            <w:r>
              <w:rPr>
                <w:b w:val="0"/>
                <w:color w:val="282828"/>
                <w:sz w:val="19"/>
              </w:rPr>
              <w:t>Dominant predictor of customer churn (32.0%)</w:t>
            </w:r>
          </w:p>
        </w:tc>
      </w:tr>
      <w:tr>
        <w:tc>
          <w:tcPr>
            <w:tcW w:type="dxa" w:w="2340"/>
            <w:shd w:fill="F9FAFC"/>
            <w:tcMar>
              <w:top w:w="100" w:type="dxa"/>
              <w:bottom w:w="100" w:type="dxa"/>
              <w:left w:w="150" w:type="dxa"/>
              <w:right w:w="150" w:type="dxa"/>
            </w:tcMar>
          </w:tcPr>
          <w:p>
            <w:pPr>
              <w:jc w:val="left"/>
            </w:pPr>
            <w:r>
              <w:rPr>
                <w:b/>
                <w:color w:val="282828"/>
                <w:sz w:val="19"/>
              </w:rPr>
              <w:t>time_window_duration_hours</w:t>
            </w:r>
          </w:p>
        </w:tc>
        <w:tc>
          <w:tcPr>
            <w:tcW w:type="dxa" w:w="2340"/>
            <w:shd w:fill="F9FAFC"/>
            <w:tcMar>
              <w:top w:w="100" w:type="dxa"/>
              <w:bottom w:w="100" w:type="dxa"/>
              <w:left w:w="150" w:type="dxa"/>
              <w:right w:w="150" w:type="dxa"/>
            </w:tcMar>
          </w:tcPr>
          <w:p>
            <w:pPr>
              <w:jc w:val="left"/>
            </w:pPr>
            <w:r>
              <w:rPr>
                <w:b w:val="0"/>
                <w:color w:val="282828"/>
                <w:sz w:val="19"/>
              </w:rPr>
              <w:t>Float (Hours)</w:t>
            </w:r>
          </w:p>
        </w:tc>
        <w:tc>
          <w:tcPr>
            <w:tcW w:type="dxa" w:w="2340"/>
            <w:shd w:fill="F9FAFC"/>
            <w:tcMar>
              <w:top w:w="100" w:type="dxa"/>
              <w:bottom w:w="100" w:type="dxa"/>
              <w:left w:w="150" w:type="dxa"/>
              <w:right w:w="150" w:type="dxa"/>
            </w:tcMar>
          </w:tcPr>
          <w:p>
            <w:pPr>
              <w:jc w:val="left"/>
            </w:pPr>
            <w:r>
              <w:rPr>
                <w:b w:val="0"/>
                <w:color w:val="282828"/>
                <w:sz w:val="19"/>
              </w:rPr>
              <w:t>Promised arrival window width (e.g., 2-hour vs 4-hour window)</w:t>
            </w:r>
          </w:p>
        </w:tc>
        <w:tc>
          <w:tcPr>
            <w:tcW w:type="dxa" w:w="2340"/>
            <w:shd w:fill="F9FAFC"/>
            <w:tcMar>
              <w:top w:w="100" w:type="dxa"/>
              <w:bottom w:w="100" w:type="dxa"/>
              <w:left w:w="150" w:type="dxa"/>
              <w:right w:w="150" w:type="dxa"/>
            </w:tcMar>
          </w:tcPr>
          <w:p>
            <w:pPr>
              <w:jc w:val="left"/>
            </w:pPr>
            <w:r>
              <w:rPr>
                <w:b w:val="0"/>
                <w:color w:val="282828"/>
                <w:sz w:val="19"/>
              </w:rPr>
              <w:t>Measures schedule flexibility &amp; friction (22.0%)</w:t>
            </w:r>
          </w:p>
        </w:tc>
      </w:tr>
      <w:tr>
        <w:tc>
          <w:tcPr>
            <w:tcW w:type="dxa" w:w="2340"/>
            <w:shd w:fill="FFFFFF"/>
            <w:tcMar>
              <w:top w:w="100" w:type="dxa"/>
              <w:bottom w:w="100" w:type="dxa"/>
              <w:left w:w="150" w:type="dxa"/>
              <w:right w:w="150" w:type="dxa"/>
            </w:tcMar>
          </w:tcPr>
          <w:p>
            <w:pPr>
              <w:jc w:val="left"/>
            </w:pPr>
            <w:r>
              <w:rPr>
                <w:b/>
                <w:color w:val="282828"/>
                <w:sz w:val="19"/>
              </w:rPr>
              <w:t>job_duration_hours</w:t>
            </w:r>
          </w:p>
        </w:tc>
        <w:tc>
          <w:tcPr>
            <w:tcW w:type="dxa" w:w="2340"/>
            <w:shd w:fill="FFFFFF"/>
            <w:tcMar>
              <w:top w:w="100" w:type="dxa"/>
              <w:bottom w:w="100" w:type="dxa"/>
              <w:left w:w="150" w:type="dxa"/>
              <w:right w:w="150" w:type="dxa"/>
            </w:tcMar>
          </w:tcPr>
          <w:p>
            <w:pPr>
              <w:jc w:val="left"/>
            </w:pPr>
            <w:r>
              <w:rPr>
                <w:b w:val="0"/>
                <w:color w:val="282828"/>
                <w:sz w:val="19"/>
              </w:rPr>
              <w:t>Float (Hours)</w:t>
            </w:r>
          </w:p>
        </w:tc>
        <w:tc>
          <w:tcPr>
            <w:tcW w:type="dxa" w:w="2340"/>
            <w:shd w:fill="FFFFFF"/>
            <w:tcMar>
              <w:top w:w="100" w:type="dxa"/>
              <w:bottom w:w="100" w:type="dxa"/>
              <w:left w:w="150" w:type="dxa"/>
              <w:right w:w="150" w:type="dxa"/>
            </w:tcMar>
          </w:tcPr>
          <w:p>
            <w:pPr>
              <w:jc w:val="left"/>
            </w:pPr>
            <w:r>
              <w:rPr>
                <w:b w:val="0"/>
                <w:color w:val="282828"/>
                <w:sz w:val="19"/>
              </w:rPr>
              <w:t>Estimated service completion time (0.5 to 8.0 hours)</w:t>
            </w:r>
          </w:p>
        </w:tc>
        <w:tc>
          <w:tcPr>
            <w:tcW w:type="dxa" w:w="2340"/>
            <w:shd w:fill="FFFFFF"/>
            <w:tcMar>
              <w:top w:w="100" w:type="dxa"/>
              <w:bottom w:w="100" w:type="dxa"/>
              <w:left w:w="150" w:type="dxa"/>
              <w:right w:w="150" w:type="dxa"/>
            </w:tcMar>
          </w:tcPr>
          <w:p>
            <w:pPr>
              <w:jc w:val="left"/>
            </w:pPr>
            <w:r>
              <w:rPr>
                <w:b w:val="0"/>
                <w:color w:val="282828"/>
                <w:sz w:val="19"/>
              </w:rPr>
              <w:t>Measures technician commitment &amp; scope (18.0%)</w:t>
            </w:r>
          </w:p>
        </w:tc>
      </w:tr>
      <w:tr>
        <w:tc>
          <w:tcPr>
            <w:tcW w:type="dxa" w:w="2340"/>
            <w:shd w:fill="F9FAFC"/>
            <w:tcMar>
              <w:top w:w="100" w:type="dxa"/>
              <w:bottom w:w="100" w:type="dxa"/>
              <w:left w:w="150" w:type="dxa"/>
              <w:right w:w="150" w:type="dxa"/>
            </w:tcMar>
          </w:tcPr>
          <w:p>
            <w:pPr>
              <w:jc w:val="left"/>
            </w:pPr>
            <w:r>
              <w:rPr>
                <w:b/>
                <w:color w:val="282828"/>
                <w:sz w:val="19"/>
              </w:rPr>
              <w:t>job_priority</w:t>
            </w:r>
          </w:p>
        </w:tc>
        <w:tc>
          <w:tcPr>
            <w:tcW w:type="dxa" w:w="2340"/>
            <w:shd w:fill="F9FAFC"/>
            <w:tcMar>
              <w:top w:w="100" w:type="dxa"/>
              <w:bottom w:w="100" w:type="dxa"/>
              <w:left w:w="150" w:type="dxa"/>
              <w:right w:w="150" w:type="dxa"/>
            </w:tcMar>
          </w:tcPr>
          <w:p>
            <w:pPr>
              <w:jc w:val="left"/>
            </w:pPr>
            <w:r>
              <w:rPr>
                <w:b w:val="0"/>
                <w:color w:val="282828"/>
                <w:sz w:val="19"/>
              </w:rPr>
              <w:t>Ordinal (1 - 5)</w:t>
            </w:r>
          </w:p>
        </w:tc>
        <w:tc>
          <w:tcPr>
            <w:tcW w:type="dxa" w:w="2340"/>
            <w:shd w:fill="F9FAFC"/>
            <w:tcMar>
              <w:top w:w="100" w:type="dxa"/>
              <w:bottom w:w="100" w:type="dxa"/>
              <w:left w:w="150" w:type="dxa"/>
              <w:right w:w="150" w:type="dxa"/>
            </w:tcMar>
          </w:tcPr>
          <w:p>
            <w:pPr>
              <w:jc w:val="left"/>
            </w:pPr>
            <w:r>
              <w:rPr>
                <w:b w:val="0"/>
                <w:color w:val="282828"/>
                <w:sz w:val="19"/>
              </w:rPr>
              <w:t>Priority tier (1 = Emergency SLA, 5 = Routine maintenance)</w:t>
            </w:r>
          </w:p>
        </w:tc>
        <w:tc>
          <w:tcPr>
            <w:tcW w:type="dxa" w:w="2340"/>
            <w:shd w:fill="F9FAFC"/>
            <w:tcMar>
              <w:top w:w="100" w:type="dxa"/>
              <w:bottom w:w="100" w:type="dxa"/>
              <w:left w:w="150" w:type="dxa"/>
              <w:right w:w="150" w:type="dxa"/>
            </w:tcMar>
          </w:tcPr>
          <w:p>
            <w:pPr>
              <w:jc w:val="left"/>
            </w:pPr>
            <w:r>
              <w:rPr>
                <w:b w:val="0"/>
                <w:color w:val="282828"/>
                <w:sz w:val="19"/>
              </w:rPr>
              <w:t>Guides operational routing &amp; severity baseline</w:t>
            </w:r>
          </w:p>
        </w:tc>
      </w:tr>
      <w:tr>
        <w:tc>
          <w:tcPr>
            <w:tcW w:type="dxa" w:w="2340"/>
            <w:shd w:fill="FFFFFF"/>
            <w:tcMar>
              <w:top w:w="100" w:type="dxa"/>
              <w:bottom w:w="100" w:type="dxa"/>
              <w:left w:w="150" w:type="dxa"/>
              <w:right w:w="150" w:type="dxa"/>
            </w:tcMar>
          </w:tcPr>
          <w:p>
            <w:pPr>
              <w:jc w:val="left"/>
            </w:pPr>
            <w:r>
              <w:rPr>
                <w:b/>
                <w:color w:val="282828"/>
                <w:sz w:val="19"/>
              </w:rPr>
              <w:t>base_sla_penalty_usd</w:t>
            </w:r>
          </w:p>
        </w:tc>
        <w:tc>
          <w:tcPr>
            <w:tcW w:type="dxa" w:w="2340"/>
            <w:shd w:fill="FFFFFF"/>
            <w:tcMar>
              <w:top w:w="100" w:type="dxa"/>
              <w:bottom w:w="100" w:type="dxa"/>
              <w:left w:w="150" w:type="dxa"/>
              <w:right w:w="150" w:type="dxa"/>
            </w:tcMar>
          </w:tcPr>
          <w:p>
            <w:pPr>
              <w:jc w:val="left"/>
            </w:pPr>
            <w:r>
              <w:rPr>
                <w:b w:val="0"/>
                <w:color w:val="282828"/>
                <w:sz w:val="19"/>
              </w:rPr>
              <w:t>Float (USD)</w:t>
            </w:r>
          </w:p>
        </w:tc>
        <w:tc>
          <w:tcPr>
            <w:tcW w:type="dxa" w:w="2340"/>
            <w:shd w:fill="FFFFFF"/>
            <w:tcMar>
              <w:top w:w="100" w:type="dxa"/>
              <w:bottom w:w="100" w:type="dxa"/>
              <w:left w:w="150" w:type="dxa"/>
              <w:right w:w="150" w:type="dxa"/>
            </w:tcMar>
          </w:tcPr>
          <w:p>
            <w:pPr>
              <w:jc w:val="left"/>
            </w:pPr>
            <w:r>
              <w:rPr>
                <w:b w:val="0"/>
                <w:color w:val="282828"/>
                <w:sz w:val="19"/>
              </w:rPr>
              <w:t>Contractual financial penalty ($1,000 to $9,929) incurred if cancelled</w:t>
            </w:r>
          </w:p>
        </w:tc>
        <w:tc>
          <w:tcPr>
            <w:tcW w:type="dxa" w:w="2340"/>
            <w:shd w:fill="FFFFFF"/>
            <w:tcMar>
              <w:top w:w="100" w:type="dxa"/>
              <w:bottom w:w="100" w:type="dxa"/>
              <w:left w:w="150" w:type="dxa"/>
              <w:right w:w="150" w:type="dxa"/>
            </w:tcMar>
          </w:tcPr>
          <w:p>
            <w:pPr>
              <w:jc w:val="left"/>
            </w:pPr>
            <w:r>
              <w:rPr>
                <w:b w:val="0"/>
                <w:color w:val="282828"/>
                <w:sz w:val="19"/>
              </w:rPr>
              <w:t>Direct loss metric used in LP objective (12.0%)</w:t>
            </w:r>
          </w:p>
        </w:tc>
      </w:tr>
      <w:tr>
        <w:tc>
          <w:tcPr>
            <w:tcW w:type="dxa" w:w="2340"/>
            <w:shd w:fill="F9FAFC"/>
            <w:tcMar>
              <w:top w:w="100" w:type="dxa"/>
              <w:bottom w:w="100" w:type="dxa"/>
              <w:left w:w="150" w:type="dxa"/>
              <w:right w:w="150" w:type="dxa"/>
            </w:tcMar>
          </w:tcPr>
          <w:p>
            <w:pPr>
              <w:jc w:val="left"/>
            </w:pPr>
            <w:r>
              <w:rPr>
                <w:b/>
                <w:color w:val="282828"/>
                <w:sz w:val="19"/>
              </w:rPr>
              <w:t>available_technicians_in_region</w:t>
            </w:r>
          </w:p>
        </w:tc>
        <w:tc>
          <w:tcPr>
            <w:tcW w:type="dxa" w:w="2340"/>
            <w:shd w:fill="F9FAFC"/>
            <w:tcMar>
              <w:top w:w="100" w:type="dxa"/>
              <w:bottom w:w="100" w:type="dxa"/>
              <w:left w:w="150" w:type="dxa"/>
              <w:right w:w="150" w:type="dxa"/>
            </w:tcMar>
          </w:tcPr>
          <w:p>
            <w:pPr>
              <w:jc w:val="left"/>
            </w:pPr>
            <w:r>
              <w:rPr>
                <w:b w:val="0"/>
                <w:color w:val="282828"/>
                <w:sz w:val="19"/>
              </w:rPr>
              <w:t>Integer (Count)</w:t>
            </w:r>
          </w:p>
        </w:tc>
        <w:tc>
          <w:tcPr>
            <w:tcW w:type="dxa" w:w="2340"/>
            <w:shd w:fill="F9FAFC"/>
            <w:tcMar>
              <w:top w:w="100" w:type="dxa"/>
              <w:bottom w:w="100" w:type="dxa"/>
              <w:left w:w="150" w:type="dxa"/>
              <w:right w:w="150" w:type="dxa"/>
            </w:tcMar>
          </w:tcPr>
          <w:p>
            <w:pPr>
              <w:jc w:val="left"/>
            </w:pPr>
            <w:r>
              <w:rPr>
                <w:b w:val="0"/>
                <w:color w:val="282828"/>
                <w:sz w:val="19"/>
              </w:rPr>
              <w:t>Number of active certified technicians in local franchise territory</w:t>
            </w:r>
          </w:p>
        </w:tc>
        <w:tc>
          <w:tcPr>
            <w:tcW w:type="dxa" w:w="2340"/>
            <w:shd w:fill="F9FAFC"/>
            <w:tcMar>
              <w:top w:w="100" w:type="dxa"/>
              <w:bottom w:w="100" w:type="dxa"/>
              <w:left w:w="150" w:type="dxa"/>
              <w:right w:w="150" w:type="dxa"/>
            </w:tcMar>
          </w:tcPr>
          <w:p>
            <w:pPr>
              <w:jc w:val="left"/>
            </w:pPr>
            <w:r>
              <w:rPr>
                <w:b w:val="0"/>
                <w:color w:val="282828"/>
                <w:sz w:val="19"/>
              </w:rPr>
              <w:t>Captures regional labor capacity constraints (8.0%)</w:t>
            </w:r>
          </w:p>
        </w:tc>
      </w:tr>
      <w:tr>
        <w:tc>
          <w:tcPr>
            <w:tcW w:type="dxa" w:w="2340"/>
            <w:shd w:fill="FFFFFF"/>
            <w:tcMar>
              <w:top w:w="100" w:type="dxa"/>
              <w:bottom w:w="100" w:type="dxa"/>
              <w:left w:w="150" w:type="dxa"/>
              <w:right w:w="150" w:type="dxa"/>
            </w:tcMar>
          </w:tcPr>
          <w:p>
            <w:pPr>
              <w:jc w:val="left"/>
            </w:pPr>
            <w:r>
              <w:rPr>
                <w:b/>
                <w:color w:val="282828"/>
                <w:sz w:val="19"/>
              </w:rPr>
              <w:t>skill_complexity_score</w:t>
            </w:r>
          </w:p>
        </w:tc>
        <w:tc>
          <w:tcPr>
            <w:tcW w:type="dxa" w:w="2340"/>
            <w:shd w:fill="FFFFFF"/>
            <w:tcMar>
              <w:top w:w="100" w:type="dxa"/>
              <w:bottom w:w="100" w:type="dxa"/>
              <w:left w:w="150" w:type="dxa"/>
              <w:right w:w="150" w:type="dxa"/>
            </w:tcMar>
          </w:tcPr>
          <w:p>
            <w:pPr>
              <w:jc w:val="left"/>
            </w:pPr>
            <w:r>
              <w:rPr>
                <w:b w:val="0"/>
                <w:color w:val="282828"/>
                <w:sz w:val="19"/>
              </w:rPr>
              <w:t>Float (1 - 10)</w:t>
            </w:r>
          </w:p>
        </w:tc>
        <w:tc>
          <w:tcPr>
            <w:tcW w:type="dxa" w:w="2340"/>
            <w:shd w:fill="FFFFFF"/>
            <w:tcMar>
              <w:top w:w="100" w:type="dxa"/>
              <w:bottom w:w="100" w:type="dxa"/>
              <w:left w:w="150" w:type="dxa"/>
              <w:right w:w="150" w:type="dxa"/>
            </w:tcMar>
          </w:tcPr>
          <w:p>
            <w:pPr>
              <w:jc w:val="left"/>
            </w:pPr>
            <w:r>
              <w:rPr>
                <w:b w:val="0"/>
                <w:color w:val="282828"/>
                <w:sz w:val="19"/>
              </w:rPr>
              <w:t>Composite index reflecting specialized tool &amp; expertise requirements</w:t>
            </w:r>
          </w:p>
        </w:tc>
        <w:tc>
          <w:tcPr>
            <w:tcW w:type="dxa" w:w="2340"/>
            <w:shd w:fill="FFFFFF"/>
            <w:tcMar>
              <w:top w:w="100" w:type="dxa"/>
              <w:bottom w:w="100" w:type="dxa"/>
              <w:left w:w="150" w:type="dxa"/>
              <w:right w:w="150" w:type="dxa"/>
            </w:tcMar>
          </w:tcPr>
          <w:p>
            <w:pPr>
              <w:jc w:val="left"/>
            </w:pPr>
            <w:r>
              <w:rPr>
                <w:b w:val="0"/>
                <w:color w:val="282828"/>
                <w:sz w:val="19"/>
              </w:rPr>
              <w:t>Quantifies technical execution difficulty (5.0%)</w:t>
            </w:r>
          </w:p>
        </w:tc>
      </w:tr>
      <w:tr>
        <w:tc>
          <w:tcPr>
            <w:tcW w:type="dxa" w:w="2340"/>
            <w:shd w:fill="F9FAFC"/>
            <w:tcMar>
              <w:top w:w="100" w:type="dxa"/>
              <w:bottom w:w="100" w:type="dxa"/>
              <w:left w:w="150" w:type="dxa"/>
              <w:right w:w="150" w:type="dxa"/>
            </w:tcMar>
          </w:tcPr>
          <w:p>
            <w:pPr>
              <w:jc w:val="left"/>
            </w:pPr>
            <w:r>
              <w:rPr>
                <w:b/>
                <w:color w:val="282828"/>
                <w:sz w:val="19"/>
              </w:rPr>
              <w:t>primary_skill_category</w:t>
            </w:r>
          </w:p>
        </w:tc>
        <w:tc>
          <w:tcPr>
            <w:tcW w:type="dxa" w:w="2340"/>
            <w:shd w:fill="F9FAFC"/>
            <w:tcMar>
              <w:top w:w="100" w:type="dxa"/>
              <w:bottom w:w="100" w:type="dxa"/>
              <w:left w:w="150" w:type="dxa"/>
              <w:right w:w="150" w:type="dxa"/>
            </w:tcMar>
          </w:tcPr>
          <w:p>
            <w:pPr>
              <w:jc w:val="left"/>
            </w:pPr>
            <w:r>
              <w:rPr>
                <w:b w:val="0"/>
                <w:color w:val="282828"/>
                <w:sz w:val="19"/>
              </w:rPr>
              <w:t>Categorical (String)</w:t>
            </w:r>
          </w:p>
        </w:tc>
        <w:tc>
          <w:tcPr>
            <w:tcW w:type="dxa" w:w="2340"/>
            <w:shd w:fill="F9FAFC"/>
            <w:tcMar>
              <w:top w:w="100" w:type="dxa"/>
              <w:bottom w:w="100" w:type="dxa"/>
              <w:left w:w="150" w:type="dxa"/>
              <w:right w:w="150" w:type="dxa"/>
            </w:tcMar>
          </w:tcPr>
          <w:p>
            <w:pPr>
              <w:jc w:val="left"/>
            </w:pPr>
            <w:r>
              <w:rPr>
                <w:b w:val="0"/>
                <w:color w:val="282828"/>
                <w:sz w:val="19"/>
              </w:rPr>
              <w:t>Primary plumbing skill needed (e.g., COAX.O Sewer, COAX.P Trenchless)</w:t>
            </w:r>
          </w:p>
        </w:tc>
        <w:tc>
          <w:tcPr>
            <w:tcW w:type="dxa" w:w="2340"/>
            <w:shd w:fill="F9FAFC"/>
            <w:tcMar>
              <w:top w:w="100" w:type="dxa"/>
              <w:bottom w:w="100" w:type="dxa"/>
              <w:left w:w="150" w:type="dxa"/>
              <w:right w:w="150" w:type="dxa"/>
            </w:tcMar>
          </w:tcPr>
          <w:p>
            <w:pPr>
              <w:jc w:val="left"/>
            </w:pPr>
            <w:r>
              <w:rPr>
                <w:b w:val="0"/>
                <w:color w:val="282828"/>
                <w:sz w:val="19"/>
              </w:rPr>
              <w:t>Determines targeted upskilling module (3.0%)</w:t>
            </w:r>
          </w:p>
        </w:tc>
      </w:tr>
    </w:tbl>
    <w:p>
      <w:pPr>
        <w:spacing w:after="160"/>
      </w:pPr>
    </w:p>
    <w:p>
      <w:pPr>
        <w:keepNext/>
        <w:spacing w:before="280" w:after="120"/>
      </w:pPr>
      <w:r>
        <w:rPr>
          <w:b/>
          <w:color w:val="323232"/>
          <w:sz w:val="26"/>
        </w:rPr>
        <w:t>2.2 Dataset Statistical Profile &amp; Summary Distributions</w:t>
      </w:r>
    </w:p>
    <w:p>
      <w:r>
        <w:t>Exploratory data analysis was conducted across all 2,677 backlog tasks to evaluate statistical properties and variance. The operational profile is summarized below:</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4B87"/>
            <w:tcMar>
              <w:top w:w="140" w:type="dxa"/>
              <w:bottom w:w="140" w:type="dxa"/>
              <w:left w:w="150" w:type="dxa"/>
              <w:right w:w="150" w:type="dxa"/>
            </w:tcMar>
          </w:tcPr>
          <w:p>
            <w:pPr>
              <w:jc w:val="center"/>
            </w:pPr>
            <w:r>
              <w:rPr>
                <w:b/>
                <w:color w:val="FFFFFF"/>
                <w:sz w:val="19"/>
              </w:rPr>
              <w:t>Metric / Variable</w:t>
            </w:r>
          </w:p>
        </w:tc>
        <w:tc>
          <w:tcPr>
            <w:tcW w:type="dxa" w:w="1170"/>
            <w:shd w:fill="004B87"/>
            <w:tcMar>
              <w:top w:w="140" w:type="dxa"/>
              <w:bottom w:w="140" w:type="dxa"/>
              <w:left w:w="150" w:type="dxa"/>
              <w:right w:w="150" w:type="dxa"/>
            </w:tcMar>
          </w:tcPr>
          <w:p>
            <w:pPr>
              <w:jc w:val="center"/>
            </w:pPr>
            <w:r>
              <w:rPr>
                <w:b/>
                <w:color w:val="FFFFFF"/>
                <w:sz w:val="19"/>
              </w:rPr>
              <w:t>Mean</w:t>
            </w:r>
          </w:p>
        </w:tc>
        <w:tc>
          <w:tcPr>
            <w:tcW w:type="dxa" w:w="1170"/>
            <w:shd w:fill="004B87"/>
            <w:tcMar>
              <w:top w:w="140" w:type="dxa"/>
              <w:bottom w:w="140" w:type="dxa"/>
              <w:left w:w="150" w:type="dxa"/>
              <w:right w:w="150" w:type="dxa"/>
            </w:tcMar>
          </w:tcPr>
          <w:p>
            <w:pPr>
              <w:jc w:val="center"/>
            </w:pPr>
            <w:r>
              <w:rPr>
                <w:b/>
                <w:color w:val="FFFFFF"/>
                <w:sz w:val="19"/>
              </w:rPr>
              <w:t>Std Dev</w:t>
            </w:r>
          </w:p>
        </w:tc>
        <w:tc>
          <w:tcPr>
            <w:tcW w:type="dxa" w:w="1170"/>
            <w:shd w:fill="004B87"/>
            <w:tcMar>
              <w:top w:w="140" w:type="dxa"/>
              <w:bottom w:w="140" w:type="dxa"/>
              <w:left w:w="150" w:type="dxa"/>
              <w:right w:w="150" w:type="dxa"/>
            </w:tcMar>
          </w:tcPr>
          <w:p>
            <w:pPr>
              <w:jc w:val="center"/>
            </w:pPr>
            <w:r>
              <w:rPr>
                <w:b/>
                <w:color w:val="FFFFFF"/>
                <w:sz w:val="19"/>
              </w:rPr>
              <w:t>Min</w:t>
            </w:r>
          </w:p>
        </w:tc>
        <w:tc>
          <w:tcPr>
            <w:tcW w:type="dxa" w:w="1170"/>
            <w:shd w:fill="004B87"/>
            <w:tcMar>
              <w:top w:w="140" w:type="dxa"/>
              <w:bottom w:w="140" w:type="dxa"/>
              <w:left w:w="150" w:type="dxa"/>
              <w:right w:w="150" w:type="dxa"/>
            </w:tcMar>
          </w:tcPr>
          <w:p>
            <w:pPr>
              <w:jc w:val="center"/>
            </w:pPr>
            <w:r>
              <w:rPr>
                <w:b/>
                <w:color w:val="FFFFFF"/>
                <w:sz w:val="19"/>
              </w:rPr>
              <w:t>25th Pct</w:t>
            </w:r>
          </w:p>
        </w:tc>
        <w:tc>
          <w:tcPr>
            <w:tcW w:type="dxa" w:w="1170"/>
            <w:shd w:fill="004B87"/>
            <w:tcMar>
              <w:top w:w="140" w:type="dxa"/>
              <w:bottom w:w="140" w:type="dxa"/>
              <w:left w:w="150" w:type="dxa"/>
              <w:right w:w="150" w:type="dxa"/>
            </w:tcMar>
          </w:tcPr>
          <w:p>
            <w:pPr>
              <w:jc w:val="center"/>
            </w:pPr>
            <w:r>
              <w:rPr>
                <w:b/>
                <w:color w:val="FFFFFF"/>
                <w:sz w:val="19"/>
              </w:rPr>
              <w:t>Median</w:t>
            </w:r>
          </w:p>
        </w:tc>
        <w:tc>
          <w:tcPr>
            <w:tcW w:type="dxa" w:w="1170"/>
            <w:shd w:fill="004B87"/>
            <w:tcMar>
              <w:top w:w="140" w:type="dxa"/>
              <w:bottom w:w="140" w:type="dxa"/>
              <w:left w:w="150" w:type="dxa"/>
              <w:right w:w="150" w:type="dxa"/>
            </w:tcMar>
          </w:tcPr>
          <w:p>
            <w:pPr>
              <w:jc w:val="center"/>
            </w:pPr>
            <w:r>
              <w:rPr>
                <w:b/>
                <w:color w:val="FFFFFF"/>
                <w:sz w:val="19"/>
              </w:rPr>
              <w:t>75th Pct</w:t>
            </w:r>
          </w:p>
        </w:tc>
        <w:tc>
          <w:tcPr>
            <w:tcW w:type="dxa" w:w="1170"/>
            <w:shd w:fill="004B87"/>
            <w:tcMar>
              <w:top w:w="140" w:type="dxa"/>
              <w:bottom w:w="140" w:type="dxa"/>
              <w:left w:w="150" w:type="dxa"/>
              <w:right w:w="150" w:type="dxa"/>
            </w:tcMar>
          </w:tcPr>
          <w:p>
            <w:pPr>
              <w:jc w:val="center"/>
            </w:pPr>
            <w:r>
              <w:rPr>
                <w:b/>
                <w:color w:val="FFFFFF"/>
                <w:sz w:val="19"/>
              </w:rPr>
              <w:t>Max</w:t>
            </w:r>
          </w:p>
        </w:tc>
      </w:tr>
      <w:tr>
        <w:tc>
          <w:tcPr>
            <w:tcW w:type="dxa" w:w="1170"/>
            <w:shd w:fill="F9FAFC"/>
            <w:tcMar>
              <w:top w:w="100" w:type="dxa"/>
              <w:bottom w:w="100" w:type="dxa"/>
              <w:left w:w="150" w:type="dxa"/>
              <w:right w:w="150" w:type="dxa"/>
            </w:tcMar>
          </w:tcPr>
          <w:p>
            <w:pPr>
              <w:jc w:val="left"/>
            </w:pPr>
            <w:r>
              <w:rPr>
                <w:b/>
                <w:color w:val="282828"/>
                <w:sz w:val="19"/>
              </w:rPr>
              <w:t>Booking Lead Time (hrs)</w:t>
            </w:r>
          </w:p>
        </w:tc>
        <w:tc>
          <w:tcPr>
            <w:tcW w:type="dxa" w:w="1170"/>
            <w:shd w:fill="F9FAFC"/>
            <w:tcMar>
              <w:top w:w="100" w:type="dxa"/>
              <w:bottom w:w="100" w:type="dxa"/>
              <w:left w:w="150" w:type="dxa"/>
              <w:right w:w="150" w:type="dxa"/>
            </w:tcMar>
          </w:tcPr>
          <w:p>
            <w:pPr>
              <w:jc w:val="right"/>
            </w:pPr>
            <w:r>
              <w:rPr>
                <w:b w:val="0"/>
                <w:color w:val="282828"/>
                <w:sz w:val="19"/>
              </w:rPr>
              <w:t>48.35</w:t>
            </w:r>
          </w:p>
        </w:tc>
        <w:tc>
          <w:tcPr>
            <w:tcW w:type="dxa" w:w="1170"/>
            <w:shd w:fill="F9FAFC"/>
            <w:tcMar>
              <w:top w:w="100" w:type="dxa"/>
              <w:bottom w:w="100" w:type="dxa"/>
              <w:left w:w="150" w:type="dxa"/>
              <w:right w:w="150" w:type="dxa"/>
            </w:tcMar>
          </w:tcPr>
          <w:p>
            <w:pPr>
              <w:jc w:val="right"/>
            </w:pPr>
            <w:r>
              <w:rPr>
                <w:b w:val="0"/>
                <w:color w:val="282828"/>
                <w:sz w:val="19"/>
              </w:rPr>
              <w:t>24.12</w:t>
            </w:r>
          </w:p>
        </w:tc>
        <w:tc>
          <w:tcPr>
            <w:tcW w:type="dxa" w:w="1170"/>
            <w:shd w:fill="F9FAFC"/>
            <w:tcMar>
              <w:top w:w="100" w:type="dxa"/>
              <w:bottom w:w="100" w:type="dxa"/>
              <w:left w:w="150" w:type="dxa"/>
              <w:right w:w="150" w:type="dxa"/>
            </w:tcMar>
          </w:tcPr>
          <w:p>
            <w:pPr>
              <w:jc w:val="right"/>
            </w:pPr>
            <w:r>
              <w:rPr>
                <w:b w:val="0"/>
                <w:color w:val="282828"/>
                <w:sz w:val="19"/>
              </w:rPr>
              <w:t>2.00</w:t>
            </w:r>
          </w:p>
        </w:tc>
        <w:tc>
          <w:tcPr>
            <w:tcW w:type="dxa" w:w="1170"/>
            <w:shd w:fill="F9FAFC"/>
            <w:tcMar>
              <w:top w:w="100" w:type="dxa"/>
              <w:bottom w:w="100" w:type="dxa"/>
              <w:left w:w="150" w:type="dxa"/>
              <w:right w:w="150" w:type="dxa"/>
            </w:tcMar>
          </w:tcPr>
          <w:p>
            <w:pPr>
              <w:jc w:val="right"/>
            </w:pPr>
            <w:r>
              <w:rPr>
                <w:b w:val="0"/>
                <w:color w:val="282828"/>
                <w:sz w:val="19"/>
              </w:rPr>
              <w:t>26.50</w:t>
            </w:r>
          </w:p>
        </w:tc>
        <w:tc>
          <w:tcPr>
            <w:tcW w:type="dxa" w:w="1170"/>
            <w:shd w:fill="F9FAFC"/>
            <w:tcMar>
              <w:top w:w="100" w:type="dxa"/>
              <w:bottom w:w="100" w:type="dxa"/>
              <w:left w:w="150" w:type="dxa"/>
              <w:right w:w="150" w:type="dxa"/>
            </w:tcMar>
          </w:tcPr>
          <w:p>
            <w:pPr>
              <w:jc w:val="right"/>
            </w:pPr>
            <w:r>
              <w:rPr>
                <w:b w:val="0"/>
                <w:color w:val="282828"/>
                <w:sz w:val="19"/>
              </w:rPr>
              <w:t>46.10</w:t>
            </w:r>
          </w:p>
        </w:tc>
        <w:tc>
          <w:tcPr>
            <w:tcW w:type="dxa" w:w="1170"/>
            <w:shd w:fill="F9FAFC"/>
            <w:tcMar>
              <w:top w:w="100" w:type="dxa"/>
              <w:bottom w:w="100" w:type="dxa"/>
              <w:left w:w="150" w:type="dxa"/>
              <w:right w:w="150" w:type="dxa"/>
            </w:tcMar>
          </w:tcPr>
          <w:p>
            <w:pPr>
              <w:jc w:val="right"/>
            </w:pPr>
            <w:r>
              <w:rPr>
                <w:b w:val="0"/>
                <w:color w:val="282828"/>
                <w:sz w:val="19"/>
              </w:rPr>
              <w:t>68.40</w:t>
            </w:r>
          </w:p>
        </w:tc>
        <w:tc>
          <w:tcPr>
            <w:tcW w:type="dxa" w:w="1170"/>
            <w:shd w:fill="F9FAFC"/>
            <w:tcMar>
              <w:top w:w="100" w:type="dxa"/>
              <w:bottom w:w="100" w:type="dxa"/>
              <w:left w:w="150" w:type="dxa"/>
              <w:right w:w="150" w:type="dxa"/>
            </w:tcMar>
          </w:tcPr>
          <w:p>
            <w:pPr>
              <w:jc w:val="right"/>
            </w:pPr>
            <w:r>
              <w:rPr>
                <w:b w:val="0"/>
                <w:color w:val="282828"/>
                <w:sz w:val="19"/>
              </w:rPr>
              <w:t>120.00</w:t>
            </w:r>
          </w:p>
        </w:tc>
      </w:tr>
      <w:tr>
        <w:tc>
          <w:tcPr>
            <w:tcW w:type="dxa" w:w="1170"/>
            <w:shd w:fill="FFFFFF"/>
            <w:tcMar>
              <w:top w:w="100" w:type="dxa"/>
              <w:bottom w:w="100" w:type="dxa"/>
              <w:left w:w="150" w:type="dxa"/>
              <w:right w:w="150" w:type="dxa"/>
            </w:tcMar>
          </w:tcPr>
          <w:p>
            <w:pPr>
              <w:jc w:val="left"/>
            </w:pPr>
            <w:r>
              <w:rPr>
                <w:b/>
                <w:color w:val="282828"/>
                <w:sz w:val="19"/>
              </w:rPr>
              <w:t>Time Window Duration (hrs)</w:t>
            </w:r>
          </w:p>
        </w:tc>
        <w:tc>
          <w:tcPr>
            <w:tcW w:type="dxa" w:w="1170"/>
            <w:shd w:fill="FFFFFF"/>
            <w:tcMar>
              <w:top w:w="100" w:type="dxa"/>
              <w:bottom w:w="100" w:type="dxa"/>
              <w:left w:w="150" w:type="dxa"/>
              <w:right w:w="150" w:type="dxa"/>
            </w:tcMar>
          </w:tcPr>
          <w:p>
            <w:pPr>
              <w:jc w:val="right"/>
            </w:pPr>
            <w:r>
              <w:rPr>
                <w:b w:val="0"/>
                <w:color w:val="282828"/>
                <w:sz w:val="19"/>
              </w:rPr>
              <w:t>3.15</w:t>
            </w:r>
          </w:p>
        </w:tc>
        <w:tc>
          <w:tcPr>
            <w:tcW w:type="dxa" w:w="1170"/>
            <w:shd w:fill="FFFFFF"/>
            <w:tcMar>
              <w:top w:w="100" w:type="dxa"/>
              <w:bottom w:w="100" w:type="dxa"/>
              <w:left w:w="150" w:type="dxa"/>
              <w:right w:w="150" w:type="dxa"/>
            </w:tcMar>
          </w:tcPr>
          <w:p>
            <w:pPr>
              <w:jc w:val="right"/>
            </w:pPr>
            <w:r>
              <w:rPr>
                <w:b w:val="0"/>
                <w:color w:val="282828"/>
                <w:sz w:val="19"/>
              </w:rPr>
              <w:t>1.05</w:t>
            </w:r>
          </w:p>
        </w:tc>
        <w:tc>
          <w:tcPr>
            <w:tcW w:type="dxa" w:w="1170"/>
            <w:shd w:fill="FFFFFF"/>
            <w:tcMar>
              <w:top w:w="100" w:type="dxa"/>
              <w:bottom w:w="100" w:type="dxa"/>
              <w:left w:w="150" w:type="dxa"/>
              <w:right w:w="150" w:type="dxa"/>
            </w:tcMar>
          </w:tcPr>
          <w:p>
            <w:pPr>
              <w:jc w:val="right"/>
            </w:pPr>
            <w:r>
              <w:rPr>
                <w:b w:val="0"/>
                <w:color w:val="282828"/>
                <w:sz w:val="19"/>
              </w:rPr>
              <w:t>1.00</w:t>
            </w:r>
          </w:p>
        </w:tc>
        <w:tc>
          <w:tcPr>
            <w:tcW w:type="dxa" w:w="1170"/>
            <w:shd w:fill="FFFFFF"/>
            <w:tcMar>
              <w:top w:w="100" w:type="dxa"/>
              <w:bottom w:w="100" w:type="dxa"/>
              <w:left w:w="150" w:type="dxa"/>
              <w:right w:w="150" w:type="dxa"/>
            </w:tcMar>
          </w:tcPr>
          <w:p>
            <w:pPr>
              <w:jc w:val="right"/>
            </w:pPr>
            <w:r>
              <w:rPr>
                <w:b w:val="0"/>
                <w:color w:val="282828"/>
                <w:sz w:val="19"/>
              </w:rPr>
              <w:t>2.00</w:t>
            </w:r>
          </w:p>
        </w:tc>
        <w:tc>
          <w:tcPr>
            <w:tcW w:type="dxa" w:w="1170"/>
            <w:shd w:fill="FFFFFF"/>
            <w:tcMar>
              <w:top w:w="100" w:type="dxa"/>
              <w:bottom w:w="100" w:type="dxa"/>
              <w:left w:w="150" w:type="dxa"/>
              <w:right w:w="150" w:type="dxa"/>
            </w:tcMar>
          </w:tcPr>
          <w:p>
            <w:pPr>
              <w:jc w:val="right"/>
            </w:pPr>
            <w:r>
              <w:rPr>
                <w:b w:val="0"/>
                <w:color w:val="282828"/>
                <w:sz w:val="19"/>
              </w:rPr>
              <w:t>3.00</w:t>
            </w:r>
          </w:p>
        </w:tc>
        <w:tc>
          <w:tcPr>
            <w:tcW w:type="dxa" w:w="1170"/>
            <w:shd w:fill="FFFFFF"/>
            <w:tcMar>
              <w:top w:w="100" w:type="dxa"/>
              <w:bottom w:w="100" w:type="dxa"/>
              <w:left w:w="150" w:type="dxa"/>
              <w:right w:w="150" w:type="dxa"/>
            </w:tcMar>
          </w:tcPr>
          <w:p>
            <w:pPr>
              <w:jc w:val="right"/>
            </w:pPr>
            <w:r>
              <w:rPr>
                <w:b w:val="0"/>
                <w:color w:val="282828"/>
                <w:sz w:val="19"/>
              </w:rPr>
              <w:t>4.00</w:t>
            </w:r>
          </w:p>
        </w:tc>
        <w:tc>
          <w:tcPr>
            <w:tcW w:type="dxa" w:w="1170"/>
            <w:shd w:fill="FFFFFF"/>
            <w:tcMar>
              <w:top w:w="100" w:type="dxa"/>
              <w:bottom w:w="100" w:type="dxa"/>
              <w:left w:w="150" w:type="dxa"/>
              <w:right w:w="150" w:type="dxa"/>
            </w:tcMar>
          </w:tcPr>
          <w:p>
            <w:pPr>
              <w:jc w:val="right"/>
            </w:pPr>
            <w:r>
              <w:rPr>
                <w:b w:val="0"/>
                <w:color w:val="282828"/>
                <w:sz w:val="19"/>
              </w:rPr>
              <w:t>6.00</w:t>
            </w:r>
          </w:p>
        </w:tc>
      </w:tr>
      <w:tr>
        <w:tc>
          <w:tcPr>
            <w:tcW w:type="dxa" w:w="1170"/>
            <w:shd w:fill="F9FAFC"/>
            <w:tcMar>
              <w:top w:w="100" w:type="dxa"/>
              <w:bottom w:w="100" w:type="dxa"/>
              <w:left w:w="150" w:type="dxa"/>
              <w:right w:w="150" w:type="dxa"/>
            </w:tcMar>
          </w:tcPr>
          <w:p>
            <w:pPr>
              <w:jc w:val="left"/>
            </w:pPr>
            <w:r>
              <w:rPr>
                <w:b/>
                <w:color w:val="282828"/>
                <w:sz w:val="19"/>
              </w:rPr>
              <w:t>Job Duration (hrs)</w:t>
            </w:r>
          </w:p>
        </w:tc>
        <w:tc>
          <w:tcPr>
            <w:tcW w:type="dxa" w:w="1170"/>
            <w:shd w:fill="F9FAFC"/>
            <w:tcMar>
              <w:top w:w="100" w:type="dxa"/>
              <w:bottom w:w="100" w:type="dxa"/>
              <w:left w:w="150" w:type="dxa"/>
              <w:right w:w="150" w:type="dxa"/>
            </w:tcMar>
          </w:tcPr>
          <w:p>
            <w:pPr>
              <w:jc w:val="right"/>
            </w:pPr>
            <w:r>
              <w:rPr>
                <w:b w:val="0"/>
                <w:color w:val="282828"/>
                <w:sz w:val="19"/>
              </w:rPr>
              <w:t>3.42</w:t>
            </w:r>
          </w:p>
        </w:tc>
        <w:tc>
          <w:tcPr>
            <w:tcW w:type="dxa" w:w="1170"/>
            <w:shd w:fill="F9FAFC"/>
            <w:tcMar>
              <w:top w:w="100" w:type="dxa"/>
              <w:bottom w:w="100" w:type="dxa"/>
              <w:left w:w="150" w:type="dxa"/>
              <w:right w:w="150" w:type="dxa"/>
            </w:tcMar>
          </w:tcPr>
          <w:p>
            <w:pPr>
              <w:jc w:val="right"/>
            </w:pPr>
            <w:r>
              <w:rPr>
                <w:b w:val="0"/>
                <w:color w:val="282828"/>
                <w:sz w:val="19"/>
              </w:rPr>
              <w:t>1.85</w:t>
            </w:r>
          </w:p>
        </w:tc>
        <w:tc>
          <w:tcPr>
            <w:tcW w:type="dxa" w:w="1170"/>
            <w:shd w:fill="F9FAFC"/>
            <w:tcMar>
              <w:top w:w="100" w:type="dxa"/>
              <w:bottom w:w="100" w:type="dxa"/>
              <w:left w:w="150" w:type="dxa"/>
              <w:right w:w="150" w:type="dxa"/>
            </w:tcMar>
          </w:tcPr>
          <w:p>
            <w:pPr>
              <w:jc w:val="right"/>
            </w:pPr>
            <w:r>
              <w:rPr>
                <w:b w:val="0"/>
                <w:color w:val="282828"/>
                <w:sz w:val="19"/>
              </w:rPr>
              <w:t>0.50</w:t>
            </w:r>
          </w:p>
        </w:tc>
        <w:tc>
          <w:tcPr>
            <w:tcW w:type="dxa" w:w="1170"/>
            <w:shd w:fill="F9FAFC"/>
            <w:tcMar>
              <w:top w:w="100" w:type="dxa"/>
              <w:bottom w:w="100" w:type="dxa"/>
              <w:left w:w="150" w:type="dxa"/>
              <w:right w:w="150" w:type="dxa"/>
            </w:tcMar>
          </w:tcPr>
          <w:p>
            <w:pPr>
              <w:jc w:val="right"/>
            </w:pPr>
            <w:r>
              <w:rPr>
                <w:b w:val="0"/>
                <w:color w:val="282828"/>
                <w:sz w:val="19"/>
              </w:rPr>
              <w:t>1.80</w:t>
            </w:r>
          </w:p>
        </w:tc>
        <w:tc>
          <w:tcPr>
            <w:tcW w:type="dxa" w:w="1170"/>
            <w:shd w:fill="F9FAFC"/>
            <w:tcMar>
              <w:top w:w="100" w:type="dxa"/>
              <w:bottom w:w="100" w:type="dxa"/>
              <w:left w:w="150" w:type="dxa"/>
              <w:right w:w="150" w:type="dxa"/>
            </w:tcMar>
          </w:tcPr>
          <w:p>
            <w:pPr>
              <w:jc w:val="right"/>
            </w:pPr>
            <w:r>
              <w:rPr>
                <w:b w:val="0"/>
                <w:color w:val="282828"/>
                <w:sz w:val="19"/>
              </w:rPr>
              <w:t>3.10</w:t>
            </w:r>
          </w:p>
        </w:tc>
        <w:tc>
          <w:tcPr>
            <w:tcW w:type="dxa" w:w="1170"/>
            <w:shd w:fill="F9FAFC"/>
            <w:tcMar>
              <w:top w:w="100" w:type="dxa"/>
              <w:bottom w:w="100" w:type="dxa"/>
              <w:left w:w="150" w:type="dxa"/>
              <w:right w:w="150" w:type="dxa"/>
            </w:tcMar>
          </w:tcPr>
          <w:p>
            <w:pPr>
              <w:jc w:val="right"/>
            </w:pPr>
            <w:r>
              <w:rPr>
                <w:b w:val="0"/>
                <w:color w:val="282828"/>
                <w:sz w:val="19"/>
              </w:rPr>
              <w:t>4.80</w:t>
            </w:r>
          </w:p>
        </w:tc>
        <w:tc>
          <w:tcPr>
            <w:tcW w:type="dxa" w:w="1170"/>
            <w:shd w:fill="F9FAFC"/>
            <w:tcMar>
              <w:top w:w="100" w:type="dxa"/>
              <w:bottom w:w="100" w:type="dxa"/>
              <w:left w:w="150" w:type="dxa"/>
              <w:right w:w="150" w:type="dxa"/>
            </w:tcMar>
          </w:tcPr>
          <w:p>
            <w:pPr>
              <w:jc w:val="right"/>
            </w:pPr>
            <w:r>
              <w:rPr>
                <w:b w:val="0"/>
                <w:color w:val="282828"/>
                <w:sz w:val="19"/>
              </w:rPr>
              <w:t>8.00</w:t>
            </w:r>
          </w:p>
        </w:tc>
      </w:tr>
      <w:tr>
        <w:tc>
          <w:tcPr>
            <w:tcW w:type="dxa" w:w="1170"/>
            <w:shd w:fill="FFFFFF"/>
            <w:tcMar>
              <w:top w:w="100" w:type="dxa"/>
              <w:bottom w:w="100" w:type="dxa"/>
              <w:left w:w="150" w:type="dxa"/>
              <w:right w:w="150" w:type="dxa"/>
            </w:tcMar>
          </w:tcPr>
          <w:p>
            <w:pPr>
              <w:jc w:val="left"/>
            </w:pPr>
            <w:r>
              <w:rPr>
                <w:b/>
                <w:color w:val="282828"/>
                <w:sz w:val="19"/>
              </w:rPr>
              <w:t>Base SLA Penalty ($)</w:t>
            </w:r>
          </w:p>
        </w:tc>
        <w:tc>
          <w:tcPr>
            <w:tcW w:type="dxa" w:w="1170"/>
            <w:shd w:fill="FFFFFF"/>
            <w:tcMar>
              <w:top w:w="100" w:type="dxa"/>
              <w:bottom w:w="100" w:type="dxa"/>
              <w:left w:w="150" w:type="dxa"/>
              <w:right w:w="150" w:type="dxa"/>
            </w:tcMar>
          </w:tcPr>
          <w:p>
            <w:pPr>
              <w:jc w:val="right"/>
            </w:pPr>
            <w:r>
              <w:rPr>
                <w:b w:val="0"/>
                <w:color w:val="282828"/>
                <w:sz w:val="19"/>
              </w:rPr>
              <w:t>$9,400.74</w:t>
            </w:r>
          </w:p>
        </w:tc>
        <w:tc>
          <w:tcPr>
            <w:tcW w:type="dxa" w:w="1170"/>
            <w:shd w:fill="FFFFFF"/>
            <w:tcMar>
              <w:top w:w="100" w:type="dxa"/>
              <w:bottom w:w="100" w:type="dxa"/>
              <w:left w:w="150" w:type="dxa"/>
              <w:right w:w="150" w:type="dxa"/>
            </w:tcMar>
          </w:tcPr>
          <w:p>
            <w:pPr>
              <w:jc w:val="right"/>
            </w:pPr>
            <w:r>
              <w:rPr>
                <w:b w:val="0"/>
                <w:color w:val="282828"/>
                <w:sz w:val="19"/>
              </w:rPr>
              <w:t>$1,452.18</w:t>
            </w:r>
          </w:p>
        </w:tc>
        <w:tc>
          <w:tcPr>
            <w:tcW w:type="dxa" w:w="1170"/>
            <w:shd w:fill="FFFFFF"/>
            <w:tcMar>
              <w:top w:w="100" w:type="dxa"/>
              <w:bottom w:w="100" w:type="dxa"/>
              <w:left w:w="150" w:type="dxa"/>
              <w:right w:w="150" w:type="dxa"/>
            </w:tcMar>
          </w:tcPr>
          <w:p>
            <w:pPr>
              <w:jc w:val="right"/>
            </w:pPr>
            <w:r>
              <w:rPr>
                <w:b w:val="0"/>
                <w:color w:val="282828"/>
                <w:sz w:val="19"/>
              </w:rPr>
              <w:t>$1,000.00</w:t>
            </w:r>
          </w:p>
        </w:tc>
        <w:tc>
          <w:tcPr>
            <w:tcW w:type="dxa" w:w="1170"/>
            <w:shd w:fill="FFFFFF"/>
            <w:tcMar>
              <w:top w:w="100" w:type="dxa"/>
              <w:bottom w:w="100" w:type="dxa"/>
              <w:left w:w="150" w:type="dxa"/>
              <w:right w:w="150" w:type="dxa"/>
            </w:tcMar>
          </w:tcPr>
          <w:p>
            <w:pPr>
              <w:jc w:val="right"/>
            </w:pPr>
            <w:r>
              <w:rPr>
                <w:b w:val="0"/>
                <w:color w:val="282828"/>
                <w:sz w:val="19"/>
              </w:rPr>
              <w:t>$9,250.00</w:t>
            </w:r>
          </w:p>
        </w:tc>
        <w:tc>
          <w:tcPr>
            <w:tcW w:type="dxa" w:w="1170"/>
            <w:shd w:fill="FFFFFF"/>
            <w:tcMar>
              <w:top w:w="100" w:type="dxa"/>
              <w:bottom w:w="100" w:type="dxa"/>
              <w:left w:w="150" w:type="dxa"/>
              <w:right w:w="150" w:type="dxa"/>
            </w:tcMar>
          </w:tcPr>
          <w:p>
            <w:pPr>
              <w:jc w:val="right"/>
            </w:pPr>
            <w:r>
              <w:rPr>
                <w:b w:val="0"/>
                <w:color w:val="282828"/>
                <w:sz w:val="19"/>
              </w:rPr>
              <w:t>$9,929.00</w:t>
            </w:r>
          </w:p>
        </w:tc>
        <w:tc>
          <w:tcPr>
            <w:tcW w:type="dxa" w:w="1170"/>
            <w:shd w:fill="FFFFFF"/>
            <w:tcMar>
              <w:top w:w="100" w:type="dxa"/>
              <w:bottom w:w="100" w:type="dxa"/>
              <w:left w:w="150" w:type="dxa"/>
              <w:right w:w="150" w:type="dxa"/>
            </w:tcMar>
          </w:tcPr>
          <w:p>
            <w:pPr>
              <w:jc w:val="right"/>
            </w:pPr>
            <w:r>
              <w:rPr>
                <w:b w:val="0"/>
                <w:color w:val="282828"/>
                <w:sz w:val="19"/>
              </w:rPr>
              <w:t>$9,929.00</w:t>
            </w:r>
          </w:p>
        </w:tc>
        <w:tc>
          <w:tcPr>
            <w:tcW w:type="dxa" w:w="1170"/>
            <w:shd w:fill="FFFFFF"/>
            <w:tcMar>
              <w:top w:w="100" w:type="dxa"/>
              <w:bottom w:w="100" w:type="dxa"/>
              <w:left w:w="150" w:type="dxa"/>
              <w:right w:w="150" w:type="dxa"/>
            </w:tcMar>
          </w:tcPr>
          <w:p>
            <w:pPr>
              <w:jc w:val="right"/>
            </w:pPr>
            <w:r>
              <w:rPr>
                <w:b w:val="0"/>
                <w:color w:val="282828"/>
                <w:sz w:val="19"/>
              </w:rPr>
              <w:t>$9,929.00</w:t>
            </w:r>
          </w:p>
        </w:tc>
      </w:tr>
      <w:tr>
        <w:tc>
          <w:tcPr>
            <w:tcW w:type="dxa" w:w="1170"/>
            <w:shd w:fill="F9FAFC"/>
            <w:tcMar>
              <w:top w:w="100" w:type="dxa"/>
              <w:bottom w:w="100" w:type="dxa"/>
              <w:left w:w="150" w:type="dxa"/>
              <w:right w:w="150" w:type="dxa"/>
            </w:tcMar>
          </w:tcPr>
          <w:p>
            <w:pPr>
              <w:jc w:val="left"/>
            </w:pPr>
            <w:r>
              <w:rPr>
                <w:b/>
                <w:color w:val="282828"/>
                <w:sz w:val="19"/>
              </w:rPr>
              <w:t>Available Technicians</w:t>
            </w:r>
          </w:p>
        </w:tc>
        <w:tc>
          <w:tcPr>
            <w:tcW w:type="dxa" w:w="1170"/>
            <w:shd w:fill="F9FAFC"/>
            <w:tcMar>
              <w:top w:w="100" w:type="dxa"/>
              <w:bottom w:w="100" w:type="dxa"/>
              <w:left w:w="150" w:type="dxa"/>
              <w:right w:w="150" w:type="dxa"/>
            </w:tcMar>
          </w:tcPr>
          <w:p>
            <w:pPr>
              <w:jc w:val="right"/>
            </w:pPr>
            <w:r>
              <w:rPr>
                <w:b w:val="0"/>
                <w:color w:val="282828"/>
                <w:sz w:val="19"/>
              </w:rPr>
              <w:t>4.82</w:t>
            </w:r>
          </w:p>
        </w:tc>
        <w:tc>
          <w:tcPr>
            <w:tcW w:type="dxa" w:w="1170"/>
            <w:shd w:fill="F9FAFC"/>
            <w:tcMar>
              <w:top w:w="100" w:type="dxa"/>
              <w:bottom w:w="100" w:type="dxa"/>
              <w:left w:w="150" w:type="dxa"/>
              <w:right w:w="150" w:type="dxa"/>
            </w:tcMar>
          </w:tcPr>
          <w:p>
            <w:pPr>
              <w:jc w:val="right"/>
            </w:pPr>
            <w:r>
              <w:rPr>
                <w:b w:val="0"/>
                <w:color w:val="282828"/>
                <w:sz w:val="19"/>
              </w:rPr>
              <w:t>2.14</w:t>
            </w:r>
          </w:p>
        </w:tc>
        <w:tc>
          <w:tcPr>
            <w:tcW w:type="dxa" w:w="1170"/>
            <w:shd w:fill="F9FAFC"/>
            <w:tcMar>
              <w:top w:w="100" w:type="dxa"/>
              <w:bottom w:w="100" w:type="dxa"/>
              <w:left w:w="150" w:type="dxa"/>
              <w:right w:w="150" w:type="dxa"/>
            </w:tcMar>
          </w:tcPr>
          <w:p>
            <w:pPr>
              <w:jc w:val="right"/>
            </w:pPr>
            <w:r>
              <w:rPr>
                <w:b w:val="0"/>
                <w:color w:val="282828"/>
                <w:sz w:val="19"/>
              </w:rPr>
              <w:t>1.00</w:t>
            </w:r>
          </w:p>
        </w:tc>
        <w:tc>
          <w:tcPr>
            <w:tcW w:type="dxa" w:w="1170"/>
            <w:shd w:fill="F9FAFC"/>
            <w:tcMar>
              <w:top w:w="100" w:type="dxa"/>
              <w:bottom w:w="100" w:type="dxa"/>
              <w:left w:w="150" w:type="dxa"/>
              <w:right w:w="150" w:type="dxa"/>
            </w:tcMar>
          </w:tcPr>
          <w:p>
            <w:pPr>
              <w:jc w:val="right"/>
            </w:pPr>
            <w:r>
              <w:rPr>
                <w:b w:val="0"/>
                <w:color w:val="282828"/>
                <w:sz w:val="19"/>
              </w:rPr>
              <w:t>3.00</w:t>
            </w:r>
          </w:p>
        </w:tc>
        <w:tc>
          <w:tcPr>
            <w:tcW w:type="dxa" w:w="1170"/>
            <w:shd w:fill="F9FAFC"/>
            <w:tcMar>
              <w:top w:w="100" w:type="dxa"/>
              <w:bottom w:w="100" w:type="dxa"/>
              <w:left w:w="150" w:type="dxa"/>
              <w:right w:w="150" w:type="dxa"/>
            </w:tcMar>
          </w:tcPr>
          <w:p>
            <w:pPr>
              <w:jc w:val="right"/>
            </w:pPr>
            <w:r>
              <w:rPr>
                <w:b w:val="0"/>
                <w:color w:val="282828"/>
                <w:sz w:val="19"/>
              </w:rPr>
              <w:t>5.00</w:t>
            </w:r>
          </w:p>
        </w:tc>
        <w:tc>
          <w:tcPr>
            <w:tcW w:type="dxa" w:w="1170"/>
            <w:shd w:fill="F9FAFC"/>
            <w:tcMar>
              <w:top w:w="100" w:type="dxa"/>
              <w:bottom w:w="100" w:type="dxa"/>
              <w:left w:w="150" w:type="dxa"/>
              <w:right w:w="150" w:type="dxa"/>
            </w:tcMar>
          </w:tcPr>
          <w:p>
            <w:pPr>
              <w:jc w:val="right"/>
            </w:pPr>
            <w:r>
              <w:rPr>
                <w:b w:val="0"/>
                <w:color w:val="282828"/>
                <w:sz w:val="19"/>
              </w:rPr>
              <w:t>6.00</w:t>
            </w:r>
          </w:p>
        </w:tc>
        <w:tc>
          <w:tcPr>
            <w:tcW w:type="dxa" w:w="1170"/>
            <w:shd w:fill="F9FAFC"/>
            <w:tcMar>
              <w:top w:w="100" w:type="dxa"/>
              <w:bottom w:w="100" w:type="dxa"/>
              <w:left w:w="150" w:type="dxa"/>
              <w:right w:w="150" w:type="dxa"/>
            </w:tcMar>
          </w:tcPr>
          <w:p>
            <w:pPr>
              <w:jc w:val="right"/>
            </w:pPr>
            <w:r>
              <w:rPr>
                <w:b w:val="0"/>
                <w:color w:val="282828"/>
                <w:sz w:val="19"/>
              </w:rPr>
              <w:t>12.00</w:t>
            </w:r>
          </w:p>
        </w:tc>
      </w:tr>
      <w:tr>
        <w:tc>
          <w:tcPr>
            <w:tcW w:type="dxa" w:w="1170"/>
            <w:shd w:fill="FFFFFF"/>
            <w:tcMar>
              <w:top w:w="100" w:type="dxa"/>
              <w:bottom w:w="100" w:type="dxa"/>
              <w:left w:w="150" w:type="dxa"/>
              <w:right w:w="150" w:type="dxa"/>
            </w:tcMar>
          </w:tcPr>
          <w:p>
            <w:pPr>
              <w:jc w:val="left"/>
            </w:pPr>
            <w:r>
              <w:rPr>
                <w:b/>
                <w:color w:val="282828"/>
                <w:sz w:val="19"/>
              </w:rPr>
              <w:t>Skill Complexity (1-10)</w:t>
            </w:r>
          </w:p>
        </w:tc>
        <w:tc>
          <w:tcPr>
            <w:tcW w:type="dxa" w:w="1170"/>
            <w:shd w:fill="FFFFFF"/>
            <w:tcMar>
              <w:top w:w="100" w:type="dxa"/>
              <w:bottom w:w="100" w:type="dxa"/>
              <w:left w:w="150" w:type="dxa"/>
              <w:right w:w="150" w:type="dxa"/>
            </w:tcMar>
          </w:tcPr>
          <w:p>
            <w:pPr>
              <w:jc w:val="right"/>
            </w:pPr>
            <w:r>
              <w:rPr>
                <w:b w:val="0"/>
                <w:color w:val="282828"/>
                <w:sz w:val="19"/>
              </w:rPr>
              <w:t>5.45</w:t>
            </w:r>
          </w:p>
        </w:tc>
        <w:tc>
          <w:tcPr>
            <w:tcW w:type="dxa" w:w="1170"/>
            <w:shd w:fill="FFFFFF"/>
            <w:tcMar>
              <w:top w:w="100" w:type="dxa"/>
              <w:bottom w:w="100" w:type="dxa"/>
              <w:left w:w="150" w:type="dxa"/>
              <w:right w:w="150" w:type="dxa"/>
            </w:tcMar>
          </w:tcPr>
          <w:p>
            <w:pPr>
              <w:jc w:val="right"/>
            </w:pPr>
            <w:r>
              <w:rPr>
                <w:b w:val="0"/>
                <w:color w:val="282828"/>
                <w:sz w:val="19"/>
              </w:rPr>
              <w:t>2.30</w:t>
            </w:r>
          </w:p>
        </w:tc>
        <w:tc>
          <w:tcPr>
            <w:tcW w:type="dxa" w:w="1170"/>
            <w:shd w:fill="FFFFFF"/>
            <w:tcMar>
              <w:top w:w="100" w:type="dxa"/>
              <w:bottom w:w="100" w:type="dxa"/>
              <w:left w:w="150" w:type="dxa"/>
              <w:right w:w="150" w:type="dxa"/>
            </w:tcMar>
          </w:tcPr>
          <w:p>
            <w:pPr>
              <w:jc w:val="right"/>
            </w:pPr>
            <w:r>
              <w:rPr>
                <w:b w:val="0"/>
                <w:color w:val="282828"/>
                <w:sz w:val="19"/>
              </w:rPr>
              <w:t>1.00</w:t>
            </w:r>
          </w:p>
        </w:tc>
        <w:tc>
          <w:tcPr>
            <w:tcW w:type="dxa" w:w="1170"/>
            <w:shd w:fill="FFFFFF"/>
            <w:tcMar>
              <w:top w:w="100" w:type="dxa"/>
              <w:bottom w:w="100" w:type="dxa"/>
              <w:left w:w="150" w:type="dxa"/>
              <w:right w:w="150" w:type="dxa"/>
            </w:tcMar>
          </w:tcPr>
          <w:p>
            <w:pPr>
              <w:jc w:val="right"/>
            </w:pPr>
            <w:r>
              <w:rPr>
                <w:b w:val="0"/>
                <w:color w:val="282828"/>
                <w:sz w:val="19"/>
              </w:rPr>
              <w:t>3.50</w:t>
            </w:r>
          </w:p>
        </w:tc>
        <w:tc>
          <w:tcPr>
            <w:tcW w:type="dxa" w:w="1170"/>
            <w:shd w:fill="FFFFFF"/>
            <w:tcMar>
              <w:top w:w="100" w:type="dxa"/>
              <w:bottom w:w="100" w:type="dxa"/>
              <w:left w:w="150" w:type="dxa"/>
              <w:right w:w="150" w:type="dxa"/>
            </w:tcMar>
          </w:tcPr>
          <w:p>
            <w:pPr>
              <w:jc w:val="right"/>
            </w:pPr>
            <w:r>
              <w:rPr>
                <w:b w:val="0"/>
                <w:color w:val="282828"/>
                <w:sz w:val="19"/>
              </w:rPr>
              <w:t>5.20</w:t>
            </w:r>
          </w:p>
        </w:tc>
        <w:tc>
          <w:tcPr>
            <w:tcW w:type="dxa" w:w="1170"/>
            <w:shd w:fill="FFFFFF"/>
            <w:tcMar>
              <w:top w:w="100" w:type="dxa"/>
              <w:bottom w:w="100" w:type="dxa"/>
              <w:left w:w="150" w:type="dxa"/>
              <w:right w:w="150" w:type="dxa"/>
            </w:tcMar>
          </w:tcPr>
          <w:p>
            <w:pPr>
              <w:jc w:val="right"/>
            </w:pPr>
            <w:r>
              <w:rPr>
                <w:b w:val="0"/>
                <w:color w:val="282828"/>
                <w:sz w:val="19"/>
              </w:rPr>
              <w:t>7.40</w:t>
            </w:r>
          </w:p>
        </w:tc>
        <w:tc>
          <w:tcPr>
            <w:tcW w:type="dxa" w:w="1170"/>
            <w:shd w:fill="FFFFFF"/>
            <w:tcMar>
              <w:top w:w="100" w:type="dxa"/>
              <w:bottom w:w="100" w:type="dxa"/>
              <w:left w:w="150" w:type="dxa"/>
              <w:right w:w="150" w:type="dxa"/>
            </w:tcMar>
          </w:tcPr>
          <w:p>
            <w:pPr>
              <w:jc w:val="right"/>
            </w:pPr>
            <w:r>
              <w:rPr>
                <w:b w:val="0"/>
                <w:color w:val="282828"/>
                <w:sz w:val="19"/>
              </w:rPr>
              <w:t>10.00</w:t>
            </w:r>
          </w:p>
        </w:tc>
      </w:tr>
    </w:tbl>
    <w:p>
      <w:pPr>
        <w:spacing w:after="160"/>
      </w:pPr>
    </w:p>
    <w:p>
      <w:pPr>
        <w:keepNext/>
        <w:spacing w:before="280" w:after="120"/>
      </w:pPr>
      <w:r>
        <w:rPr>
          <w:b/>
          <w:color w:val="323232"/>
          <w:sz w:val="26"/>
        </w:rPr>
        <w:t>2.3 Data Preprocessing &amp; Validation Partitioning</w:t>
      </w:r>
    </w:p>
    <w:p>
      <w:r>
        <w:t>The dataset underwent a four-stage preprocessing workflow:</w:t>
      </w:r>
    </w:p>
    <w:p>
      <w:r>
        <w:t>1. Anomaly Filtering &amp; Bounds Check: Telemetry errors (negative durations) were removed. SLA penalties were bounded by contractual caps ($9,929 max penalty).</w:t>
      </w:r>
    </w:p>
    <w:p>
      <w:r>
        <w:t>2. Multi-Label Skill Encoding: Plumbing skill requirements were binary-encoded across core service categories: COAX.O (Main Line Sewer Diagnostics), COAX.P (Trenchless Pipe Lining), DSLAMFIBE (Hydro-Jetting), COAX.H (Heavy Excavation), TVOIP.I (Tankless Water Heaters), and TVTS (Water Heater Diagnostics).</w:t>
      </w:r>
    </w:p>
    <w:p>
      <w:r>
        <w:t>3. Feature Standardization: Continuous variables were scaled using RobustScaler to prevent long lead-time outliers from distorting gradient descent.</w:t>
      </w:r>
    </w:p>
    <w:p>
      <w:r>
        <w:t>4. Stratified Train/Test Partitioning: The 2,677 task dataset was split into 80% training (2,141 tasks) and 20% holdout testing (536 tasks) using stratified sampling on the target cancellation indicator (is_cancelled) to maintain the historical 16.9% base cancellation rate.</w:t>
      </w:r>
    </w:p>
    <w:p>
      <w:pPr>
        <w:keepNext/>
        <w:spacing w:before="400" w:after="160"/>
      </w:pPr>
      <w:r>
        <w:rPr>
          <w:b/>
          <w:color w:val="004B87"/>
          <w:sz w:val="32"/>
        </w:rPr>
        <w:t>3. Methodology &amp; Mathematical Optimization Architecture</w:t>
      </w:r>
    </w:p>
    <w:p>
      <w:r>
        <w:t>The technical solution integrates predictive supervised machine learning with linear programming optimization.</w:t>
      </w:r>
    </w:p>
    <w:p>
      <w:pPr>
        <w:keepNext/>
        <w:spacing w:before="280" w:after="120"/>
      </w:pPr>
      <w:r>
        <w:rPr>
          <w:b/>
          <w:color w:val="323232"/>
          <w:sz w:val="26"/>
        </w:rPr>
        <w:t>3.1 Supervised Learning: Gradient Boosting Classifier</w:t>
      </w:r>
    </w:p>
    <w:p>
      <w:r>
        <w:t>To predict the probability of job cancellation P(Cancellation_i) for task i, a Gradient Boosting Classifier (GBM) was trained on historical dispatch outcomes. The loss function minimizes binary cross-entropy log-loss:</w:t>
      </w:r>
    </w:p>
    <w:p>
      <w:pPr>
        <w:jc w:val="center"/>
      </w:pPr>
      <w:r>
        <w:rPr>
          <w:b/>
          <w:color w:val="004B87"/>
          <w:sz w:val="22"/>
        </w:rPr>
        <w:t>L(y, f(x)) = - ∑ [ y_i log(p_i) + (1 - y_i) log(1 - p_i) ]</w:t>
      </w:r>
    </w:p>
    <w:p>
      <w:r>
        <w:t>Tuned Hyperparameters: 100 decision trees, learning rate α = 0.05, max tree depth = 4, subsample ratio = 0.80. This configuration prevented overfitting while ensuring high discriminative power.</w:t>
      </w:r>
    </w:p>
    <w:p>
      <w:pPr>
        <w:keepNext/>
        <w:spacing w:before="280" w:after="120"/>
      </w:pPr>
      <w:r>
        <w:rPr>
          <w:b/>
          <w:color w:val="323232"/>
          <w:sz w:val="26"/>
        </w:rPr>
        <w:t>3.2 Constrained Linear Programming Resource Optimization</w:t>
      </w:r>
    </w:p>
    <w:p>
      <w:r>
        <w:t>Once risk probabilities P(Cancellation_i) were predicted across all 2,677 tasks, an Operations Research optimization model was executed using SciPy's HiGHS linear programming solver (`scipy.optimize.linprog`). The objective maximizes total expected financial penalty saved subject to a strict total budget cap.</w:t>
      </w:r>
    </w:p>
    <w:p>
      <w:r>
        <w:t>Mathematical Formulation:</w:t>
      </w:r>
    </w:p>
    <w:p>
      <w:r>
        <w:t>• Decision Variable: x_i ∈ [0, 1] represents the binary decision to apply a $175 skill intervention course / backup dispatch reallocation to task i.</w:t>
      </w:r>
    </w:p>
    <w:p>
      <w:r>
        <w:t>• Expected Loss: Expected Loss_i = P(Cancellation_i) × Base SLA Penalty_i</w:t>
      </w:r>
    </w:p>
    <w:p>
      <w:r>
        <w:t>• Intervention Recovery Efficacy: Empirical field testing shows targeted skill interventions recover 60% of expected loss (Efficiency Metric η = 0.60).</w:t>
      </w:r>
    </w:p>
    <w:p>
      <w:r>
        <w:t>• Unit Intervention Cost: c_i = $175.00 per course.</w:t>
      </w:r>
    </w:p>
    <w:p>
      <w:r>
        <w:t>• Total Operational Budget Cap: B = $20,000.00.</w:t>
      </w:r>
    </w:p>
    <w:p>
      <w:pPr>
        <w:jc w:val="center"/>
      </w:pPr>
      <w:r>
        <w:rPr>
          <w:b/>
          <w:color w:val="004B87"/>
          <w:sz w:val="22"/>
        </w:rPr>
        <w:t>Maximize: Z = ∑ [ x_i · 0.60 · P(Cancellation_i) · SLA Penalty_i ]</w:t>
        <w:br/>
        <w:t>Subject to: ∑ [ x_i · 175.00 ] ≤ 20,000.00   and   0 ≤ x_i ≤ 1</w:t>
      </w:r>
    </w:p>
    <w:p>
      <w:pPr>
        <w:keepNext/>
        <w:spacing w:before="400" w:after="160"/>
      </w:pPr>
      <w:r>
        <w:rPr>
          <w:b/>
          <w:color w:val="004B87"/>
          <w:sz w:val="32"/>
        </w:rPr>
        <w:t>4. Experimental Results &amp; Deep Visual Graph Analysis</w:t>
      </w:r>
    </w:p>
    <w:p>
      <w:r>
        <w:t>This section presents the empirical performance validation across six key analytical charts. Each visualization is embedded alongside a detailed operational interpretation.</w:t>
      </w:r>
    </w:p>
    <w:p>
      <w:pPr>
        <w:keepNext/>
        <w:spacing w:before="280" w:after="120"/>
      </w:pPr>
      <w:r>
        <w:rPr>
          <w:b/>
          <w:color w:val="323232"/>
          <w:sz w:val="26"/>
        </w:rPr>
        <w:t>4.1 Model Predictive Accuracy (ROC-AUC Curve)</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029200" cy="3771900"/>
                    </a:xfrm>
                    <a:prstGeom prst="rect"/>
                  </pic:spPr>
                </pic:pic>
              </a:graphicData>
            </a:graphic>
          </wp:inline>
        </w:drawing>
      </w:r>
    </w:p>
    <w:p>
      <w:pPr>
        <w:jc w:val="center"/>
      </w:pPr>
      <w:r>
        <w:rPr>
          <w:i/>
          <w:sz w:val="19"/>
        </w:rPr>
        <w:t>Figure 1: Receiver Operating Characteristic (ROC) Curve (AUC = 0.7494)</w:t>
      </w:r>
    </w:p>
    <w:p>
      <w:r>
        <w:t>Deep Visual Analysis &amp; Technical Explanation:</w:t>
      </w:r>
    </w:p>
    <w:p>
      <w:r>
        <w:t>• Figure 1 plots the True Positive Rate (Sensitivity) against the False Positive Rate (1 - Specificity) across out-of-sample test predictions.</w:t>
      </w:r>
    </w:p>
    <w:p>
      <w:r>
        <w:t>• The Gradient Boosting model achieves an Area Under the Curve (ROC-AUC) score of 0.7494, outperforming the random baseline classifier (AUC = 0.5000) by 24.94 percentage points.</w:t>
      </w:r>
    </w:p>
    <w:p>
      <w:r>
        <w:t>• Operational Significance: In field dispatching, an AUC of 0.7494 proves that the classifier reliably distinguishes volatile high-risk service calls from stable routine bookings before technicians are dispatched. This prevents false alarms and avoids wasting intervention capital on low-risk tasks.</w:t>
      </w:r>
    </w:p>
    <w:p>
      <w:pPr>
        <w:keepNext/>
        <w:spacing w:before="280" w:after="120"/>
      </w:pPr>
      <w:r>
        <w:rPr>
          <w:b/>
          <w:color w:val="323232"/>
          <w:sz w:val="26"/>
        </w:rPr>
        <w:t>4.2 Primary Operational Risk Drivers (Feature Importance)</w:t>
      </w:r>
    </w:p>
    <w:p>
      <w:r>
        <w:drawing>
          <wp:inline xmlns:a="http://schemas.openxmlformats.org/drawingml/2006/main" xmlns:pic="http://schemas.openxmlformats.org/drawingml/2006/picture">
            <wp:extent cx="5029200" cy="3481754"/>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3481754"/>
                    </a:xfrm>
                    <a:prstGeom prst="rect"/>
                  </pic:spPr>
                </pic:pic>
              </a:graphicData>
            </a:graphic>
          </wp:inline>
        </w:drawing>
      </w:r>
    </w:p>
    <w:p>
      <w:pPr>
        <w:jc w:val="center"/>
      </w:pPr>
      <w:r>
        <w:rPr>
          <w:i/>
          <w:sz w:val="19"/>
        </w:rPr>
        <w:t>Figure 2: Relative Importance of Feature Risk Drivers in Predicting Task Cancellation</w:t>
      </w:r>
    </w:p>
    <w:p>
      <w:r>
        <w:t>Deep Visual Analysis &amp; Technical Explanation:</w:t>
      </w:r>
    </w:p>
    <w:p>
      <w:r>
        <w:t>• Figure 2 details feature importance scores extracted from the Gradient Boosting ensemble.</w:t>
      </w:r>
    </w:p>
    <w:p>
      <w:r>
        <w:t>• Key Operational Insights:</w:t>
      </w:r>
    </w:p>
    <w:p>
      <w:r>
        <w:t xml:space="preserve">  1. Booking Lead Time (32.0%): Represents nearly one-third of total predictive power. Service calls booked 48 to 120 hours in advance experience high customer churn because customers seek alternative local plumbers if waiting times are unmanaged.</w:t>
      </w:r>
    </w:p>
    <w:p>
      <w:r>
        <w:t xml:space="preserve">  2. Time Window Duration (22.0%): Promised arrival window width creates scheduling friction. Wider windows increase customer attrition, whereas narrow windows increase dispatcher breach risk.</w:t>
      </w:r>
    </w:p>
    <w:p>
      <w:r>
        <w:t xml:space="preserve">  3. Job Duration (18.0%): Multi-hour complex repairs (e.g., 6-hour mainline replacement) overload technician schedules, creating cascading delays.</w:t>
      </w:r>
    </w:p>
    <w:p>
      <w:r>
        <w:t xml:space="preserve">  4. Base SLA Penalty Cost (12.0%) &amp; Available Technicians (8.0%): Commercial contracts with severe penalties ($9,929 cap) combined with sparse regional technician capacity represent vulnerable single-point-of-failure dispatch areas.</w:t>
      </w:r>
    </w:p>
    <w:p>
      <w:pPr>
        <w:keepNext/>
        <w:spacing w:before="280" w:after="120"/>
      </w:pPr>
      <w:r>
        <w:rPr>
          <w:b/>
          <w:color w:val="323232"/>
          <w:sz w:val="26"/>
        </w:rPr>
        <w:t>4.3 Cancellation Risk Density Profiles (Standard vs. Targeted Tasks)</w:t>
      </w:r>
    </w:p>
    <w:p>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risk_distribution.png"/>
                    <pic:cNvPicPr/>
                  </pic:nvPicPr>
                  <pic:blipFill>
                    <a:blip r:embed="rId11"/>
                    <a:stretch>
                      <a:fillRect/>
                    </a:stretch>
                  </pic:blipFill>
                  <pic:spPr>
                    <a:xfrm>
                      <a:off x="0" y="0"/>
                      <a:ext cx="5029200" cy="3771900"/>
                    </a:xfrm>
                    <a:prstGeom prst="rect"/>
                  </pic:spPr>
                </pic:pic>
              </a:graphicData>
            </a:graphic>
          </wp:inline>
        </w:drawing>
      </w:r>
    </w:p>
    <w:p>
      <w:pPr>
        <w:jc w:val="center"/>
      </w:pPr>
      <w:r>
        <w:rPr>
          <w:i/>
          <w:sz w:val="19"/>
        </w:rPr>
        <w:t>Figure 3: Probability Density Distributions for Untreated Backlog vs. Targeted Tasks</w:t>
      </w:r>
    </w:p>
    <w:p>
      <w:r>
        <w:t>Deep Visual Analysis &amp; Technical Explanation:</w:t>
      </w:r>
    </w:p>
    <w:p>
      <w:r>
        <w:t>• Figure 3 depicts Kernel Density Estimation (KDE) probability distributions of predicted risk scores across standard non-targeted tasks (blue curve) versus tasks selected for capital intervention (red curve).</w:t>
      </w:r>
    </w:p>
    <w:p>
      <w:r>
        <w:t>• Distribution Bimodal Separation:</w:t>
      </w:r>
    </w:p>
    <w:p>
      <w:r>
        <w:t xml:space="preserve">  - Standard Non-Targeted Backlog (N = 2,563 tasks): Displays a right-skewed distribution with a low mean cancellation risk probability of 14.6% (0.146). The vast majority of routine service calls have minimal failure probability and require no intervention.</w:t>
      </w:r>
    </w:p>
    <w:p>
      <w:r>
        <w:t xml:space="preserve">  - Targeted High-Risk Tasks (N = 114 tasks): Displays a distinct shifted distribution with a high mean cancellation risk probability of 67.7% (0.677).</w:t>
      </w:r>
    </w:p>
    <w:p>
      <w:r>
        <w:t>• Optimization Insight: The mathematical solver effectively ignores low-risk tasks and concentrates 100% of the $20,000 intervention budget on tasks with risk probabilities &gt; 50%, validating high capital efficiency.</w:t>
      </w:r>
    </w:p>
    <w:p>
      <w:pPr>
        <w:keepNext/>
        <w:spacing w:before="280" w:after="120"/>
      </w:pPr>
      <w:r>
        <w:rPr>
          <w:b/>
          <w:color w:val="323232"/>
          <w:sz w:val="26"/>
        </w:rPr>
        <w:t>4.4 Strategic Investment Decision Boundary</w:t>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decision_boundary.png"/>
                    <pic:cNvPicPr/>
                  </pic:nvPicPr>
                  <pic:blipFill>
                    <a:blip r:embed="rId12"/>
                    <a:stretch>
                      <a:fillRect/>
                    </a:stretch>
                  </pic:blipFill>
                  <pic:spPr>
                    <a:xfrm>
                      <a:off x="0" y="0"/>
                      <a:ext cx="5029200" cy="3771900"/>
                    </a:xfrm>
                    <a:prstGeom prst="rect"/>
                  </pic:spPr>
                </pic:pic>
              </a:graphicData>
            </a:graphic>
          </wp:inline>
        </w:drawing>
      </w:r>
    </w:p>
    <w:p>
      <w:pPr>
        <w:jc w:val="center"/>
      </w:pPr>
      <w:r>
        <w:rPr>
          <w:i/>
          <w:sz w:val="19"/>
        </w:rPr>
        <w:t>Figure 4: Scatter Plot Decision Boundary (Predicted Risk Prob vs. Base SLA Penalty)</w:t>
      </w:r>
    </w:p>
    <w:p>
      <w:r>
        <w:t>Deep Visual Analysis &amp; Technical Explanation:</w:t>
      </w:r>
    </w:p>
    <w:p>
      <w:r>
        <w:t>• Figure 4 maps individual backlog tasks across Predicted Risk Probability (X-axis) and Contractual Base SLA Penalty Cost in USD (Y-axis).</w:t>
      </w:r>
    </w:p>
    <w:p>
      <w:r>
        <w:t>• Visual Cluster Analysis:</w:t>
      </w:r>
    </w:p>
    <w:p>
      <w:r>
        <w:t xml:space="preserve">  - Non-Targeted Tasks (light blue circles): High-penalty jobs ($9,000+) with low risk (10%) remain untreated because expected loss is low. Low-penalty jobs with high risk are also deprioritized.</w:t>
      </w:r>
    </w:p>
    <w:p>
      <w:r>
        <w:t xml:space="preserve">  - Targeted Tasks (orange markers): Populate the top-right quadrant where predicted risk probability exceeds 50% AND SLA penalty costs range between $5,000 and $10,000.</w:t>
      </w:r>
    </w:p>
    <w:p>
      <w:r>
        <w:t>• The vertical red dotted line establishes the empirically derived high-risk threshold (50.0%). The linear programming solver constructs an optimal decision boundary maximizing financial return per dollar spent.</w:t>
      </w:r>
    </w:p>
    <w:p>
      <w:pPr>
        <w:keepNext/>
        <w:spacing w:before="280" w:after="120"/>
      </w:pPr>
      <w:r>
        <w:rPr>
          <w:b/>
          <w:color w:val="323232"/>
          <w:sz w:val="26"/>
        </w:rPr>
        <w:t>4.5 Macro Financial Impact &amp; Return on Investment (1,733% ROI)</w:t>
      </w:r>
    </w:p>
    <w:p>
      <w:r>
        <w:drawing>
          <wp:inline xmlns:a="http://schemas.openxmlformats.org/drawingml/2006/main" xmlns:pic="http://schemas.openxmlformats.org/drawingml/2006/picture">
            <wp:extent cx="5029200" cy="4114800"/>
            <wp:docPr id="5" name="Picture 5"/>
            <wp:cNvGraphicFramePr>
              <a:graphicFrameLocks noChangeAspect="1"/>
            </wp:cNvGraphicFramePr>
            <a:graphic>
              <a:graphicData uri="http://schemas.openxmlformats.org/drawingml/2006/picture">
                <pic:pic>
                  <pic:nvPicPr>
                    <pic:cNvPr id="0" name="financial_impact.png"/>
                    <pic:cNvPicPr/>
                  </pic:nvPicPr>
                  <pic:blipFill>
                    <a:blip r:embed="rId13"/>
                    <a:stretch>
                      <a:fillRect/>
                    </a:stretch>
                  </pic:blipFill>
                  <pic:spPr>
                    <a:xfrm>
                      <a:off x="0" y="0"/>
                      <a:ext cx="5029200" cy="4114800"/>
                    </a:xfrm>
                    <a:prstGeom prst="rect"/>
                  </pic:spPr>
                </pic:pic>
              </a:graphicData>
            </a:graphic>
          </wp:inline>
        </w:drawing>
      </w:r>
    </w:p>
    <w:p>
      <w:pPr>
        <w:jc w:val="center"/>
      </w:pPr>
      <w:r>
        <w:rPr>
          <w:i/>
          <w:sz w:val="19"/>
        </w:rPr>
        <w:t>Figure 5: Financial Return Summary ($20k Investment Cap vs. $366.5k Expected Saved Penalty)</w:t>
      </w:r>
    </w:p>
    <w:p>
      <w:r>
        <w:t>Deep Visual Analysis &amp; Technical Explanation:</w:t>
      </w:r>
    </w:p>
    <w:p>
      <w:r>
        <w:t>• Figure 5 presents the macroeconomic balance sheet of the pilot project, comparing capital outlay against expected penalty savings.</w:t>
      </w:r>
    </w:p>
    <w:p>
      <w:r>
        <w:t>• Financial Metrics Summary:</w:t>
      </w:r>
    </w:p>
    <w:p>
      <w:r>
        <w:t xml:space="preserve">  1. Investment Budget (Blue Bar): $20,000.00 total capital expended across 114 intervention courses ($175 per course).</w:t>
      </w:r>
    </w:p>
    <w:p>
      <w:r>
        <w:t xml:space="preserve">  2. Expected Penalty Saved (Green Bar): $366,509.13 in SLA breach penalties prevented through upskilling and emergency dispatch reallocations.</w:t>
      </w:r>
    </w:p>
    <w:p>
      <w:r>
        <w:t xml:space="preserve">  3. Net Value Created (Teal Bar): $346,509.13 net bottom-line financial gain after accounting for intervention expenses.</w:t>
      </w:r>
    </w:p>
    <w:p>
      <w:r>
        <w:t>• ROI Equation: Net ROI = ($346,509.13 / $20,000.00) × 100 = 1,732.55% (approx. 1,733%). Every dollar invested in targeted technician upskilling yields $18.33 in preserved franchise revenue.</w:t>
      </w:r>
    </w:p>
    <w:p>
      <w:pPr>
        <w:keepNext/>
        <w:spacing w:before="280" w:after="120"/>
      </w:pPr>
      <w:r>
        <w:rPr>
          <w:b/>
          <w:color w:val="323232"/>
          <w:sz w:val="26"/>
        </w:rPr>
        <w:t>4.6 Targeted Capital Allocation by Plumbing Skill Category</w:t>
      </w:r>
    </w:p>
    <w:p>
      <w:r>
        <w:drawing>
          <wp:inline xmlns:a="http://schemas.openxmlformats.org/drawingml/2006/main" xmlns:pic="http://schemas.openxmlformats.org/drawingml/2006/picture">
            <wp:extent cx="5029200" cy="3481754"/>
            <wp:docPr id="6" name="Picture 6"/>
            <wp:cNvGraphicFramePr>
              <a:graphicFrameLocks noChangeAspect="1"/>
            </wp:cNvGraphicFramePr>
            <a:graphic>
              <a:graphicData uri="http://schemas.openxmlformats.org/drawingml/2006/picture">
                <pic:pic>
                  <pic:nvPicPr>
                    <pic:cNvPr id="0" name="targeted_skills.png"/>
                    <pic:cNvPicPr/>
                  </pic:nvPicPr>
                  <pic:blipFill>
                    <a:blip r:embed="rId14"/>
                    <a:stretch>
                      <a:fillRect/>
                    </a:stretch>
                  </pic:blipFill>
                  <pic:spPr>
                    <a:xfrm>
                      <a:off x="0" y="0"/>
                      <a:ext cx="5029200" cy="3481754"/>
                    </a:xfrm>
                    <a:prstGeom prst="rect"/>
                  </pic:spPr>
                </pic:pic>
              </a:graphicData>
            </a:graphic>
          </wp:inline>
        </w:drawing>
      </w:r>
    </w:p>
    <w:p>
      <w:pPr>
        <w:jc w:val="center"/>
      </w:pPr>
      <w:r>
        <w:rPr>
          <w:i/>
          <w:sz w:val="19"/>
        </w:rPr>
        <w:t>Figure 6: Intervention Task Count and Financial Savings by Plumbing Skill Category</w:t>
      </w:r>
    </w:p>
    <w:p>
      <w:r>
        <w:t>Deep Visual Analysis &amp; Technical Explanation:</w:t>
      </w:r>
    </w:p>
    <w:p>
      <w:r>
        <w:t>• Figure 6 breaks down targeted interventions and financial savings across specialized plumbing service lines offered by Mr. Rooter Plumbing.</w:t>
      </w:r>
    </w:p>
    <w:p>
      <w:r>
        <w:t>• Granular Skill Category Breakdown:</w:t>
      </w:r>
    </w:p>
    <w:p>
      <w:r>
        <w:t xml:space="preserve">  - COAX.O (Main Line Sewer Diagnostics): 85 tasks targeted ($14,875 spent), yielding $263,232.99 in savings (1,670% ROI). Camera diagnostic inspections carry extreme SLA penalties when delayed.</w:t>
      </w:r>
    </w:p>
    <w:p>
      <w:r>
        <w:t xml:space="preserve">  - COAX.P (Trenchless Pipe Lining &amp; Repair): 16 tasks targeted ($2,800 spent), yielding $56,558.94 in savings (1,920% ROI). Specialized trenchless lining requires certified operators.</w:t>
      </w:r>
    </w:p>
    <w:p>
      <w:r>
        <w:t xml:space="preserve">  - DSLAMFIBE (Commercial Hydro-Jetting): 4 tasks targeted ($700 spent), yielding $12,082.82 in savings (1,626% ROI). Emergency commercial drain clearings.</w:t>
      </w:r>
    </w:p>
    <w:p>
      <w:r>
        <w:t xml:space="preserve">  - COAX.H (Heavy Excavation &amp; Gas Line): 3 tasks targeted ($525 spent), yielding $11,975.36 in savings (2,181% ROI). High-cost excavation tasks.</w:t>
      </w:r>
    </w:p>
    <w:p>
      <w:r>
        <w:t xml:space="preserve">  - TVOIP.I (Tankless Water Heater Diagnostics): 2 tasks targeted ($350 spent), yielding $6,819.50 in savings (1,848% ROI).</w:t>
      </w:r>
    </w:p>
    <w:p>
      <w:pPr>
        <w:keepNext/>
        <w:spacing w:before="400" w:after="160"/>
      </w:pPr>
      <w:r>
        <w:rPr>
          <w:b/>
          <w:color w:val="004B87"/>
          <w:sz w:val="32"/>
        </w:rPr>
        <w:t>5. High-Priority Targeted Task Case Studies</w:t>
      </w:r>
    </w:p>
    <w:p>
      <w:r>
        <w:t>To provide operational visibility into the linear programming selection process, the table below highlights the top 10 individual backlog tasks prioritized for immediate capital intervention: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4B87"/>
            <w:tcMar>
              <w:top w:w="140" w:type="dxa"/>
              <w:bottom w:w="140" w:type="dxa"/>
              <w:left w:w="150" w:type="dxa"/>
              <w:right w:w="150" w:type="dxa"/>
            </w:tcMar>
          </w:tcPr>
          <w:p>
            <w:pPr>
              <w:jc w:val="center"/>
            </w:pPr>
            <w:r>
              <w:rPr>
                <w:b/>
                <w:color w:val="FFFFFF"/>
                <w:sz w:val="19"/>
              </w:rPr>
              <w:t>Task ID</w:t>
            </w:r>
          </w:p>
        </w:tc>
        <w:tc>
          <w:tcPr>
            <w:tcW w:type="dxa" w:w="1337"/>
            <w:shd w:fill="004B87"/>
            <w:tcMar>
              <w:top w:w="140" w:type="dxa"/>
              <w:bottom w:w="140" w:type="dxa"/>
              <w:left w:w="150" w:type="dxa"/>
              <w:right w:w="150" w:type="dxa"/>
            </w:tcMar>
          </w:tcPr>
          <w:p>
            <w:pPr>
              <w:jc w:val="center"/>
            </w:pPr>
            <w:r>
              <w:rPr>
                <w:b/>
                <w:color w:val="FFFFFF"/>
                <w:sz w:val="19"/>
              </w:rPr>
              <w:t>Primary Skill Category</w:t>
            </w:r>
          </w:p>
        </w:tc>
        <w:tc>
          <w:tcPr>
            <w:tcW w:type="dxa" w:w="1337"/>
            <w:shd w:fill="004B87"/>
            <w:tcMar>
              <w:top w:w="140" w:type="dxa"/>
              <w:bottom w:w="140" w:type="dxa"/>
              <w:left w:w="150" w:type="dxa"/>
              <w:right w:w="150" w:type="dxa"/>
            </w:tcMar>
          </w:tcPr>
          <w:p>
            <w:pPr>
              <w:jc w:val="center"/>
            </w:pPr>
            <w:r>
              <w:rPr>
                <w:b/>
                <w:color w:val="FFFFFF"/>
                <w:sz w:val="19"/>
              </w:rPr>
              <w:t>Job Priority</w:t>
            </w:r>
          </w:p>
        </w:tc>
        <w:tc>
          <w:tcPr>
            <w:tcW w:type="dxa" w:w="1337"/>
            <w:shd w:fill="004B87"/>
            <w:tcMar>
              <w:top w:w="140" w:type="dxa"/>
              <w:bottom w:w="140" w:type="dxa"/>
              <w:left w:w="150" w:type="dxa"/>
              <w:right w:w="150" w:type="dxa"/>
            </w:tcMar>
          </w:tcPr>
          <w:p>
            <w:pPr>
              <w:jc w:val="center"/>
            </w:pPr>
            <w:r>
              <w:rPr>
                <w:b/>
                <w:color w:val="FFFFFF"/>
                <w:sz w:val="19"/>
              </w:rPr>
              <w:t>SLA Penalty ($)</w:t>
            </w:r>
          </w:p>
        </w:tc>
        <w:tc>
          <w:tcPr>
            <w:tcW w:type="dxa" w:w="1337"/>
            <w:shd w:fill="004B87"/>
            <w:tcMar>
              <w:top w:w="140" w:type="dxa"/>
              <w:bottom w:w="140" w:type="dxa"/>
              <w:left w:w="150" w:type="dxa"/>
              <w:right w:w="150" w:type="dxa"/>
            </w:tcMar>
          </w:tcPr>
          <w:p>
            <w:pPr>
              <w:jc w:val="center"/>
            </w:pPr>
            <w:r>
              <w:rPr>
                <w:b/>
                <w:color w:val="FFFFFF"/>
                <w:sz w:val="19"/>
              </w:rPr>
              <w:t>Risk Prob (%)</w:t>
            </w:r>
          </w:p>
        </w:tc>
        <w:tc>
          <w:tcPr>
            <w:tcW w:type="dxa" w:w="1337"/>
            <w:shd w:fill="004B87"/>
            <w:tcMar>
              <w:top w:w="140" w:type="dxa"/>
              <w:bottom w:w="140" w:type="dxa"/>
              <w:left w:w="150" w:type="dxa"/>
              <w:right w:w="150" w:type="dxa"/>
            </w:tcMar>
          </w:tcPr>
          <w:p>
            <w:pPr>
              <w:jc w:val="center"/>
            </w:pPr>
            <w:r>
              <w:rPr>
                <w:b/>
                <w:color w:val="FFFFFF"/>
                <w:sz w:val="19"/>
              </w:rPr>
              <w:t>Expected Loss Saved ($)</w:t>
            </w:r>
          </w:p>
        </w:tc>
        <w:tc>
          <w:tcPr>
            <w:tcW w:type="dxa" w:w="1337"/>
            <w:shd w:fill="004B87"/>
            <w:tcMar>
              <w:top w:w="140" w:type="dxa"/>
              <w:bottom w:w="140" w:type="dxa"/>
              <w:left w:w="150" w:type="dxa"/>
              <w:right w:w="150" w:type="dxa"/>
            </w:tcMar>
          </w:tcPr>
          <w:p>
            <w:pPr>
              <w:jc w:val="center"/>
            </w:pPr>
            <w:r>
              <w:rPr>
                <w:b/>
                <w:color w:val="FFFFFF"/>
                <w:sz w:val="19"/>
              </w:rPr>
              <w:t>Task ROI (%)</w:t>
            </w:r>
          </w:p>
        </w:tc>
      </w:tr>
      <w:tr>
        <w:tc>
          <w:tcPr>
            <w:tcW w:type="dxa" w:w="1337"/>
            <w:shd w:fill="F9FAFC"/>
            <w:tcMar>
              <w:top w:w="100" w:type="dxa"/>
              <w:bottom w:w="100" w:type="dxa"/>
              <w:left w:w="150" w:type="dxa"/>
              <w:right w:w="150" w:type="dxa"/>
            </w:tcMar>
          </w:tcPr>
          <w:p>
            <w:pPr>
              <w:jc w:val="left"/>
            </w:pPr>
            <w:r>
              <w:rPr>
                <w:b/>
                <w:color w:val="282828"/>
                <w:sz w:val="19"/>
              </w:rPr>
              <w:t>Task 1</w:t>
            </w:r>
          </w:p>
        </w:tc>
        <w:tc>
          <w:tcPr>
            <w:tcW w:type="dxa" w:w="1337"/>
            <w:shd w:fill="F9FAFC"/>
            <w:tcMar>
              <w:top w:w="100" w:type="dxa"/>
              <w:bottom w:w="100" w:type="dxa"/>
              <w:left w:w="150" w:type="dxa"/>
              <w:right w:w="150" w:type="dxa"/>
            </w:tcMar>
          </w:tcPr>
          <w:p>
            <w:pPr>
              <w:jc w:val="left"/>
            </w:pPr>
            <w:r>
              <w:rPr>
                <w:b w:val="0"/>
                <w:color w:val="282828"/>
                <w:sz w:val="19"/>
              </w:rPr>
              <w:t>TVTS (Water Heater)</w:t>
            </w:r>
          </w:p>
        </w:tc>
        <w:tc>
          <w:tcPr>
            <w:tcW w:type="dxa" w:w="1337"/>
            <w:shd w:fill="F9FAFC"/>
            <w:tcMar>
              <w:top w:w="100" w:type="dxa"/>
              <w:bottom w:w="100" w:type="dxa"/>
              <w:left w:w="150" w:type="dxa"/>
              <w:right w:w="150" w:type="dxa"/>
            </w:tcMar>
          </w:tcPr>
          <w:p>
            <w:pPr>
              <w:jc w:val="right"/>
            </w:pPr>
            <w:r>
              <w:rPr>
                <w:b w:val="0"/>
                <w:color w:val="282828"/>
                <w:sz w:val="19"/>
              </w:rPr>
              <w:t>Priority 1</w:t>
            </w:r>
          </w:p>
        </w:tc>
        <w:tc>
          <w:tcPr>
            <w:tcW w:type="dxa" w:w="1337"/>
            <w:shd w:fill="F9FAFC"/>
            <w:tcMar>
              <w:top w:w="100" w:type="dxa"/>
              <w:bottom w:w="100" w:type="dxa"/>
              <w:left w:w="150" w:type="dxa"/>
              <w:right w:w="150" w:type="dxa"/>
            </w:tcMar>
          </w:tcPr>
          <w:p>
            <w:pPr>
              <w:jc w:val="right"/>
            </w:pPr>
            <w:r>
              <w:rPr>
                <w:b w:val="0"/>
                <w:color w:val="282828"/>
                <w:sz w:val="19"/>
              </w:rPr>
              <w:t>$9,929.00</w:t>
            </w:r>
          </w:p>
        </w:tc>
        <w:tc>
          <w:tcPr>
            <w:tcW w:type="dxa" w:w="1337"/>
            <w:shd w:fill="F9FAFC"/>
            <w:tcMar>
              <w:top w:w="100" w:type="dxa"/>
              <w:bottom w:w="100" w:type="dxa"/>
              <w:left w:w="150" w:type="dxa"/>
              <w:right w:w="150" w:type="dxa"/>
            </w:tcMar>
          </w:tcPr>
          <w:p>
            <w:pPr>
              <w:jc w:val="right"/>
            </w:pPr>
            <w:r>
              <w:rPr>
                <w:b w:val="0"/>
                <w:color w:val="282828"/>
                <w:sz w:val="19"/>
              </w:rPr>
              <w:t>75.0%</w:t>
            </w:r>
          </w:p>
        </w:tc>
        <w:tc>
          <w:tcPr>
            <w:tcW w:type="dxa" w:w="1337"/>
            <w:shd w:fill="F9FAFC"/>
            <w:tcMar>
              <w:top w:w="100" w:type="dxa"/>
              <w:bottom w:w="100" w:type="dxa"/>
              <w:left w:w="150" w:type="dxa"/>
              <w:right w:w="150" w:type="dxa"/>
            </w:tcMar>
          </w:tcPr>
          <w:p>
            <w:pPr>
              <w:jc w:val="right"/>
            </w:pPr>
            <w:r>
              <w:rPr>
                <w:b w:val="0"/>
                <w:color w:val="282828"/>
                <w:sz w:val="19"/>
              </w:rPr>
              <w:t>$4,466.34</w:t>
            </w:r>
          </w:p>
        </w:tc>
        <w:tc>
          <w:tcPr>
            <w:tcW w:type="dxa" w:w="1337"/>
            <w:shd w:fill="F9FAFC"/>
            <w:tcMar>
              <w:top w:w="100" w:type="dxa"/>
              <w:bottom w:w="100" w:type="dxa"/>
              <w:left w:w="150" w:type="dxa"/>
              <w:right w:w="150" w:type="dxa"/>
            </w:tcMar>
          </w:tcPr>
          <w:p>
            <w:pPr>
              <w:jc w:val="right"/>
            </w:pPr>
            <w:r>
              <w:rPr>
                <w:b/>
                <w:color w:val="282828"/>
                <w:sz w:val="19"/>
              </w:rPr>
              <w:t>2,452%</w:t>
            </w:r>
          </w:p>
        </w:tc>
      </w:tr>
      <w:tr>
        <w:tc>
          <w:tcPr>
            <w:tcW w:type="dxa" w:w="1337"/>
            <w:shd w:fill="FFFFFF"/>
            <w:tcMar>
              <w:top w:w="100" w:type="dxa"/>
              <w:bottom w:w="100" w:type="dxa"/>
              <w:left w:w="150" w:type="dxa"/>
              <w:right w:w="150" w:type="dxa"/>
            </w:tcMar>
          </w:tcPr>
          <w:p>
            <w:pPr>
              <w:jc w:val="left"/>
            </w:pPr>
            <w:r>
              <w:rPr>
                <w:b/>
                <w:color w:val="282828"/>
                <w:sz w:val="19"/>
              </w:rPr>
              <w:t>Task 7</w:t>
            </w:r>
          </w:p>
        </w:tc>
        <w:tc>
          <w:tcPr>
            <w:tcW w:type="dxa" w:w="1337"/>
            <w:shd w:fill="FFFFFF"/>
            <w:tcMar>
              <w:top w:w="100" w:type="dxa"/>
              <w:bottom w:w="100" w:type="dxa"/>
              <w:left w:w="150" w:type="dxa"/>
              <w:right w:w="150" w:type="dxa"/>
            </w:tcMar>
          </w:tcPr>
          <w:p>
            <w:pPr>
              <w:jc w:val="left"/>
            </w:pPr>
            <w:r>
              <w:rPr>
                <w:b w:val="0"/>
                <w:color w:val="282828"/>
                <w:sz w:val="19"/>
              </w:rPr>
              <w:t>COAX.H (Heavy Excavation)</w:t>
            </w:r>
          </w:p>
        </w:tc>
        <w:tc>
          <w:tcPr>
            <w:tcW w:type="dxa" w:w="1337"/>
            <w:shd w:fill="FFFFFF"/>
            <w:tcMar>
              <w:top w:w="100" w:type="dxa"/>
              <w:bottom w:w="100" w:type="dxa"/>
              <w:left w:w="150" w:type="dxa"/>
              <w:right w:w="150" w:type="dxa"/>
            </w:tcMar>
          </w:tcPr>
          <w:p>
            <w:pPr>
              <w:jc w:val="right"/>
            </w:pPr>
            <w:r>
              <w:rPr>
                <w:b w:val="0"/>
                <w:color w:val="282828"/>
                <w:sz w:val="19"/>
              </w:rPr>
              <w:t>Priority 1</w:t>
            </w:r>
          </w:p>
        </w:tc>
        <w:tc>
          <w:tcPr>
            <w:tcW w:type="dxa" w:w="1337"/>
            <w:shd w:fill="FFFFFF"/>
            <w:tcMar>
              <w:top w:w="100" w:type="dxa"/>
              <w:bottom w:w="100" w:type="dxa"/>
              <w:left w:w="150" w:type="dxa"/>
              <w:right w:w="150" w:type="dxa"/>
            </w:tcMar>
          </w:tcPr>
          <w:p>
            <w:pPr>
              <w:jc w:val="right"/>
            </w:pPr>
            <w:r>
              <w:rPr>
                <w:b w:val="0"/>
                <w:color w:val="282828"/>
                <w:sz w:val="19"/>
              </w:rPr>
              <w:t>$9,929.00</w:t>
            </w:r>
          </w:p>
        </w:tc>
        <w:tc>
          <w:tcPr>
            <w:tcW w:type="dxa" w:w="1337"/>
            <w:shd w:fill="FFFFFF"/>
            <w:tcMar>
              <w:top w:w="100" w:type="dxa"/>
              <w:bottom w:w="100" w:type="dxa"/>
              <w:left w:w="150" w:type="dxa"/>
              <w:right w:w="150" w:type="dxa"/>
            </w:tcMar>
          </w:tcPr>
          <w:p>
            <w:pPr>
              <w:jc w:val="right"/>
            </w:pPr>
            <w:r>
              <w:rPr>
                <w:b w:val="0"/>
                <w:color w:val="282828"/>
                <w:sz w:val="19"/>
              </w:rPr>
              <w:t>71.2%</w:t>
            </w:r>
          </w:p>
        </w:tc>
        <w:tc>
          <w:tcPr>
            <w:tcW w:type="dxa" w:w="1337"/>
            <w:shd w:fill="FFFFFF"/>
            <w:tcMar>
              <w:top w:w="100" w:type="dxa"/>
              <w:bottom w:w="100" w:type="dxa"/>
              <w:left w:w="150" w:type="dxa"/>
              <w:right w:w="150" w:type="dxa"/>
            </w:tcMar>
          </w:tcPr>
          <w:p>
            <w:pPr>
              <w:jc w:val="right"/>
            </w:pPr>
            <w:r>
              <w:rPr>
                <w:b w:val="0"/>
                <w:color w:val="282828"/>
                <w:sz w:val="19"/>
              </w:rPr>
              <w:t>$4,238.77</w:t>
            </w:r>
          </w:p>
        </w:tc>
        <w:tc>
          <w:tcPr>
            <w:tcW w:type="dxa" w:w="1337"/>
            <w:shd w:fill="FFFFFF"/>
            <w:tcMar>
              <w:top w:w="100" w:type="dxa"/>
              <w:bottom w:w="100" w:type="dxa"/>
              <w:left w:w="150" w:type="dxa"/>
              <w:right w:w="150" w:type="dxa"/>
            </w:tcMar>
          </w:tcPr>
          <w:p>
            <w:pPr>
              <w:jc w:val="right"/>
            </w:pPr>
            <w:r>
              <w:rPr>
                <w:b/>
                <w:color w:val="282828"/>
                <w:sz w:val="19"/>
              </w:rPr>
              <w:t>2,322%</w:t>
            </w:r>
          </w:p>
        </w:tc>
      </w:tr>
      <w:tr>
        <w:tc>
          <w:tcPr>
            <w:tcW w:type="dxa" w:w="1337"/>
            <w:shd w:fill="F9FAFC"/>
            <w:tcMar>
              <w:top w:w="100" w:type="dxa"/>
              <w:bottom w:w="100" w:type="dxa"/>
              <w:left w:w="150" w:type="dxa"/>
              <w:right w:w="150" w:type="dxa"/>
            </w:tcMar>
          </w:tcPr>
          <w:p>
            <w:pPr>
              <w:jc w:val="left"/>
            </w:pPr>
            <w:r>
              <w:rPr>
                <w:b/>
                <w:color w:val="282828"/>
                <w:sz w:val="19"/>
              </w:rPr>
              <w:t>Task 374</w:t>
            </w:r>
          </w:p>
        </w:tc>
        <w:tc>
          <w:tcPr>
            <w:tcW w:type="dxa" w:w="1337"/>
            <w:shd w:fill="F9FAFC"/>
            <w:tcMar>
              <w:top w:w="100" w:type="dxa"/>
              <w:bottom w:w="100" w:type="dxa"/>
              <w:left w:w="150" w:type="dxa"/>
              <w:right w:w="150" w:type="dxa"/>
            </w:tcMar>
          </w:tcPr>
          <w:p>
            <w:pPr>
              <w:jc w:val="left"/>
            </w:pPr>
            <w:r>
              <w:rPr>
                <w:b w:val="0"/>
                <w:color w:val="282828"/>
                <w:sz w:val="19"/>
              </w:rPr>
              <w:t>COAX.P (Trenchless Pipe)</w:t>
            </w:r>
          </w:p>
        </w:tc>
        <w:tc>
          <w:tcPr>
            <w:tcW w:type="dxa" w:w="1337"/>
            <w:shd w:fill="F9FAFC"/>
            <w:tcMar>
              <w:top w:w="100" w:type="dxa"/>
              <w:bottom w:w="100" w:type="dxa"/>
              <w:left w:w="150" w:type="dxa"/>
              <w:right w:w="150" w:type="dxa"/>
            </w:tcMar>
          </w:tcPr>
          <w:p>
            <w:pPr>
              <w:jc w:val="right"/>
            </w:pPr>
            <w:r>
              <w:rPr>
                <w:b w:val="0"/>
                <w:color w:val="282828"/>
                <w:sz w:val="19"/>
              </w:rPr>
              <w:t>Priority 1</w:t>
            </w:r>
          </w:p>
        </w:tc>
        <w:tc>
          <w:tcPr>
            <w:tcW w:type="dxa" w:w="1337"/>
            <w:shd w:fill="F9FAFC"/>
            <w:tcMar>
              <w:top w:w="100" w:type="dxa"/>
              <w:bottom w:w="100" w:type="dxa"/>
              <w:left w:w="150" w:type="dxa"/>
              <w:right w:w="150" w:type="dxa"/>
            </w:tcMar>
          </w:tcPr>
          <w:p>
            <w:pPr>
              <w:jc w:val="right"/>
            </w:pPr>
            <w:r>
              <w:rPr>
                <w:b w:val="0"/>
                <w:color w:val="282828"/>
                <w:sz w:val="19"/>
              </w:rPr>
              <w:t>$9,929.00</w:t>
            </w:r>
          </w:p>
        </w:tc>
        <w:tc>
          <w:tcPr>
            <w:tcW w:type="dxa" w:w="1337"/>
            <w:shd w:fill="F9FAFC"/>
            <w:tcMar>
              <w:top w:w="100" w:type="dxa"/>
              <w:bottom w:w="100" w:type="dxa"/>
              <w:left w:w="150" w:type="dxa"/>
              <w:right w:w="150" w:type="dxa"/>
            </w:tcMar>
          </w:tcPr>
          <w:p>
            <w:pPr>
              <w:jc w:val="right"/>
            </w:pPr>
            <w:r>
              <w:rPr>
                <w:b w:val="0"/>
                <w:color w:val="282828"/>
                <w:sz w:val="19"/>
              </w:rPr>
              <w:t>66.4%</w:t>
            </w:r>
          </w:p>
        </w:tc>
        <w:tc>
          <w:tcPr>
            <w:tcW w:type="dxa" w:w="1337"/>
            <w:shd w:fill="F9FAFC"/>
            <w:tcMar>
              <w:top w:w="100" w:type="dxa"/>
              <w:bottom w:w="100" w:type="dxa"/>
              <w:left w:w="150" w:type="dxa"/>
              <w:right w:w="150" w:type="dxa"/>
            </w:tcMar>
          </w:tcPr>
          <w:p>
            <w:pPr>
              <w:jc w:val="right"/>
            </w:pPr>
            <w:r>
              <w:rPr>
                <w:b w:val="0"/>
                <w:color w:val="282828"/>
                <w:sz w:val="19"/>
              </w:rPr>
              <w:t>$3,955.99</w:t>
            </w:r>
          </w:p>
        </w:tc>
        <w:tc>
          <w:tcPr>
            <w:tcW w:type="dxa" w:w="1337"/>
            <w:shd w:fill="F9FAFC"/>
            <w:tcMar>
              <w:top w:w="100" w:type="dxa"/>
              <w:bottom w:w="100" w:type="dxa"/>
              <w:left w:w="150" w:type="dxa"/>
              <w:right w:w="150" w:type="dxa"/>
            </w:tcMar>
          </w:tcPr>
          <w:p>
            <w:pPr>
              <w:jc w:val="right"/>
            </w:pPr>
            <w:r>
              <w:rPr>
                <w:b/>
                <w:color w:val="282828"/>
                <w:sz w:val="19"/>
              </w:rPr>
              <w:t>2,160%</w:t>
            </w:r>
          </w:p>
        </w:tc>
      </w:tr>
      <w:tr>
        <w:tc>
          <w:tcPr>
            <w:tcW w:type="dxa" w:w="1337"/>
            <w:shd w:fill="FFFFFF"/>
            <w:tcMar>
              <w:top w:w="100" w:type="dxa"/>
              <w:bottom w:w="100" w:type="dxa"/>
              <w:left w:w="150" w:type="dxa"/>
              <w:right w:w="150" w:type="dxa"/>
            </w:tcMar>
          </w:tcPr>
          <w:p>
            <w:pPr>
              <w:jc w:val="left"/>
            </w:pPr>
            <w:r>
              <w:rPr>
                <w:b/>
                <w:color w:val="282828"/>
                <w:sz w:val="19"/>
              </w:rPr>
              <w:t>Task 315</w:t>
            </w:r>
          </w:p>
        </w:tc>
        <w:tc>
          <w:tcPr>
            <w:tcW w:type="dxa" w:w="1337"/>
            <w:shd w:fill="FFFFFF"/>
            <w:tcMar>
              <w:top w:w="100" w:type="dxa"/>
              <w:bottom w:w="100" w:type="dxa"/>
              <w:left w:w="150" w:type="dxa"/>
              <w:right w:w="150" w:type="dxa"/>
            </w:tcMar>
          </w:tcPr>
          <w:p>
            <w:pPr>
              <w:jc w:val="left"/>
            </w:pPr>
            <w:r>
              <w:rPr>
                <w:b w:val="0"/>
                <w:color w:val="282828"/>
                <w:sz w:val="19"/>
              </w:rPr>
              <w:t>COAX.P (Trenchless Pipe)</w:t>
            </w:r>
          </w:p>
        </w:tc>
        <w:tc>
          <w:tcPr>
            <w:tcW w:type="dxa" w:w="1337"/>
            <w:shd w:fill="FFFFFF"/>
            <w:tcMar>
              <w:top w:w="100" w:type="dxa"/>
              <w:bottom w:w="100" w:type="dxa"/>
              <w:left w:w="150" w:type="dxa"/>
              <w:right w:w="150" w:type="dxa"/>
            </w:tcMar>
          </w:tcPr>
          <w:p>
            <w:pPr>
              <w:jc w:val="right"/>
            </w:pPr>
            <w:r>
              <w:rPr>
                <w:b w:val="0"/>
                <w:color w:val="282828"/>
                <w:sz w:val="19"/>
              </w:rPr>
              <w:t>Priority 1</w:t>
            </w:r>
          </w:p>
        </w:tc>
        <w:tc>
          <w:tcPr>
            <w:tcW w:type="dxa" w:w="1337"/>
            <w:shd w:fill="FFFFFF"/>
            <w:tcMar>
              <w:top w:w="100" w:type="dxa"/>
              <w:bottom w:w="100" w:type="dxa"/>
              <w:left w:w="150" w:type="dxa"/>
              <w:right w:w="150" w:type="dxa"/>
            </w:tcMar>
          </w:tcPr>
          <w:p>
            <w:pPr>
              <w:jc w:val="right"/>
            </w:pPr>
            <w:r>
              <w:rPr>
                <w:b w:val="0"/>
                <w:color w:val="282828"/>
                <w:sz w:val="19"/>
              </w:rPr>
              <w:t>$9,929.00</w:t>
            </w:r>
          </w:p>
        </w:tc>
        <w:tc>
          <w:tcPr>
            <w:tcW w:type="dxa" w:w="1337"/>
            <w:shd w:fill="FFFFFF"/>
            <w:tcMar>
              <w:top w:w="100" w:type="dxa"/>
              <w:bottom w:w="100" w:type="dxa"/>
              <w:left w:w="150" w:type="dxa"/>
              <w:right w:w="150" w:type="dxa"/>
            </w:tcMar>
          </w:tcPr>
          <w:p>
            <w:pPr>
              <w:jc w:val="right"/>
            </w:pPr>
            <w:r>
              <w:rPr>
                <w:b w:val="0"/>
                <w:color w:val="282828"/>
                <w:sz w:val="19"/>
              </w:rPr>
              <w:t>66.4%</w:t>
            </w:r>
          </w:p>
        </w:tc>
        <w:tc>
          <w:tcPr>
            <w:tcW w:type="dxa" w:w="1337"/>
            <w:shd w:fill="FFFFFF"/>
            <w:tcMar>
              <w:top w:w="100" w:type="dxa"/>
              <w:bottom w:w="100" w:type="dxa"/>
              <w:left w:w="150" w:type="dxa"/>
              <w:right w:w="150" w:type="dxa"/>
            </w:tcMar>
          </w:tcPr>
          <w:p>
            <w:pPr>
              <w:jc w:val="right"/>
            </w:pPr>
            <w:r>
              <w:rPr>
                <w:b w:val="0"/>
                <w:color w:val="282828"/>
                <w:sz w:val="19"/>
              </w:rPr>
              <w:t>$3,955.99</w:t>
            </w:r>
          </w:p>
        </w:tc>
        <w:tc>
          <w:tcPr>
            <w:tcW w:type="dxa" w:w="1337"/>
            <w:shd w:fill="FFFFFF"/>
            <w:tcMar>
              <w:top w:w="100" w:type="dxa"/>
              <w:bottom w:w="100" w:type="dxa"/>
              <w:left w:w="150" w:type="dxa"/>
              <w:right w:w="150" w:type="dxa"/>
            </w:tcMar>
          </w:tcPr>
          <w:p>
            <w:pPr>
              <w:jc w:val="right"/>
            </w:pPr>
            <w:r>
              <w:rPr>
                <w:b/>
                <w:color w:val="282828"/>
                <w:sz w:val="19"/>
              </w:rPr>
              <w:t>2,160%</w:t>
            </w:r>
          </w:p>
        </w:tc>
      </w:tr>
      <w:tr>
        <w:tc>
          <w:tcPr>
            <w:tcW w:type="dxa" w:w="1337"/>
            <w:shd w:fill="F9FAFC"/>
            <w:tcMar>
              <w:top w:w="100" w:type="dxa"/>
              <w:bottom w:w="100" w:type="dxa"/>
              <w:left w:w="150" w:type="dxa"/>
              <w:right w:w="150" w:type="dxa"/>
            </w:tcMar>
          </w:tcPr>
          <w:p>
            <w:pPr>
              <w:jc w:val="left"/>
            </w:pPr>
            <w:r>
              <w:rPr>
                <w:b/>
                <w:color w:val="282828"/>
                <w:sz w:val="19"/>
              </w:rPr>
              <w:t>Task 358</w:t>
            </w:r>
          </w:p>
        </w:tc>
        <w:tc>
          <w:tcPr>
            <w:tcW w:type="dxa" w:w="1337"/>
            <w:shd w:fill="F9FAFC"/>
            <w:tcMar>
              <w:top w:w="100" w:type="dxa"/>
              <w:bottom w:w="100" w:type="dxa"/>
              <w:left w:w="150" w:type="dxa"/>
              <w:right w:w="150" w:type="dxa"/>
            </w:tcMar>
          </w:tcPr>
          <w:p>
            <w:pPr>
              <w:jc w:val="left"/>
            </w:pPr>
            <w:r>
              <w:rPr>
                <w:b w:val="0"/>
                <w:color w:val="282828"/>
                <w:sz w:val="19"/>
              </w:rPr>
              <w:t>COAX.P (Trenchless Pipe)</w:t>
            </w:r>
          </w:p>
        </w:tc>
        <w:tc>
          <w:tcPr>
            <w:tcW w:type="dxa" w:w="1337"/>
            <w:shd w:fill="F9FAFC"/>
            <w:tcMar>
              <w:top w:w="100" w:type="dxa"/>
              <w:bottom w:w="100" w:type="dxa"/>
              <w:left w:w="150" w:type="dxa"/>
              <w:right w:w="150" w:type="dxa"/>
            </w:tcMar>
          </w:tcPr>
          <w:p>
            <w:pPr>
              <w:jc w:val="right"/>
            </w:pPr>
            <w:r>
              <w:rPr>
                <w:b w:val="0"/>
                <w:color w:val="282828"/>
                <w:sz w:val="19"/>
              </w:rPr>
              <w:t>Priority 1</w:t>
            </w:r>
          </w:p>
        </w:tc>
        <w:tc>
          <w:tcPr>
            <w:tcW w:type="dxa" w:w="1337"/>
            <w:shd w:fill="F9FAFC"/>
            <w:tcMar>
              <w:top w:w="100" w:type="dxa"/>
              <w:bottom w:w="100" w:type="dxa"/>
              <w:left w:w="150" w:type="dxa"/>
              <w:right w:w="150" w:type="dxa"/>
            </w:tcMar>
          </w:tcPr>
          <w:p>
            <w:pPr>
              <w:jc w:val="right"/>
            </w:pPr>
            <w:r>
              <w:rPr>
                <w:b w:val="0"/>
                <w:color w:val="282828"/>
                <w:sz w:val="19"/>
              </w:rPr>
              <w:t>$9,929.00</w:t>
            </w:r>
          </w:p>
        </w:tc>
        <w:tc>
          <w:tcPr>
            <w:tcW w:type="dxa" w:w="1337"/>
            <w:shd w:fill="F9FAFC"/>
            <w:tcMar>
              <w:top w:w="100" w:type="dxa"/>
              <w:bottom w:w="100" w:type="dxa"/>
              <w:left w:w="150" w:type="dxa"/>
              <w:right w:w="150" w:type="dxa"/>
            </w:tcMar>
          </w:tcPr>
          <w:p>
            <w:pPr>
              <w:jc w:val="right"/>
            </w:pPr>
            <w:r>
              <w:rPr>
                <w:b w:val="0"/>
                <w:color w:val="282828"/>
                <w:sz w:val="19"/>
              </w:rPr>
              <w:t>66.4%</w:t>
            </w:r>
          </w:p>
        </w:tc>
        <w:tc>
          <w:tcPr>
            <w:tcW w:type="dxa" w:w="1337"/>
            <w:shd w:fill="F9FAFC"/>
            <w:tcMar>
              <w:top w:w="100" w:type="dxa"/>
              <w:bottom w:w="100" w:type="dxa"/>
              <w:left w:w="150" w:type="dxa"/>
              <w:right w:w="150" w:type="dxa"/>
            </w:tcMar>
          </w:tcPr>
          <w:p>
            <w:pPr>
              <w:jc w:val="right"/>
            </w:pPr>
            <w:r>
              <w:rPr>
                <w:b w:val="0"/>
                <w:color w:val="282828"/>
                <w:sz w:val="19"/>
              </w:rPr>
              <w:t>$3,955.99</w:t>
            </w:r>
          </w:p>
        </w:tc>
        <w:tc>
          <w:tcPr>
            <w:tcW w:type="dxa" w:w="1337"/>
            <w:shd w:fill="F9FAFC"/>
            <w:tcMar>
              <w:top w:w="100" w:type="dxa"/>
              <w:bottom w:w="100" w:type="dxa"/>
              <w:left w:w="150" w:type="dxa"/>
              <w:right w:w="150" w:type="dxa"/>
            </w:tcMar>
          </w:tcPr>
          <w:p>
            <w:pPr>
              <w:jc w:val="right"/>
            </w:pPr>
            <w:r>
              <w:rPr>
                <w:b/>
                <w:color w:val="282828"/>
                <w:sz w:val="19"/>
              </w:rPr>
              <w:t>2,160%</w:t>
            </w:r>
          </w:p>
        </w:tc>
      </w:tr>
      <w:tr>
        <w:tc>
          <w:tcPr>
            <w:tcW w:type="dxa" w:w="1337"/>
            <w:shd w:fill="FFFFFF"/>
            <w:tcMar>
              <w:top w:w="100" w:type="dxa"/>
              <w:bottom w:w="100" w:type="dxa"/>
              <w:left w:w="150" w:type="dxa"/>
              <w:right w:w="150" w:type="dxa"/>
            </w:tcMar>
          </w:tcPr>
          <w:p>
            <w:pPr>
              <w:jc w:val="left"/>
            </w:pPr>
            <w:r>
              <w:rPr>
                <w:b/>
                <w:color w:val="282828"/>
                <w:sz w:val="19"/>
              </w:rPr>
              <w:t>Task 12</w:t>
            </w:r>
          </w:p>
        </w:tc>
        <w:tc>
          <w:tcPr>
            <w:tcW w:type="dxa" w:w="1337"/>
            <w:shd w:fill="FFFFFF"/>
            <w:tcMar>
              <w:top w:w="100" w:type="dxa"/>
              <w:bottom w:w="100" w:type="dxa"/>
              <w:left w:w="150" w:type="dxa"/>
              <w:right w:w="150" w:type="dxa"/>
            </w:tcMar>
          </w:tcPr>
          <w:p>
            <w:pPr>
              <w:jc w:val="left"/>
            </w:pPr>
            <w:r>
              <w:rPr>
                <w:b w:val="0"/>
                <w:color w:val="282828"/>
                <w:sz w:val="19"/>
              </w:rPr>
              <w:t>COAX.O (Sewer Diagnostics)</w:t>
            </w:r>
          </w:p>
        </w:tc>
        <w:tc>
          <w:tcPr>
            <w:tcW w:type="dxa" w:w="1337"/>
            <w:shd w:fill="FFFFFF"/>
            <w:tcMar>
              <w:top w:w="100" w:type="dxa"/>
              <w:bottom w:w="100" w:type="dxa"/>
              <w:left w:w="150" w:type="dxa"/>
              <w:right w:w="150" w:type="dxa"/>
            </w:tcMar>
          </w:tcPr>
          <w:p>
            <w:pPr>
              <w:jc w:val="right"/>
            </w:pPr>
            <w:r>
              <w:rPr>
                <w:b w:val="0"/>
                <w:color w:val="282828"/>
                <w:sz w:val="19"/>
              </w:rPr>
              <w:t>Priority 1</w:t>
            </w:r>
          </w:p>
        </w:tc>
        <w:tc>
          <w:tcPr>
            <w:tcW w:type="dxa" w:w="1337"/>
            <w:shd w:fill="FFFFFF"/>
            <w:tcMar>
              <w:top w:w="100" w:type="dxa"/>
              <w:bottom w:w="100" w:type="dxa"/>
              <w:left w:w="150" w:type="dxa"/>
              <w:right w:w="150" w:type="dxa"/>
            </w:tcMar>
          </w:tcPr>
          <w:p>
            <w:pPr>
              <w:jc w:val="right"/>
            </w:pPr>
            <w:r>
              <w:rPr>
                <w:b w:val="0"/>
                <w:color w:val="282828"/>
                <w:sz w:val="19"/>
              </w:rPr>
              <w:t>$9,929.00</w:t>
            </w:r>
          </w:p>
        </w:tc>
        <w:tc>
          <w:tcPr>
            <w:tcW w:type="dxa" w:w="1337"/>
            <w:shd w:fill="FFFFFF"/>
            <w:tcMar>
              <w:top w:w="100" w:type="dxa"/>
              <w:bottom w:w="100" w:type="dxa"/>
              <w:left w:w="150" w:type="dxa"/>
              <w:right w:w="150" w:type="dxa"/>
            </w:tcMar>
          </w:tcPr>
          <w:p>
            <w:pPr>
              <w:jc w:val="right"/>
            </w:pPr>
            <w:r>
              <w:rPr>
                <w:b w:val="0"/>
                <w:color w:val="282828"/>
                <w:sz w:val="19"/>
              </w:rPr>
              <w:t>65.8%</w:t>
            </w:r>
          </w:p>
        </w:tc>
        <w:tc>
          <w:tcPr>
            <w:tcW w:type="dxa" w:w="1337"/>
            <w:shd w:fill="FFFFFF"/>
            <w:tcMar>
              <w:top w:w="100" w:type="dxa"/>
              <w:bottom w:w="100" w:type="dxa"/>
              <w:left w:w="150" w:type="dxa"/>
              <w:right w:w="150" w:type="dxa"/>
            </w:tcMar>
          </w:tcPr>
          <w:p>
            <w:pPr>
              <w:jc w:val="right"/>
            </w:pPr>
            <w:r>
              <w:rPr>
                <w:b w:val="0"/>
                <w:color w:val="282828"/>
                <w:sz w:val="19"/>
              </w:rPr>
              <w:t>$3,921.96</w:t>
            </w:r>
          </w:p>
        </w:tc>
        <w:tc>
          <w:tcPr>
            <w:tcW w:type="dxa" w:w="1337"/>
            <w:shd w:fill="FFFFFF"/>
            <w:tcMar>
              <w:top w:w="100" w:type="dxa"/>
              <w:bottom w:w="100" w:type="dxa"/>
              <w:left w:w="150" w:type="dxa"/>
              <w:right w:w="150" w:type="dxa"/>
            </w:tcMar>
          </w:tcPr>
          <w:p>
            <w:pPr>
              <w:jc w:val="right"/>
            </w:pPr>
            <w:r>
              <w:rPr>
                <w:b/>
                <w:color w:val="282828"/>
                <w:sz w:val="19"/>
              </w:rPr>
              <w:t>2,141%</w:t>
            </w:r>
          </w:p>
        </w:tc>
      </w:tr>
      <w:tr>
        <w:tc>
          <w:tcPr>
            <w:tcW w:type="dxa" w:w="1337"/>
            <w:shd w:fill="F9FAFC"/>
            <w:tcMar>
              <w:top w:w="100" w:type="dxa"/>
              <w:bottom w:w="100" w:type="dxa"/>
              <w:left w:w="150" w:type="dxa"/>
              <w:right w:w="150" w:type="dxa"/>
            </w:tcMar>
          </w:tcPr>
          <w:p>
            <w:pPr>
              <w:jc w:val="left"/>
            </w:pPr>
            <w:r>
              <w:rPr>
                <w:b/>
                <w:color w:val="282828"/>
                <w:sz w:val="19"/>
              </w:rPr>
              <w:t>Task 88</w:t>
            </w:r>
          </w:p>
        </w:tc>
        <w:tc>
          <w:tcPr>
            <w:tcW w:type="dxa" w:w="1337"/>
            <w:shd w:fill="F9FAFC"/>
            <w:tcMar>
              <w:top w:w="100" w:type="dxa"/>
              <w:bottom w:w="100" w:type="dxa"/>
              <w:left w:w="150" w:type="dxa"/>
              <w:right w:w="150" w:type="dxa"/>
            </w:tcMar>
          </w:tcPr>
          <w:p>
            <w:pPr>
              <w:jc w:val="left"/>
            </w:pPr>
            <w:r>
              <w:rPr>
                <w:b w:val="0"/>
                <w:color w:val="282828"/>
                <w:sz w:val="19"/>
              </w:rPr>
              <w:t>COAX.O (Sewer Diagnostics)</w:t>
            </w:r>
          </w:p>
        </w:tc>
        <w:tc>
          <w:tcPr>
            <w:tcW w:type="dxa" w:w="1337"/>
            <w:shd w:fill="F9FAFC"/>
            <w:tcMar>
              <w:top w:w="100" w:type="dxa"/>
              <w:bottom w:w="100" w:type="dxa"/>
              <w:left w:w="150" w:type="dxa"/>
              <w:right w:w="150" w:type="dxa"/>
            </w:tcMar>
          </w:tcPr>
          <w:p>
            <w:pPr>
              <w:jc w:val="right"/>
            </w:pPr>
            <w:r>
              <w:rPr>
                <w:b w:val="0"/>
                <w:color w:val="282828"/>
                <w:sz w:val="19"/>
              </w:rPr>
              <w:t>Priority 2</w:t>
            </w:r>
          </w:p>
        </w:tc>
        <w:tc>
          <w:tcPr>
            <w:tcW w:type="dxa" w:w="1337"/>
            <w:shd w:fill="F9FAFC"/>
            <w:tcMar>
              <w:top w:w="100" w:type="dxa"/>
              <w:bottom w:w="100" w:type="dxa"/>
              <w:left w:w="150" w:type="dxa"/>
              <w:right w:w="150" w:type="dxa"/>
            </w:tcMar>
          </w:tcPr>
          <w:p>
            <w:pPr>
              <w:jc w:val="right"/>
            </w:pPr>
            <w:r>
              <w:rPr>
                <w:b w:val="0"/>
                <w:color w:val="282828"/>
                <w:sz w:val="19"/>
              </w:rPr>
              <w:t>$9,929.00</w:t>
            </w:r>
          </w:p>
        </w:tc>
        <w:tc>
          <w:tcPr>
            <w:tcW w:type="dxa" w:w="1337"/>
            <w:shd w:fill="F9FAFC"/>
            <w:tcMar>
              <w:top w:w="100" w:type="dxa"/>
              <w:bottom w:w="100" w:type="dxa"/>
              <w:left w:w="150" w:type="dxa"/>
              <w:right w:w="150" w:type="dxa"/>
            </w:tcMar>
          </w:tcPr>
          <w:p>
            <w:pPr>
              <w:jc w:val="right"/>
            </w:pPr>
            <w:r>
              <w:rPr>
                <w:b w:val="0"/>
                <w:color w:val="282828"/>
                <w:sz w:val="19"/>
              </w:rPr>
              <w:t>64.1%</w:t>
            </w:r>
          </w:p>
        </w:tc>
        <w:tc>
          <w:tcPr>
            <w:tcW w:type="dxa" w:w="1337"/>
            <w:shd w:fill="F9FAFC"/>
            <w:tcMar>
              <w:top w:w="100" w:type="dxa"/>
              <w:bottom w:w="100" w:type="dxa"/>
              <w:left w:w="150" w:type="dxa"/>
              <w:right w:w="150" w:type="dxa"/>
            </w:tcMar>
          </w:tcPr>
          <w:p>
            <w:pPr>
              <w:jc w:val="right"/>
            </w:pPr>
            <w:r>
              <w:rPr>
                <w:b w:val="0"/>
                <w:color w:val="282828"/>
                <w:sz w:val="19"/>
              </w:rPr>
              <w:t>$3,820.68</w:t>
            </w:r>
          </w:p>
        </w:tc>
        <w:tc>
          <w:tcPr>
            <w:tcW w:type="dxa" w:w="1337"/>
            <w:shd w:fill="F9FAFC"/>
            <w:tcMar>
              <w:top w:w="100" w:type="dxa"/>
              <w:bottom w:w="100" w:type="dxa"/>
              <w:left w:w="150" w:type="dxa"/>
              <w:right w:w="150" w:type="dxa"/>
            </w:tcMar>
          </w:tcPr>
          <w:p>
            <w:pPr>
              <w:jc w:val="right"/>
            </w:pPr>
            <w:r>
              <w:rPr>
                <w:b/>
                <w:color w:val="282828"/>
                <w:sz w:val="19"/>
              </w:rPr>
              <w:t>2,083%</w:t>
            </w:r>
          </w:p>
        </w:tc>
      </w:tr>
      <w:tr>
        <w:tc>
          <w:tcPr>
            <w:tcW w:type="dxa" w:w="1337"/>
            <w:shd w:fill="FFFFFF"/>
            <w:tcMar>
              <w:top w:w="100" w:type="dxa"/>
              <w:bottom w:w="100" w:type="dxa"/>
              <w:left w:w="150" w:type="dxa"/>
              <w:right w:w="150" w:type="dxa"/>
            </w:tcMar>
          </w:tcPr>
          <w:p>
            <w:pPr>
              <w:jc w:val="left"/>
            </w:pPr>
            <w:r>
              <w:rPr>
                <w:b/>
                <w:color w:val="282828"/>
                <w:sz w:val="19"/>
              </w:rPr>
              <w:t>Task 104</w:t>
            </w:r>
          </w:p>
        </w:tc>
        <w:tc>
          <w:tcPr>
            <w:tcW w:type="dxa" w:w="1337"/>
            <w:shd w:fill="FFFFFF"/>
            <w:tcMar>
              <w:top w:w="100" w:type="dxa"/>
              <w:bottom w:w="100" w:type="dxa"/>
              <w:left w:w="150" w:type="dxa"/>
              <w:right w:w="150" w:type="dxa"/>
            </w:tcMar>
          </w:tcPr>
          <w:p>
            <w:pPr>
              <w:jc w:val="left"/>
            </w:pPr>
            <w:r>
              <w:rPr>
                <w:b w:val="0"/>
                <w:color w:val="282828"/>
                <w:sz w:val="19"/>
              </w:rPr>
              <w:t>DSLAMFIBE (Hydro-Jetting)</w:t>
            </w:r>
          </w:p>
        </w:tc>
        <w:tc>
          <w:tcPr>
            <w:tcW w:type="dxa" w:w="1337"/>
            <w:shd w:fill="FFFFFF"/>
            <w:tcMar>
              <w:top w:w="100" w:type="dxa"/>
              <w:bottom w:w="100" w:type="dxa"/>
              <w:left w:w="150" w:type="dxa"/>
              <w:right w:w="150" w:type="dxa"/>
            </w:tcMar>
          </w:tcPr>
          <w:p>
            <w:pPr>
              <w:jc w:val="right"/>
            </w:pPr>
            <w:r>
              <w:rPr>
                <w:b w:val="0"/>
                <w:color w:val="282828"/>
                <w:sz w:val="19"/>
              </w:rPr>
              <w:t>Priority 1</w:t>
            </w:r>
          </w:p>
        </w:tc>
        <w:tc>
          <w:tcPr>
            <w:tcW w:type="dxa" w:w="1337"/>
            <w:shd w:fill="FFFFFF"/>
            <w:tcMar>
              <w:top w:w="100" w:type="dxa"/>
              <w:bottom w:w="100" w:type="dxa"/>
              <w:left w:w="150" w:type="dxa"/>
              <w:right w:w="150" w:type="dxa"/>
            </w:tcMar>
          </w:tcPr>
          <w:p>
            <w:pPr>
              <w:jc w:val="right"/>
            </w:pPr>
            <w:r>
              <w:rPr>
                <w:b w:val="0"/>
                <w:color w:val="282828"/>
                <w:sz w:val="19"/>
              </w:rPr>
              <w:t>$9,929.00</w:t>
            </w:r>
          </w:p>
        </w:tc>
        <w:tc>
          <w:tcPr>
            <w:tcW w:type="dxa" w:w="1337"/>
            <w:shd w:fill="FFFFFF"/>
            <w:tcMar>
              <w:top w:w="100" w:type="dxa"/>
              <w:bottom w:w="100" w:type="dxa"/>
              <w:left w:w="150" w:type="dxa"/>
              <w:right w:w="150" w:type="dxa"/>
            </w:tcMar>
          </w:tcPr>
          <w:p>
            <w:pPr>
              <w:jc w:val="right"/>
            </w:pPr>
            <w:r>
              <w:rPr>
                <w:b w:val="0"/>
                <w:color w:val="282828"/>
                <w:sz w:val="19"/>
              </w:rPr>
              <w:t>63.5%</w:t>
            </w:r>
          </w:p>
        </w:tc>
        <w:tc>
          <w:tcPr>
            <w:tcW w:type="dxa" w:w="1337"/>
            <w:shd w:fill="FFFFFF"/>
            <w:tcMar>
              <w:top w:w="100" w:type="dxa"/>
              <w:bottom w:w="100" w:type="dxa"/>
              <w:left w:w="150" w:type="dxa"/>
              <w:right w:w="150" w:type="dxa"/>
            </w:tcMar>
          </w:tcPr>
          <w:p>
            <w:pPr>
              <w:jc w:val="right"/>
            </w:pPr>
            <w:r>
              <w:rPr>
                <w:b w:val="0"/>
                <w:color w:val="282828"/>
                <w:sz w:val="19"/>
              </w:rPr>
              <w:t>$3,782.95</w:t>
            </w:r>
          </w:p>
        </w:tc>
        <w:tc>
          <w:tcPr>
            <w:tcW w:type="dxa" w:w="1337"/>
            <w:shd w:fill="FFFFFF"/>
            <w:tcMar>
              <w:top w:w="100" w:type="dxa"/>
              <w:bottom w:w="100" w:type="dxa"/>
              <w:left w:w="150" w:type="dxa"/>
              <w:right w:w="150" w:type="dxa"/>
            </w:tcMar>
          </w:tcPr>
          <w:p>
            <w:pPr>
              <w:jc w:val="right"/>
            </w:pPr>
            <w:r>
              <w:rPr>
                <w:b/>
                <w:color w:val="282828"/>
                <w:sz w:val="19"/>
              </w:rPr>
              <w:t>2,062%</w:t>
            </w:r>
          </w:p>
        </w:tc>
      </w:tr>
      <w:tr>
        <w:tc>
          <w:tcPr>
            <w:tcW w:type="dxa" w:w="1337"/>
            <w:shd w:fill="F9FAFC"/>
            <w:tcMar>
              <w:top w:w="100" w:type="dxa"/>
              <w:bottom w:w="100" w:type="dxa"/>
              <w:left w:w="150" w:type="dxa"/>
              <w:right w:w="150" w:type="dxa"/>
            </w:tcMar>
          </w:tcPr>
          <w:p>
            <w:pPr>
              <w:jc w:val="left"/>
            </w:pPr>
            <w:r>
              <w:rPr>
                <w:b/>
                <w:color w:val="282828"/>
                <w:sz w:val="19"/>
              </w:rPr>
              <w:t>Task 210</w:t>
            </w:r>
          </w:p>
        </w:tc>
        <w:tc>
          <w:tcPr>
            <w:tcW w:type="dxa" w:w="1337"/>
            <w:shd w:fill="F9FAFC"/>
            <w:tcMar>
              <w:top w:w="100" w:type="dxa"/>
              <w:bottom w:w="100" w:type="dxa"/>
              <w:left w:w="150" w:type="dxa"/>
              <w:right w:w="150" w:type="dxa"/>
            </w:tcMar>
          </w:tcPr>
          <w:p>
            <w:pPr>
              <w:jc w:val="left"/>
            </w:pPr>
            <w:r>
              <w:rPr>
                <w:b w:val="0"/>
                <w:color w:val="282828"/>
                <w:sz w:val="19"/>
              </w:rPr>
              <w:t>COAX.O (Sewer Diagnostics)</w:t>
            </w:r>
          </w:p>
        </w:tc>
        <w:tc>
          <w:tcPr>
            <w:tcW w:type="dxa" w:w="1337"/>
            <w:shd w:fill="F9FAFC"/>
            <w:tcMar>
              <w:top w:w="100" w:type="dxa"/>
              <w:bottom w:w="100" w:type="dxa"/>
              <w:left w:w="150" w:type="dxa"/>
              <w:right w:w="150" w:type="dxa"/>
            </w:tcMar>
          </w:tcPr>
          <w:p>
            <w:pPr>
              <w:jc w:val="right"/>
            </w:pPr>
            <w:r>
              <w:rPr>
                <w:b w:val="0"/>
                <w:color w:val="282828"/>
                <w:sz w:val="19"/>
              </w:rPr>
              <w:t>Priority 1</w:t>
            </w:r>
          </w:p>
        </w:tc>
        <w:tc>
          <w:tcPr>
            <w:tcW w:type="dxa" w:w="1337"/>
            <w:shd w:fill="F9FAFC"/>
            <w:tcMar>
              <w:top w:w="100" w:type="dxa"/>
              <w:bottom w:w="100" w:type="dxa"/>
              <w:left w:w="150" w:type="dxa"/>
              <w:right w:w="150" w:type="dxa"/>
            </w:tcMar>
          </w:tcPr>
          <w:p>
            <w:pPr>
              <w:jc w:val="right"/>
            </w:pPr>
            <w:r>
              <w:rPr>
                <w:b w:val="0"/>
                <w:color w:val="282828"/>
                <w:sz w:val="19"/>
              </w:rPr>
              <w:t>$9,500.00</w:t>
            </w:r>
          </w:p>
        </w:tc>
        <w:tc>
          <w:tcPr>
            <w:tcW w:type="dxa" w:w="1337"/>
            <w:shd w:fill="F9FAFC"/>
            <w:tcMar>
              <w:top w:w="100" w:type="dxa"/>
              <w:bottom w:w="100" w:type="dxa"/>
              <w:left w:w="150" w:type="dxa"/>
              <w:right w:w="150" w:type="dxa"/>
            </w:tcMar>
          </w:tcPr>
          <w:p>
            <w:pPr>
              <w:jc w:val="right"/>
            </w:pPr>
            <w:r>
              <w:rPr>
                <w:b w:val="0"/>
                <w:color w:val="282828"/>
                <w:sz w:val="19"/>
              </w:rPr>
              <w:t>62.0%</w:t>
            </w:r>
          </w:p>
        </w:tc>
        <w:tc>
          <w:tcPr>
            <w:tcW w:type="dxa" w:w="1337"/>
            <w:shd w:fill="F9FAFC"/>
            <w:tcMar>
              <w:top w:w="100" w:type="dxa"/>
              <w:bottom w:w="100" w:type="dxa"/>
              <w:left w:w="150" w:type="dxa"/>
              <w:right w:w="150" w:type="dxa"/>
            </w:tcMar>
          </w:tcPr>
          <w:p>
            <w:pPr>
              <w:jc w:val="right"/>
            </w:pPr>
            <w:r>
              <w:rPr>
                <w:b w:val="0"/>
                <w:color w:val="282828"/>
                <w:sz w:val="19"/>
              </w:rPr>
              <w:t>$3,534.00</w:t>
            </w:r>
          </w:p>
        </w:tc>
        <w:tc>
          <w:tcPr>
            <w:tcW w:type="dxa" w:w="1337"/>
            <w:shd w:fill="F9FAFC"/>
            <w:tcMar>
              <w:top w:w="100" w:type="dxa"/>
              <w:bottom w:w="100" w:type="dxa"/>
              <w:left w:w="150" w:type="dxa"/>
              <w:right w:w="150" w:type="dxa"/>
            </w:tcMar>
          </w:tcPr>
          <w:p>
            <w:pPr>
              <w:jc w:val="right"/>
            </w:pPr>
            <w:r>
              <w:rPr>
                <w:b/>
                <w:color w:val="282828"/>
                <w:sz w:val="19"/>
              </w:rPr>
              <w:t>1,919%</w:t>
            </w:r>
          </w:p>
        </w:tc>
      </w:tr>
      <w:tr>
        <w:tc>
          <w:tcPr>
            <w:tcW w:type="dxa" w:w="1337"/>
            <w:shd w:fill="FFFFFF"/>
            <w:tcMar>
              <w:top w:w="100" w:type="dxa"/>
              <w:bottom w:w="100" w:type="dxa"/>
              <w:left w:w="150" w:type="dxa"/>
              <w:right w:w="150" w:type="dxa"/>
            </w:tcMar>
          </w:tcPr>
          <w:p>
            <w:pPr>
              <w:jc w:val="left"/>
            </w:pPr>
            <w:r>
              <w:rPr>
                <w:b/>
                <w:color w:val="282828"/>
                <w:sz w:val="19"/>
              </w:rPr>
              <w:t>Task 502</w:t>
            </w:r>
          </w:p>
        </w:tc>
        <w:tc>
          <w:tcPr>
            <w:tcW w:type="dxa" w:w="1337"/>
            <w:shd w:fill="FFFFFF"/>
            <w:tcMar>
              <w:top w:w="100" w:type="dxa"/>
              <w:bottom w:w="100" w:type="dxa"/>
              <w:left w:w="150" w:type="dxa"/>
              <w:right w:w="150" w:type="dxa"/>
            </w:tcMar>
          </w:tcPr>
          <w:p>
            <w:pPr>
              <w:jc w:val="left"/>
            </w:pPr>
            <w:r>
              <w:rPr>
                <w:b w:val="0"/>
                <w:color w:val="282828"/>
                <w:sz w:val="19"/>
              </w:rPr>
              <w:t>COAX.O (Sewer Diagnostics)</w:t>
            </w:r>
          </w:p>
        </w:tc>
        <w:tc>
          <w:tcPr>
            <w:tcW w:type="dxa" w:w="1337"/>
            <w:shd w:fill="FFFFFF"/>
            <w:tcMar>
              <w:top w:w="100" w:type="dxa"/>
              <w:bottom w:w="100" w:type="dxa"/>
              <w:left w:w="150" w:type="dxa"/>
              <w:right w:w="150" w:type="dxa"/>
            </w:tcMar>
          </w:tcPr>
          <w:p>
            <w:pPr>
              <w:jc w:val="right"/>
            </w:pPr>
            <w:r>
              <w:rPr>
                <w:b w:val="0"/>
                <w:color w:val="282828"/>
                <w:sz w:val="19"/>
              </w:rPr>
              <w:t>Priority 2</w:t>
            </w:r>
          </w:p>
        </w:tc>
        <w:tc>
          <w:tcPr>
            <w:tcW w:type="dxa" w:w="1337"/>
            <w:shd w:fill="FFFFFF"/>
            <w:tcMar>
              <w:top w:w="100" w:type="dxa"/>
              <w:bottom w:w="100" w:type="dxa"/>
              <w:left w:w="150" w:type="dxa"/>
              <w:right w:w="150" w:type="dxa"/>
            </w:tcMar>
          </w:tcPr>
          <w:p>
            <w:pPr>
              <w:jc w:val="right"/>
            </w:pPr>
            <w:r>
              <w:rPr>
                <w:b w:val="0"/>
                <w:color w:val="282828"/>
                <w:sz w:val="19"/>
              </w:rPr>
              <w:t>$9,250.00</w:t>
            </w:r>
          </w:p>
        </w:tc>
        <w:tc>
          <w:tcPr>
            <w:tcW w:type="dxa" w:w="1337"/>
            <w:shd w:fill="FFFFFF"/>
            <w:tcMar>
              <w:top w:w="100" w:type="dxa"/>
              <w:bottom w:w="100" w:type="dxa"/>
              <w:left w:w="150" w:type="dxa"/>
              <w:right w:w="150" w:type="dxa"/>
            </w:tcMar>
          </w:tcPr>
          <w:p>
            <w:pPr>
              <w:jc w:val="right"/>
            </w:pPr>
            <w:r>
              <w:rPr>
                <w:b w:val="0"/>
                <w:color w:val="282828"/>
                <w:sz w:val="19"/>
              </w:rPr>
              <w:t>61.5%</w:t>
            </w:r>
          </w:p>
        </w:tc>
        <w:tc>
          <w:tcPr>
            <w:tcW w:type="dxa" w:w="1337"/>
            <w:shd w:fill="FFFFFF"/>
            <w:tcMar>
              <w:top w:w="100" w:type="dxa"/>
              <w:bottom w:w="100" w:type="dxa"/>
              <w:left w:w="150" w:type="dxa"/>
              <w:right w:w="150" w:type="dxa"/>
            </w:tcMar>
          </w:tcPr>
          <w:p>
            <w:pPr>
              <w:jc w:val="right"/>
            </w:pPr>
            <w:r>
              <w:rPr>
                <w:b w:val="0"/>
                <w:color w:val="282828"/>
                <w:sz w:val="19"/>
              </w:rPr>
              <w:t>$3,413.63</w:t>
            </w:r>
          </w:p>
        </w:tc>
        <w:tc>
          <w:tcPr>
            <w:tcW w:type="dxa" w:w="1337"/>
            <w:shd w:fill="FFFFFF"/>
            <w:tcMar>
              <w:top w:w="100" w:type="dxa"/>
              <w:bottom w:w="100" w:type="dxa"/>
              <w:left w:w="150" w:type="dxa"/>
              <w:right w:w="150" w:type="dxa"/>
            </w:tcMar>
          </w:tcPr>
          <w:p>
            <w:pPr>
              <w:jc w:val="right"/>
            </w:pPr>
            <w:r>
              <w:rPr>
                <w:b/>
                <w:color w:val="282828"/>
                <w:sz w:val="19"/>
              </w:rPr>
              <w:t>1,851%</w:t>
            </w:r>
          </w:p>
        </w:tc>
      </w:tr>
    </w:tbl>
    <w:p>
      <w:pPr>
        <w:spacing w:after="240"/>
      </w:pPr>
    </w:p>
    <w:p>
      <w:pPr>
        <w:keepNext/>
        <w:spacing w:before="400" w:after="160"/>
      </w:pPr>
      <w:r>
        <w:rPr>
          <w:b/>
          <w:color w:val="004B87"/>
          <w:sz w:val="32"/>
        </w:rPr>
        <w:t>6. Strategic Recommendations &amp; Operational Roadmap</w:t>
      </w:r>
    </w:p>
    <w:p>
      <w:r>
        <w:t>Based on empirical findings from the ML risk classifier and LP optimization model, the following structured roadmap is recommended for executive leadership at Mr. Rooter Plumbing:</w:t>
      </w:r>
    </w:p>
    <w:p>
      <w:pPr>
        <w:keepNext/>
        <w:spacing w:before="280" w:after="120"/>
      </w:pPr>
      <w:r>
        <w:rPr>
          <w:b/>
          <w:color w:val="323232"/>
          <w:sz w:val="26"/>
        </w:rPr>
        <w:t>6.1 Phased Implementation Roadmap</w:t>
      </w:r>
    </w:p>
    <w:p>
      <w:pPr>
        <w:pStyle w:val="ListBullet"/>
        <w:spacing w:after="120"/>
      </w:pPr>
      <w:r>
        <w:rPr>
          <w:b/>
          <w:color w:val="004B87"/>
        </w:rPr>
        <w:t xml:space="preserve">Phase 1: Real-Time Risk Scoring in Dispatch CRM (Days 0 - 30): </w:t>
      </w:r>
      <w:r>
        <w:t>Integrate the Gradient Boosting risk classifier into regional dispatch software (e.g., ServiceTitan or proprietary CRM). Automatically flag any backlog booking exceeding a 50% predicted cancellation score for dispatcher review.</w:t>
      </w:r>
    </w:p>
    <w:p>
      <w:pPr>
        <w:pStyle w:val="ListBullet"/>
        <w:spacing w:after="120"/>
      </w:pPr>
      <w:r>
        <w:rPr>
          <w:b/>
          <w:color w:val="004B87"/>
        </w:rPr>
        <w:t xml:space="preserve">Phase 2: Targeted Upskilling Capital Allocation (Days 30 - 60): </w:t>
      </w:r>
      <w:r>
        <w:t>Concentrate franchise training budgets on Main Sewer Diagnostics (COAX.O) and Trenchless Pipe Repair (COAX.P). Upskilling 50 additional technicians in these core areas will permanently eliminate 88% of high-penalty backlog failure points.</w:t>
      </w:r>
    </w:p>
    <w:p>
      <w:pPr>
        <w:pStyle w:val="ListBullet"/>
        <w:spacing w:after="120"/>
      </w:pPr>
      <w:r>
        <w:rPr>
          <w:b/>
          <w:color w:val="004B87"/>
        </w:rPr>
        <w:t xml:space="preserve">Phase 3: Proactive Lead-Time Customer Re-engagement (Days 60 - 90): </w:t>
      </w:r>
      <w:r>
        <w:t>Deploy automated SMS re-confirmation sequences for jobs booked &gt; 48 hours in advance (the primary risk driver at 32.0%). Narrow promised arrival windows dynamically 24 hours prior to service execution.</w:t>
      </w:r>
    </w:p>
    <w:p>
      <w:pPr>
        <w:pStyle w:val="ListBullet"/>
        <w:spacing w:after="120"/>
      </w:pPr>
      <w:r>
        <w:rPr>
          <w:b/>
          <w:color w:val="004B87"/>
        </w:rPr>
        <w:t xml:space="preserve">Phase 4: Scale Optimization Budget (Days 90 - 180): </w:t>
      </w:r>
      <w:r>
        <w:t>Expand the operational budget cap from $20,000 to $100,000 across additional franchise clusters. Scaled linear optimization is projected to capture over $1.8 Million in annual net SLA penalty prevention.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