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540"/>
      </w:tblGrid>
      <w:tr>
        <w:tc>
          <w:tcPr>
            <w:tcW w:type="dxa" w:w="10540"/>
            <w:shd w:fill="b2ceaa"/>
          </w:tcPr>
          <w:p/>
          <w:p>
            <w:pPr>
              <w:spacing w:before="0" w:after="0" w:line="270" w:lineRule="auto"/>
              <w:jc w:val="center"/>
            </w:pPr>
            <w:r>
              <w:rPr>
                <w:sz w:val="22"/>
              </w:rPr>
              <w:t>MBP-1</w:t>
            </w:r>
            <w:r>
              <w:rPr>
                <w:b/>
                <w:sz w:val="22"/>
              </w:rPr>
              <w:br/>
              <w:t>Notice of interest by director</w:t>
            </w:r>
            <w:r>
              <w:rPr>
                <w:sz w:val="22"/>
              </w:rPr>
              <w:br/>
              <w:t>[Pursuant to section 184 (1) and rule 9(1)]</w:t>
            </w:r>
          </w:p>
        </w:tc>
      </w:tr>
    </w:tbl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entury Gothic" w:hAnsi="Century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