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280B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</w:rPr>
      </w:pPr>
      <w:r>
        <w:rPr>
          <w:rFonts w:hint="eastAsia"/>
        </w:rPr>
        <w:t>面向材料科学的智能平台 — 需求分析报告</w:t>
      </w:r>
    </w:p>
    <w:p w14:paraId="7DEA6190">
      <w:pPr>
        <w:rPr>
          <w:rFonts w:hint="eastAsia"/>
        </w:rPr>
      </w:pPr>
    </w:p>
    <w:p w14:paraId="62E72BD6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</w:rPr>
        <w:t>摘要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本报告针对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>面向材料科学的智能平台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>工程实践项目，在调研材料科研数据管理现状的基础上，分析用户诉求与业务痛点，从技术、经济、操作、进度四个维度论证项目可行性，并系统梳理功能需求、非功能需求、数据需求及接口集成需求。项目采用四人分工的前后端分离架构，集成分子/材料/文献数据管理、XRD 谱学可视化工具与 AI Agent 智能问答能力。</w:t>
      </w:r>
    </w:p>
    <w:p w14:paraId="1675DD16">
      <w:pPr>
        <w:bidi w:val="0"/>
        <w:rPr>
          <w:rFonts w:hint="eastAsia"/>
          <w:lang w:eastAsia="zh-CN"/>
        </w:rPr>
      </w:pPr>
    </w:p>
    <w:p w14:paraId="61C17095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关键词：</w:t>
      </w:r>
      <w:r>
        <w:rPr>
          <w:rFonts w:hint="eastAsia"/>
          <w:lang w:eastAsia="zh-CN"/>
        </w:rPr>
        <w:t>材料科学；数据可视化；XRD；前后端分离；RAG；需求分析</w:t>
      </w:r>
      <w:bookmarkStart w:id="0" w:name="_GoBack"/>
      <w:bookmarkEnd w:id="0"/>
    </w:p>
    <w:p w14:paraId="309B88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2C5299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48A0FF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引言</w:t>
      </w:r>
    </w:p>
    <w:p w14:paraId="7E60C2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现状与问题分析</w:t>
      </w:r>
    </w:p>
    <w:p w14:paraId="7AD053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目标用户与利益相关者分析</w:t>
      </w:r>
    </w:p>
    <w:p w14:paraId="1B16C2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可行性分析</w:t>
      </w:r>
    </w:p>
    <w:p w14:paraId="6E5122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业务需求分析</w:t>
      </w:r>
    </w:p>
    <w:p w14:paraId="16DC01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功能需求分析</w:t>
      </w:r>
    </w:p>
    <w:p w14:paraId="3FF855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非功能需求分析</w:t>
      </w:r>
    </w:p>
    <w:p w14:paraId="211466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数据需求分析</w:t>
      </w:r>
    </w:p>
    <w:p w14:paraId="6EB48E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接口与系统集成需求</w:t>
      </w:r>
    </w:p>
    <w:p w14:paraId="7779D4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约束条件与基本假设</w:t>
      </w:r>
    </w:p>
    <w:p w14:paraId="759F37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风险分析与应对措施</w:t>
      </w:r>
    </w:p>
    <w:p w14:paraId="2E0F55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需求优先级</w:t>
      </w:r>
    </w:p>
    <w:p w14:paraId="406C60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结论</w:t>
      </w:r>
    </w:p>
    <w:p w14:paraId="6136C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1C16B6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引言</w:t>
      </w:r>
    </w:p>
    <w:p w14:paraId="49E7D00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0A765A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本报告是工程实践项目的需求分析阶段核心文档，旨在：</w:t>
      </w:r>
    </w:p>
    <w:p w14:paraId="384AF70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明确项目建设的背景、动因与目标边界；</w:t>
      </w:r>
    </w:p>
    <w:p w14:paraId="72D590A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分析目标用户特征与核心业务场景；</w:t>
      </w:r>
    </w:p>
    <w:p w14:paraId="32016C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论证项目在技术、资源、周期等方面的可行性；</w:t>
      </w:r>
    </w:p>
    <w:p w14:paraId="572505E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为后续系统设计、编码实现、测试验收提供需求基线；</w:t>
      </w:r>
    </w:p>
    <w:p w14:paraId="1F52B0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作为四人团队协作的统一需求参照，减少理解偏差。</w:t>
      </w:r>
    </w:p>
    <w:p w14:paraId="03A6DA3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3FF2FA5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传统的材料与化学数据处理主要依赖表格、脚本及分散的学术数据库，存在以下普遍问题：</w:t>
      </w:r>
    </w:p>
    <w:p w14:paraId="0997520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数据孤岛：分子结构、材料物性、谱学数据（XRD 等）、文献信息分散存储，难以关联分析；</w:t>
      </w:r>
    </w:p>
    <w:p w14:paraId="7FC5BB6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可视化不足：抽象数值难以转化为直观图谱，不利于揭示微观结构与宏观性能的关联；</w:t>
      </w:r>
    </w:p>
    <w:p w14:paraId="18B212C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检索效率低：缺乏面向材料科学场景的统一检索与相似性分析入口；</w:t>
      </w:r>
    </w:p>
    <w:p w14:paraId="355A6CF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智能化程度低：研究人员难以快速获得针对化学术语、结构式、反应方程式的智能答疑。</w:t>
      </w:r>
    </w:p>
    <w:p w14:paraId="6426C03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在此背景下，团队依托已有算法研究成果（含顶级期刊论文支撑），建设一个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面向材料科学领域的交互式可视化 Web 平台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，将数据管理、科学分析工具、可视化展示与 AI 智能问答集成于一体，推动材料研发过程的数字化与智能化。</w:t>
      </w:r>
    </w:p>
    <w:p w14:paraId="244F047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项目定位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6343"/>
      </w:tblGrid>
      <w:tr w14:paraId="7608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2C69808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维度</w:t>
            </w:r>
          </w:p>
        </w:tc>
        <w:tc>
          <w:tcPr>
            <w:tcW w:w="6343" w:type="dxa"/>
          </w:tcPr>
          <w:p w14:paraId="46BB82E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C39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585FB2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项目性质</w:t>
            </w:r>
          </w:p>
        </w:tc>
        <w:tc>
          <w:tcPr>
            <w:tcW w:w="6343" w:type="dxa"/>
          </w:tcPr>
          <w:p w14:paraId="16105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工程实践型 — 侧重平台落地与系统集成 </w:t>
            </w:r>
          </w:p>
        </w:tc>
      </w:tr>
      <w:tr w14:paraId="5C4E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3D2122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6343" w:type="dxa"/>
          </w:tcPr>
          <w:p w14:paraId="610214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PIChemData（精准化学数据平台）</w:t>
            </w:r>
          </w:p>
        </w:tc>
      </w:tr>
      <w:tr w14:paraId="43B3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1C7910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架构模式</w:t>
            </w:r>
          </w:p>
        </w:tc>
        <w:tc>
          <w:tcPr>
            <w:tcW w:w="6343" w:type="dxa"/>
          </w:tcPr>
          <w:p w14:paraId="4DC15D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前后端分离 + 独立 AI Agent 服务</w:t>
            </w:r>
          </w:p>
        </w:tc>
      </w:tr>
      <w:tr w14:paraId="365D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70F421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团队规模</w:t>
            </w:r>
          </w:p>
        </w:tc>
        <w:tc>
          <w:tcPr>
            <w:tcW w:w="6343" w:type="dxa"/>
          </w:tcPr>
          <w:p w14:paraId="441384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 人（前端、后端、AI Agent、测试/运维/文档）</w:t>
            </w:r>
          </w:p>
        </w:tc>
      </w:tr>
      <w:tr w14:paraId="35E2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4B1063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预期成果</w:t>
            </w:r>
          </w:p>
        </w:tc>
        <w:tc>
          <w:tcPr>
            <w:tcW w:w="6343" w:type="dxa"/>
          </w:tcPr>
          <w:p w14:paraId="3B33CF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可运行的 Web 平台 + 完整项目文档 + 答辩演示</w:t>
            </w:r>
          </w:p>
        </w:tc>
      </w:tr>
    </w:tbl>
    <w:p w14:paraId="57F453E3">
      <w:pPr>
        <w:rPr>
          <w:rFonts w:hint="default"/>
          <w:lang w:val="en-US" w:eastAsia="zh-CN"/>
        </w:rPr>
      </w:pPr>
    </w:p>
    <w:p w14:paraId="6D2A1E0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术语与缩略语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2"/>
        <w:gridCol w:w="6050"/>
      </w:tblGrid>
      <w:tr w14:paraId="4B38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72" w:type="dxa"/>
          </w:tcPr>
          <w:p w14:paraId="4A25D8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术语</w:t>
            </w:r>
          </w:p>
        </w:tc>
        <w:tc>
          <w:tcPr>
            <w:tcW w:w="6050" w:type="dxa"/>
          </w:tcPr>
          <w:p w14:paraId="1BA31E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BF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14C68F7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XRD</w:t>
            </w:r>
          </w:p>
        </w:tc>
        <w:tc>
          <w:tcPr>
            <w:tcW w:w="6050" w:type="dxa"/>
          </w:tcPr>
          <w:p w14:paraId="7B88C8B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 射线衍射（X-Ray Diffraction），材料结构表征手段</w:t>
            </w:r>
          </w:p>
        </w:tc>
      </w:tr>
      <w:tr w14:paraId="0B1A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0927EC1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SMILES</w:t>
            </w:r>
          </w:p>
        </w:tc>
        <w:tc>
          <w:tcPr>
            <w:tcW w:w="6050" w:type="dxa"/>
          </w:tcPr>
          <w:p w14:paraId="0BE48CA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简化分子线性输入规范，用于表示分子结构</w:t>
            </w:r>
          </w:p>
        </w:tc>
      </w:tr>
      <w:tr w14:paraId="4D64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57F9A87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INCHI/INCHIKEY</w:t>
            </w:r>
          </w:p>
        </w:tc>
        <w:tc>
          <w:tcPr>
            <w:tcW w:w="6050" w:type="dxa"/>
          </w:tcPr>
          <w:p w14:paraId="4670C4E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国际化合物标识及其哈希键</w:t>
            </w:r>
          </w:p>
        </w:tc>
      </w:tr>
      <w:tr w14:paraId="4068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3967CCA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RAG</w:t>
            </w:r>
          </w:p>
        </w:tc>
        <w:tc>
          <w:tcPr>
            <w:tcW w:w="6050" w:type="dxa"/>
          </w:tcPr>
          <w:p w14:paraId="61BC74F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检索增强生成（Retrieval-Augmented Generation）</w:t>
            </w:r>
          </w:p>
        </w:tc>
      </w:tr>
      <w:tr w14:paraId="7E82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5250414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MVP</w:t>
            </w:r>
          </w:p>
        </w:tc>
        <w:tc>
          <w:tcPr>
            <w:tcW w:w="6050" w:type="dxa"/>
          </w:tcPr>
          <w:p w14:paraId="142148D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最小可行产品（Minimum Viable Product）</w:t>
            </w:r>
          </w:p>
        </w:tc>
      </w:tr>
      <w:tr w14:paraId="4DF3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47EBF45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JWT</w:t>
            </w:r>
          </w:p>
        </w:tc>
        <w:tc>
          <w:tcPr>
            <w:tcW w:w="6050" w:type="dxa"/>
          </w:tcPr>
          <w:p w14:paraId="6EF0F0F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 Web Token，用于接口鉴权</w:t>
            </w:r>
          </w:p>
        </w:tc>
      </w:tr>
      <w:tr w14:paraId="6200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2" w:type="dxa"/>
          </w:tcPr>
          <w:p w14:paraId="2DC636B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PIChemData</w:t>
            </w:r>
          </w:p>
        </w:tc>
        <w:tc>
          <w:tcPr>
            <w:tcW w:w="6050" w:type="dxa"/>
          </w:tcPr>
          <w:p w14:paraId="6BB6878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Precision Chemistry Data Platform，本项目平台代号</w:t>
            </w:r>
          </w:p>
        </w:tc>
      </w:tr>
    </w:tbl>
    <w:p w14:paraId="3DA22FC3">
      <w:pPr>
        <w:bidi w:val="0"/>
        <w:rPr>
          <w:rFonts w:hint="default"/>
          <w:lang w:val="en-US" w:eastAsia="zh-CN"/>
        </w:rPr>
      </w:pPr>
    </w:p>
    <w:p w14:paraId="2F0ED1F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现状与问题分析</w:t>
      </w:r>
    </w:p>
    <w:p w14:paraId="1F21386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行业现状</w:t>
      </w:r>
    </w:p>
    <w:p w14:paraId="08714AD8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材料科学研究高度依赖多源异构数据：</w:t>
      </w:r>
    </w:p>
    <w:p w14:paraId="18669A55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分子数据：PubChem 等公共库提供 SMILES、InChI、物化性质，但缺少与课题组私有数据的统一整合；</w:t>
      </w:r>
    </w:p>
    <w:p w14:paraId="1B4FCB2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材料数据：晶体结构、能带、晶格常数等需与催化、集成应用场景关联展示；</w:t>
      </w:r>
    </w:p>
    <w:p w14:paraId="608CDBF8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谱学数据：XRD 等实验数据常以文本或 NumPy 数组形式存在，缺乏轻量级在线处理工具；</w:t>
      </w:r>
    </w:p>
    <w:p w14:paraId="260D2B28">
      <w:pPr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文献数据：DOI、摘要、关键词与实验数据之间缺乏一站式跳转。</w:t>
      </w:r>
    </w:p>
    <w:p w14:paraId="1603107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现有通用数据库平台功能庞大、学习成本高，难以满足课程/课题组级轻量、可定制、可演示的工程实践需求。</w:t>
      </w:r>
    </w:p>
    <w:p w14:paraId="12D6920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用户痛点归纳</w:t>
      </w:r>
    </w:p>
    <w:p w14:paraId="498A431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通过对材料科学典型工作流的调研，归纳核心痛点如下：</w:t>
      </w:r>
    </w:p>
    <w:p w14:paraId="033EE71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数据分散在文件、数据库与文献中，检索路径长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 研发效率低</w:t>
      </w:r>
      <w:r>
        <w:rPr>
          <w:rFonts w:hint="eastAsia"/>
          <w:lang w:val="en-US" w:eastAsia="zh-CN"/>
        </w:rPr>
        <w:t>。</w:t>
      </w:r>
    </w:p>
    <w:p w14:paraId="3B6348D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XRD 等谱学数据需本地脚本处理，难以即时可视化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分析反馈慢</w:t>
      </w:r>
      <w:r>
        <w:rPr>
          <w:rFonts w:hint="eastAsia"/>
          <w:lang w:val="en-US" w:eastAsia="zh-CN"/>
        </w:rPr>
        <w:t>。</w:t>
      </w:r>
    </w:p>
    <w:p w14:paraId="13CD7CB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分子/材料结构信息展示不直观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理解成本高</w:t>
      </w:r>
      <w:r>
        <w:rPr>
          <w:rFonts w:hint="eastAsia"/>
          <w:lang w:val="en-US" w:eastAsia="zh-CN"/>
        </w:rPr>
        <w:t>。</w:t>
      </w:r>
    </w:p>
    <w:p w14:paraId="38AA5D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缺少面向领域问题的智能问答入口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知识获取效率低</w:t>
      </w:r>
      <w:r>
        <w:rPr>
          <w:rFonts w:hint="eastAsia"/>
          <w:lang w:val="en-US" w:eastAsia="zh-CN"/>
        </w:rPr>
        <w:t>。</w:t>
      </w:r>
    </w:p>
    <w:p w14:paraId="4E7EF22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数据上传、权限、审计缺乏统一管理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数据治理困难</w:t>
      </w:r>
      <w:r>
        <w:rPr>
          <w:rFonts w:hint="eastAsia"/>
          <w:lang w:val="en-US" w:eastAsia="zh-CN"/>
        </w:rPr>
        <w:t>。</w:t>
      </w:r>
    </w:p>
    <w:p w14:paraId="4A26A9B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建设必要性</w:t>
      </w:r>
    </w:p>
    <w:p w14:paraId="5F3ADE0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本项目的建设必要性体现在：</w:t>
      </w:r>
    </w:p>
    <w:p w14:paraId="72B8D65F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科研支撑：将团队已有算法成果（如 XRD 处理）产品化，形成可复用工具；</w:t>
      </w:r>
    </w:p>
    <w:p w14:paraId="1235AA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教学演示：为工程实践与材料科学课程提供直观演示平台；</w:t>
      </w:r>
    </w:p>
    <w:p w14:paraId="472E28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技术综合：覆盖前端、后端、数据库、AI Agent 全栈能力培养；</w:t>
      </w:r>
    </w:p>
    <w:p w14:paraId="14628BD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可扩展性：预留分子开放 API、光谱数据、社区等扩展能力，支撑后续迭代。</w:t>
      </w:r>
    </w:p>
    <w:p w14:paraId="4431BAA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目标用户与利益相关者分析</w:t>
      </w:r>
    </w:p>
    <w:p w14:paraId="4F16BB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目标用户画像</w:t>
      </w:r>
    </w:p>
    <w:p w14:paraId="646A793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材料科学研究人员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6200"/>
      </w:tblGrid>
      <w:tr w14:paraId="6DE77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365FEBFB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属性</w:t>
            </w:r>
          </w:p>
        </w:tc>
        <w:tc>
          <w:tcPr>
            <w:tcW w:w="6200" w:type="dxa"/>
          </w:tcPr>
          <w:p w14:paraId="21E2A220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133B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42EAA4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6200" w:type="dxa"/>
          </w:tcPr>
          <w:p w14:paraId="09EB159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高校师生、科研工作者</w:t>
            </w:r>
          </w:p>
        </w:tc>
      </w:tr>
      <w:tr w14:paraId="36D1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1D35053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</w:t>
            </w:r>
          </w:p>
        </w:tc>
        <w:tc>
          <w:tcPr>
            <w:tcW w:w="6200" w:type="dxa"/>
          </w:tcPr>
          <w:p w14:paraId="4DE1187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检索分子/材料数据、分析 XRD 谱图、查阅文献</w:t>
            </w:r>
          </w:p>
        </w:tc>
      </w:tr>
      <w:tr w14:paraId="3C77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57A313E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技能</w:t>
            </w:r>
          </w:p>
        </w:tc>
        <w:tc>
          <w:tcPr>
            <w:tcW w:w="6200" w:type="dxa"/>
          </w:tcPr>
          <w:p w14:paraId="24F6EE5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熟悉化学术语，不一定具备编程能力</w:t>
            </w:r>
          </w:p>
        </w:tc>
      </w:tr>
      <w:tr w14:paraId="395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768CA19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典型操作</w:t>
            </w:r>
          </w:p>
        </w:tc>
        <w:tc>
          <w:tcPr>
            <w:tcW w:w="6200" w:type="dxa"/>
          </w:tcPr>
          <w:p w14:paraId="5EAF32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搜索分子 → 查看物性 → 上传 XRD 数据 → 查看衍射图</w:t>
            </w:r>
          </w:p>
        </w:tc>
      </w:tr>
      <w:tr w14:paraId="69C9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556D67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核心诉求</w:t>
            </w:r>
          </w:p>
        </w:tc>
        <w:tc>
          <w:tcPr>
            <w:tcW w:w="6200" w:type="dxa"/>
          </w:tcPr>
          <w:p w14:paraId="3BF216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准确、快速、可视化、专业</w:t>
            </w:r>
          </w:p>
        </w:tc>
      </w:tr>
    </w:tbl>
    <w:p w14:paraId="6662A20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平台管理员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6200"/>
      </w:tblGrid>
      <w:tr w14:paraId="4D5A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16D80537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属性</w:t>
            </w:r>
          </w:p>
        </w:tc>
        <w:tc>
          <w:tcPr>
            <w:tcW w:w="6200" w:type="dxa"/>
          </w:tcPr>
          <w:p w14:paraId="084A632B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16CC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01787A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6200" w:type="dxa"/>
          </w:tcPr>
          <w:p w14:paraId="35BCF6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课题组管理员 / 系统运维人员</w:t>
            </w:r>
          </w:p>
        </w:tc>
      </w:tr>
      <w:tr w14:paraId="424A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4E2EDB1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</w:t>
            </w:r>
          </w:p>
        </w:tc>
        <w:tc>
          <w:tcPr>
            <w:tcW w:w="6200" w:type="dxa"/>
          </w:tcPr>
          <w:p w14:paraId="74D633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维护元数据、管理标签、查看审计日志、录入资讯 </w:t>
            </w:r>
          </w:p>
        </w:tc>
      </w:tr>
      <w:tr w14:paraId="5CBE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</w:tcPr>
          <w:p w14:paraId="5589564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技能</w:t>
            </w:r>
          </w:p>
        </w:tc>
        <w:tc>
          <w:tcPr>
            <w:tcW w:w="6200" w:type="dxa"/>
          </w:tcPr>
          <w:p w14:paraId="3E8B7B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具备基本 Web 后台操作能力</w:t>
            </w:r>
          </w:p>
        </w:tc>
      </w:tr>
      <w:tr w14:paraId="78B32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3B78FE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典型操作</w:t>
            </w:r>
          </w:p>
        </w:tc>
        <w:tc>
          <w:tcPr>
            <w:tcW w:w="6200" w:type="dxa"/>
          </w:tcPr>
          <w:p w14:paraId="17A025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登录 Admin 后台 → 管理元数据与标签 → 查看操作日志</w:t>
            </w:r>
          </w:p>
        </w:tc>
      </w:tr>
      <w:tr w14:paraId="5D5A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7BDED7F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核心诉求</w:t>
            </w:r>
          </w:p>
        </w:tc>
        <w:tc>
          <w:tcPr>
            <w:tcW w:w="6200" w:type="dxa"/>
          </w:tcPr>
          <w:p w14:paraId="5A69246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权限可控、操作可追溯</w:t>
            </w:r>
          </w:p>
        </w:tc>
      </w:tr>
    </w:tbl>
    <w:p w14:paraId="0E7FB8C3">
      <w:pPr>
        <w:rPr>
          <w:rFonts w:hint="default"/>
          <w:lang w:val="en-US" w:eastAsia="zh-CN"/>
        </w:rPr>
      </w:pPr>
    </w:p>
    <w:p w14:paraId="2AB182B9">
      <w:pPr>
        <w:pStyle w:val="4"/>
        <w:bidi w:val="0"/>
      </w:pPr>
      <w:r>
        <w:rPr>
          <w:rFonts w:hint="default"/>
          <w:lang w:val="en-US" w:eastAsia="zh-CN"/>
        </w:rPr>
        <w:t>数据贡献者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6200"/>
      </w:tblGrid>
      <w:tr w14:paraId="5902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522B2DAE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属性</w:t>
            </w:r>
          </w:p>
        </w:tc>
        <w:tc>
          <w:tcPr>
            <w:tcW w:w="6200" w:type="dxa"/>
          </w:tcPr>
          <w:p w14:paraId="2ED0106E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697B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460E3E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6200" w:type="dxa"/>
          </w:tcPr>
          <w:p w14:paraId="7BB9E8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实验数据上传者</w:t>
            </w:r>
          </w:p>
        </w:tc>
      </w:tr>
      <w:tr w14:paraId="36EC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16CE6A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</w:t>
            </w:r>
          </w:p>
        </w:tc>
        <w:tc>
          <w:tcPr>
            <w:tcW w:w="6200" w:type="dxa"/>
          </w:tcPr>
          <w:p w14:paraId="7E80F89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上传分子文件、谱学数据、材料数据</w:t>
            </w:r>
          </w:p>
        </w:tc>
      </w:tr>
      <w:tr w14:paraId="32BA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182199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典型操作</w:t>
            </w:r>
          </w:p>
        </w:tc>
        <w:tc>
          <w:tcPr>
            <w:tcW w:w="6200" w:type="dxa"/>
          </w:tcPr>
          <w:p w14:paraId="4DF2CBE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通过上传页提交文件 → 在列表中查看入库结果 </w:t>
            </w:r>
          </w:p>
        </w:tc>
      </w:tr>
      <w:tr w14:paraId="6B1D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138F9F0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核心诉求</w:t>
            </w:r>
          </w:p>
        </w:tc>
        <w:tc>
          <w:tcPr>
            <w:tcW w:w="6200" w:type="dxa"/>
          </w:tcPr>
          <w:p w14:paraId="21E628D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上传流程简单、格式有说明</w:t>
            </w:r>
          </w:p>
        </w:tc>
      </w:tr>
    </w:tbl>
    <w:p w14:paraId="57A24E0B"/>
    <w:p w14:paraId="5CE2FA4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普通访客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6200"/>
      </w:tblGrid>
      <w:tr w14:paraId="79B1A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5C09D922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属性</w:t>
            </w:r>
          </w:p>
        </w:tc>
        <w:tc>
          <w:tcPr>
            <w:tcW w:w="6200" w:type="dxa"/>
          </w:tcPr>
          <w:p w14:paraId="178320FE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47BD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68174A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6200" w:type="dxa"/>
          </w:tcPr>
          <w:p w14:paraId="615265E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未登录或仅浏览资讯的用户</w:t>
            </w:r>
          </w:p>
        </w:tc>
      </w:tr>
      <w:tr w14:paraId="636C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5750C6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</w:t>
            </w:r>
          </w:p>
        </w:tc>
        <w:tc>
          <w:tcPr>
            <w:tcW w:w="6200" w:type="dxa"/>
          </w:tcPr>
          <w:p w14:paraId="09FE5B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了解平台动态、查看公开资讯</w:t>
            </w:r>
          </w:p>
        </w:tc>
      </w:tr>
      <w:tr w14:paraId="3D061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60F185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核心诉求</w:t>
            </w:r>
          </w:p>
        </w:tc>
        <w:tc>
          <w:tcPr>
            <w:tcW w:w="6200" w:type="dxa"/>
          </w:tcPr>
          <w:p w14:paraId="7BF404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无需登录即可获取基础信息（本项目主要页面需登录）</w:t>
            </w:r>
          </w:p>
        </w:tc>
      </w:tr>
    </w:tbl>
    <w:p w14:paraId="55FF13DD">
      <w:pPr>
        <w:rPr>
          <w:rFonts w:hint="default"/>
          <w:lang w:val="en-US" w:eastAsia="zh-CN"/>
        </w:rPr>
      </w:pPr>
    </w:p>
    <w:p w14:paraId="4F6BB26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利益相关者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3807"/>
        <w:gridCol w:w="2058"/>
      </w:tblGrid>
      <w:tr w14:paraId="5C5A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7358F204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利益相关者</w:t>
            </w:r>
          </w:p>
        </w:tc>
        <w:tc>
          <w:tcPr>
            <w:tcW w:w="3807" w:type="dxa"/>
          </w:tcPr>
          <w:p w14:paraId="782BDC2A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关注点</w:t>
            </w:r>
          </w:p>
        </w:tc>
        <w:tc>
          <w:tcPr>
            <w:tcW w:w="2058" w:type="dxa"/>
          </w:tcPr>
          <w:p w14:paraId="348404D1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与项目关系</w:t>
            </w:r>
          </w:p>
        </w:tc>
      </w:tr>
      <w:tr w14:paraId="00A7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1343F8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项目组成员</w:t>
            </w:r>
          </w:p>
        </w:tc>
        <w:tc>
          <w:tcPr>
            <w:tcW w:w="3807" w:type="dxa"/>
          </w:tcPr>
          <w:p w14:paraId="358336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分工清晰、接口稳定、可按时答辩</w:t>
            </w:r>
          </w:p>
        </w:tc>
        <w:tc>
          <w:tcPr>
            <w:tcW w:w="2058" w:type="dxa"/>
          </w:tcPr>
          <w:p w14:paraId="0DFEF2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直接开发者</w:t>
            </w:r>
          </w:p>
        </w:tc>
      </w:tr>
      <w:tr w14:paraId="363D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7045F5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指导教师</w:t>
            </w:r>
          </w:p>
        </w:tc>
        <w:tc>
          <w:tcPr>
            <w:tcW w:w="3807" w:type="dxa"/>
          </w:tcPr>
          <w:p w14:paraId="4A5DAF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工程规范、文档完整、创新点</w:t>
            </w:r>
          </w:p>
        </w:tc>
        <w:tc>
          <w:tcPr>
            <w:tcW w:w="2058" w:type="dxa"/>
          </w:tcPr>
          <w:p w14:paraId="6A147C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评审与指导</w:t>
            </w:r>
          </w:p>
        </w:tc>
      </w:tr>
      <w:tr w14:paraId="59F8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3C4FF64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潜在用户</w:t>
            </w:r>
          </w:p>
        </w:tc>
        <w:tc>
          <w:tcPr>
            <w:tcW w:w="3807" w:type="dxa"/>
          </w:tcPr>
          <w:p w14:paraId="331C71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数据准确、工具可用</w:t>
            </w:r>
          </w:p>
        </w:tc>
        <w:tc>
          <w:tcPr>
            <w:tcW w:w="2058" w:type="dxa"/>
          </w:tcPr>
          <w:p w14:paraId="01C6156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未来使用者</w:t>
            </w:r>
          </w:p>
        </w:tc>
      </w:tr>
      <w:tr w14:paraId="6993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1E2624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大模型 / 云服务提供商 </w:t>
            </w:r>
          </w:p>
        </w:tc>
        <w:tc>
          <w:tcPr>
            <w:tcW w:w="3807" w:type="dxa"/>
          </w:tcPr>
          <w:p w14:paraId="604357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 稳定性与成本</w:t>
            </w:r>
          </w:p>
        </w:tc>
        <w:tc>
          <w:tcPr>
            <w:tcW w:w="2058" w:type="dxa"/>
          </w:tcPr>
          <w:p w14:paraId="1D186B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外部依赖</w:t>
            </w:r>
          </w:p>
        </w:tc>
      </w:tr>
    </w:tbl>
    <w:p w14:paraId="118F00B7">
      <w:pPr>
        <w:bidi w:val="0"/>
        <w:rPr>
          <w:rFonts w:hint="default"/>
          <w:lang w:val="en-US" w:eastAsia="zh-CN"/>
        </w:rPr>
      </w:pPr>
    </w:p>
    <w:p w14:paraId="1426071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可行性分析</w:t>
      </w:r>
    </w:p>
    <w:p w14:paraId="05CF09F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技术可行性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4157"/>
        <w:gridCol w:w="3079"/>
      </w:tblGrid>
      <w:tr w14:paraId="5038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760C3DF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技术领域</w:t>
            </w:r>
          </w:p>
        </w:tc>
        <w:tc>
          <w:tcPr>
            <w:tcW w:w="4157" w:type="dxa"/>
          </w:tcPr>
          <w:p w14:paraId="2FC036B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选型方案</w:t>
            </w:r>
          </w:p>
        </w:tc>
        <w:tc>
          <w:tcPr>
            <w:tcW w:w="3079" w:type="dxa"/>
          </w:tcPr>
          <w:p w14:paraId="2F37579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可行性评估</w:t>
            </w:r>
          </w:p>
        </w:tc>
      </w:tr>
      <w:tr w14:paraId="071E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740D4B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</w:t>
            </w:r>
          </w:p>
        </w:tc>
        <w:tc>
          <w:tcPr>
            <w:tcW w:w="4157" w:type="dxa"/>
          </w:tcPr>
          <w:p w14:paraId="7ED1B2E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Vue 2.7 + Element UI + ECharts + Vue Router + Vuex</w:t>
            </w:r>
          </w:p>
        </w:tc>
        <w:tc>
          <w:tcPr>
            <w:tcW w:w="3079" w:type="dxa"/>
          </w:tcPr>
          <w:p w14:paraId="46C1C00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成熟方案，项目已有完整页面</w:t>
            </w:r>
          </w:p>
        </w:tc>
      </w:tr>
      <w:tr w14:paraId="4444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5D4395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后端</w:t>
            </w:r>
          </w:p>
        </w:tc>
        <w:tc>
          <w:tcPr>
            <w:tcW w:w="4157" w:type="dxa"/>
          </w:tcPr>
          <w:p w14:paraId="0B67D5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FastAPI + uvicorn + SQLite</w:t>
            </w:r>
          </w:p>
        </w:tc>
        <w:tc>
          <w:tcPr>
            <w:tcW w:w="3079" w:type="dxa"/>
          </w:tcPr>
          <w:p w14:paraId="657749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轻量高效，Auth/XRD 已落地</w:t>
            </w:r>
          </w:p>
        </w:tc>
      </w:tr>
      <w:tr w14:paraId="0A082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494A23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</w:t>
            </w:r>
          </w:p>
        </w:tc>
        <w:tc>
          <w:tcPr>
            <w:tcW w:w="4157" w:type="dxa"/>
          </w:tcPr>
          <w:p w14:paraId="304157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SQLite（可扩展 MySQL）</w:t>
            </w:r>
          </w:p>
        </w:tc>
        <w:tc>
          <w:tcPr>
            <w:tcW w:w="3079" w:type="dxa"/>
          </w:tcPr>
          <w:p w14:paraId="780126A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满足课程级数据量</w:t>
            </w:r>
          </w:p>
        </w:tc>
      </w:tr>
      <w:tr w14:paraId="2226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332AD6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 Agent</w:t>
            </w:r>
          </w:p>
        </w:tc>
        <w:tc>
          <w:tcPr>
            <w:tcW w:w="4157" w:type="dxa"/>
          </w:tcPr>
          <w:p w14:paraId="5ADF90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+ LangChain/LlamaIndex + 向量库 + 大模型 API</w:t>
            </w:r>
          </w:p>
        </w:tc>
        <w:tc>
          <w:tcPr>
            <w:tcW w:w="3079" w:type="dxa"/>
          </w:tcPr>
          <w:p w14:paraId="3FB478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业界成熟，团队有算法基础</w:t>
            </w:r>
          </w:p>
        </w:tc>
      </w:tr>
      <w:tr w14:paraId="0B51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472690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XRD处理</w:t>
            </w:r>
          </w:p>
        </w:tc>
        <w:tc>
          <w:tcPr>
            <w:tcW w:w="4157" w:type="dxa"/>
          </w:tcPr>
          <w:p w14:paraId="5BFBC86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PyTorch + 自定义处理算法</w:t>
            </w:r>
          </w:p>
        </w:tc>
        <w:tc>
          <w:tcPr>
            <w:tcW w:w="3079" w:type="dxa"/>
          </w:tcPr>
          <w:p w14:paraId="09DB60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 `xrd_processor.py` 已实现</w:t>
            </w:r>
          </w:p>
        </w:tc>
      </w:tr>
      <w:tr w14:paraId="0540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7A1816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部署</w:t>
            </w:r>
          </w:p>
        </w:tc>
        <w:tc>
          <w:tcPr>
            <w:tcW w:w="4157" w:type="dxa"/>
          </w:tcPr>
          <w:p w14:paraId="456284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本地脚本启动 + 可选 Nginx</w:t>
            </w:r>
          </w:p>
        </w:tc>
        <w:tc>
          <w:tcPr>
            <w:tcW w:w="3079" w:type="dxa"/>
          </w:tcPr>
          <w:p w14:paraId="7F84F3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无需复杂基础设施 </w:t>
            </w:r>
          </w:p>
        </w:tc>
      </w:tr>
    </w:tbl>
    <w:p w14:paraId="4428BDE3">
      <w:pPr>
        <w:rPr>
          <w:rFonts w:hint="default"/>
          <w:lang w:val="en-US" w:eastAsia="zh-CN"/>
        </w:rPr>
      </w:pPr>
    </w:p>
    <w:p w14:paraId="37091A3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经济可行性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2085"/>
        <w:gridCol w:w="4665"/>
      </w:tblGrid>
      <w:tr w14:paraId="240B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</w:tcPr>
          <w:p w14:paraId="761CF20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成本项</w:t>
            </w:r>
          </w:p>
        </w:tc>
        <w:tc>
          <w:tcPr>
            <w:tcW w:w="2085" w:type="dxa"/>
          </w:tcPr>
          <w:p w14:paraId="4B39FA7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估算</w:t>
            </w:r>
          </w:p>
        </w:tc>
        <w:tc>
          <w:tcPr>
            <w:tcW w:w="4665" w:type="dxa"/>
          </w:tcPr>
          <w:p w14:paraId="0A1E650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B0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</w:tcPr>
          <w:p w14:paraId="53866A4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硬件</w:t>
            </w:r>
          </w:p>
        </w:tc>
        <w:tc>
          <w:tcPr>
            <w:tcW w:w="2085" w:type="dxa"/>
          </w:tcPr>
          <w:p w14:paraId="7F482E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4665" w:type="dxa"/>
          </w:tcPr>
          <w:p w14:paraId="36A7167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普通 PC（8GB+ 内存）即可运行</w:t>
            </w:r>
          </w:p>
        </w:tc>
      </w:tr>
      <w:tr w14:paraId="7662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</w:tcPr>
          <w:p w14:paraId="67F407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</w:t>
            </w:r>
          </w:p>
        </w:tc>
        <w:tc>
          <w:tcPr>
            <w:tcW w:w="2085" w:type="dxa"/>
          </w:tcPr>
          <w:p w14:paraId="5A0069A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4665" w:type="dxa"/>
          </w:tcPr>
          <w:p w14:paraId="3FD370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开源技术栈，无授权费用</w:t>
            </w:r>
          </w:p>
        </w:tc>
      </w:tr>
      <w:tr w14:paraId="5302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</w:tcPr>
          <w:p w14:paraId="27D794D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大模型API</w:t>
            </w:r>
          </w:p>
        </w:tc>
        <w:tc>
          <w:tcPr>
            <w:tcW w:w="2085" w:type="dxa"/>
          </w:tcPr>
          <w:p w14:paraId="3B2506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中低</w:t>
            </w:r>
          </w:p>
        </w:tc>
        <w:tc>
          <w:tcPr>
            <w:tcW w:w="4665" w:type="dxa"/>
          </w:tcPr>
          <w:p w14:paraId="0AA4E2D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按调用量计费，课程演示用量可控</w:t>
            </w:r>
          </w:p>
        </w:tc>
      </w:tr>
      <w:tr w14:paraId="4AC9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</w:tcPr>
          <w:p w14:paraId="43CDDA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云服务器</w:t>
            </w:r>
          </w:p>
        </w:tc>
        <w:tc>
          <w:tcPr>
            <w:tcW w:w="2085" w:type="dxa"/>
          </w:tcPr>
          <w:p w14:paraId="3FD4719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可选</w:t>
            </w:r>
          </w:p>
        </w:tc>
        <w:tc>
          <w:tcPr>
            <w:tcW w:w="4665" w:type="dxa"/>
          </w:tcPr>
          <w:p w14:paraId="161FEE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本地部署可零成本完成</w:t>
            </w:r>
          </w:p>
        </w:tc>
      </w:tr>
      <w:tr w14:paraId="1983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2" w:type="dxa"/>
          </w:tcPr>
          <w:p w14:paraId="519EBB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2085" w:type="dxa"/>
          </w:tcPr>
          <w:p w14:paraId="4F6291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4人*课程周期</w:t>
            </w:r>
          </w:p>
        </w:tc>
        <w:tc>
          <w:tcPr>
            <w:tcW w:w="4665" w:type="dxa"/>
          </w:tcPr>
          <w:p w14:paraId="6C8B94B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分工明确，无额外雇佣成本</w:t>
            </w:r>
          </w:p>
        </w:tc>
      </w:tr>
    </w:tbl>
    <w:p w14:paraId="79AD667A">
      <w:pPr>
        <w:rPr>
          <w:rFonts w:hint="default"/>
          <w:lang w:val="en-US" w:eastAsia="zh-CN"/>
        </w:rPr>
      </w:pPr>
    </w:p>
    <w:p w14:paraId="43A7131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操作可行性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6000"/>
      </w:tblGrid>
      <w:tr w14:paraId="2238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0DC9957B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维度</w:t>
            </w:r>
          </w:p>
        </w:tc>
        <w:tc>
          <w:tcPr>
            <w:tcW w:w="6000" w:type="dxa"/>
          </w:tcPr>
          <w:p w14:paraId="0A46DFCE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分析</w:t>
            </w:r>
          </w:p>
        </w:tc>
      </w:tr>
      <w:tr w14:paraId="0FE7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51E3B9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用户学习成本</w:t>
            </w:r>
          </w:p>
        </w:tc>
        <w:tc>
          <w:tcPr>
            <w:tcW w:w="6000" w:type="dxa"/>
          </w:tcPr>
          <w:p w14:paraId="62D42E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Element UI 标准交互，材料科研人员可快速上手</w:t>
            </w:r>
          </w:p>
        </w:tc>
      </w:tr>
      <w:tr w14:paraId="7054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3ED705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部署运维</w:t>
            </w:r>
          </w:p>
        </w:tc>
        <w:tc>
          <w:tcPr>
            <w:tcW w:w="6000" w:type="dxa"/>
          </w:tcPr>
          <w:p w14:paraId="7F2D2C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 `start.bat` / `start.sh` 一键启动，D 负责文档化</w:t>
            </w:r>
          </w:p>
        </w:tc>
      </w:tr>
      <w:tr w14:paraId="4280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478687B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数据维护</w:t>
            </w:r>
          </w:p>
        </w:tc>
        <w:tc>
          <w:tcPr>
            <w:tcW w:w="6000" w:type="dxa"/>
          </w:tcPr>
          <w:p w14:paraId="4ADF6F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SQLite 单文件，备份与迁移简单</w:t>
            </w:r>
          </w:p>
        </w:tc>
      </w:tr>
      <w:tr w14:paraId="1149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3892C7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团队协作</w:t>
            </w:r>
          </w:p>
        </w:tc>
        <w:tc>
          <w:tcPr>
            <w:tcW w:w="6000" w:type="dxa"/>
          </w:tcPr>
          <w:p w14:paraId="45A3649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四人职责边界清晰，接口文档统一维护</w:t>
            </w:r>
          </w:p>
        </w:tc>
      </w:tr>
    </w:tbl>
    <w:p w14:paraId="42FC639F">
      <w:pPr>
        <w:rPr>
          <w:rFonts w:hint="default"/>
          <w:lang w:val="en-US" w:eastAsia="zh-CN"/>
        </w:rPr>
      </w:pPr>
    </w:p>
    <w:p w14:paraId="46F59BE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业务需求分析</w:t>
      </w:r>
    </w:p>
    <w:p w14:paraId="09D63FA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核心业务域</w:t>
      </w:r>
    </w:p>
    <w:p w14:paraId="19D2ED87">
      <w:pPr>
        <w:bidi w:val="0"/>
        <w:ind w:firstLine="420" w:firstLineChars="0"/>
      </w:pPr>
      <w:r>
        <w:rPr>
          <w:rFonts w:hint="default"/>
          <w:lang w:val="en-US" w:eastAsia="zh-CN"/>
        </w:rPr>
        <w:t>平台业务可划分为五大核心域：</w:t>
      </w:r>
    </w:p>
    <w:p w14:paraId="51E839B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24150" cy="4125595"/>
            <wp:effectExtent l="0" t="0" r="6350" b="1905"/>
            <wp:docPr id="1" name="图片 1" descr="mermaid-diagram-2026-06-16-02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06-16-023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5A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主要业务流程</w:t>
      </w:r>
    </w:p>
    <w:p w14:paraId="3D615858">
      <w:pPr>
        <w:pStyle w:val="4"/>
        <w:bidi w:val="0"/>
      </w:pPr>
      <w:r>
        <w:rPr>
          <w:rFonts w:hint="default"/>
          <w:lang w:val="en-US" w:eastAsia="zh-CN"/>
        </w:rPr>
        <w:t>用户认证与访问控制</w:t>
      </w:r>
    </w:p>
    <w:p w14:paraId="37362D11">
      <w:pPr>
        <w:jc w:val="center"/>
      </w:pPr>
      <w:r>
        <w:drawing>
          <wp:inline distT="0" distB="0" distL="114300" distR="114300">
            <wp:extent cx="2584450" cy="3573145"/>
            <wp:effectExtent l="0" t="0" r="6350" b="8255"/>
            <wp:docPr id="2" name="图片 2" descr="mermaid-diagram-2026-06-16-023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-2026-06-16-0234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1535">
      <w:pPr>
        <w:pStyle w:val="4"/>
        <w:bidi w:val="0"/>
      </w:pPr>
      <w:r>
        <w:rPr>
          <w:rFonts w:hint="default"/>
          <w:lang w:val="en-US" w:eastAsia="zh-CN"/>
        </w:rPr>
        <w:t>XRD 数据处理与可视化</w:t>
      </w:r>
    </w:p>
    <w:p w14:paraId="156E79EE">
      <w:pPr>
        <w:pStyle w:val="4"/>
        <w:numPr>
          <w:ilvl w:val="2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64410" cy="3632835"/>
            <wp:effectExtent l="0" t="0" r="8890" b="12065"/>
            <wp:docPr id="3" name="图片 3" descr="mermaid-diagram-2026-06-16-02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-2026-06-16-0235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2FD7">
      <w:pPr>
        <w:pStyle w:val="4"/>
        <w:bidi w:val="0"/>
      </w:pPr>
      <w:r>
        <w:rPr>
          <w:rFonts w:hint="default"/>
          <w:lang w:val="en-US" w:eastAsia="zh-CN"/>
        </w:rPr>
        <w:t>分子数据检索与浏览</w:t>
      </w:r>
    </w:p>
    <w:p w14:paraId="6A692DAC">
      <w:pPr>
        <w:pStyle w:val="4"/>
        <w:numPr>
          <w:ilvl w:val="2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87500" cy="4086225"/>
            <wp:effectExtent l="0" t="0" r="0" b="3175"/>
            <wp:docPr id="4" name="图片 4" descr="mermaid-diagram-2026-06-16-02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-diagram-2026-06-16-0236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CEF">
      <w:pPr>
        <w:pStyle w:val="4"/>
        <w:bidi w:val="0"/>
      </w:pPr>
      <w:r>
        <w:rPr>
          <w:rFonts w:hint="default"/>
          <w:lang w:val="en-US" w:eastAsia="zh-CN"/>
        </w:rPr>
        <w:t>AI 智能问答</w:t>
      </w:r>
    </w:p>
    <w:p w14:paraId="10AE5706">
      <w:pPr>
        <w:pStyle w:val="4"/>
        <w:numPr>
          <w:ilvl w:val="2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80895" cy="5744845"/>
            <wp:effectExtent l="0" t="0" r="1905" b="8255"/>
            <wp:docPr id="5" name="图片 5" descr="mermaid-diagram-2026-06-16-02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rmaid-diagram-2026-06-16-0237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30D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用例分析</w:t>
      </w:r>
    </w:p>
    <w:p w14:paraId="2E608046">
      <w:pPr>
        <w:bidi w:val="0"/>
        <w:ind w:firstLine="420" w:firstLineChars="0"/>
      </w:pPr>
      <w:r>
        <w:rPr>
          <w:rFonts w:hint="default"/>
        </w:rPr>
        <w:t>该材料科学平台涉及三类参与者：研究人员、管理员和系统。研究人员的主要功能包括登录系统、浏览分子、材料或文献数据、进行 XRD 分析、使用 AI 智能问答以及上传个人数据。管理员负责管理元数据和标签、查看审计日志，以及发布新闻公告。系统自身则自动完成访客计数、数据分页、接口鉴权和谱学数据处理等后台任务。</w:t>
      </w:r>
    </w:p>
    <w:p w14:paraId="38EBFD1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平台的核心用例之一是“XRD 数据处理与可视化”。该用例的参与者为已登录的研究人员。其前置条件是后端服务已启动且用户已完成登录；执行成功后，系统将生成衍射图谱及对应的统计信息。基本操作流程为：用户首先进入 XRD 工具页面，选择数据的输入方式，配置处理参数（如角度范围等），然后点击“处理并可视化”按钮。系统随即调用后端处理接口，最后在前端使用 ECharts 图表库渲染衍射图谱并展示统计数据。扩展情况包括：若用户输入的数据格式有误，系统会提示检查格式；若后端接口响应超时，则前端显示加载失败信息。业务规则要求角度范围必须满足最小值小于最大值，且输入的 NPY 数组形状应为 [N, 2]。</w:t>
      </w:r>
    </w:p>
    <w:p w14:paraId="36B8A70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另一个核心用例是“材料科学智能问答”，同样面向已登录的研究人员。其前置条件为 Agent 服务可用且后端转发接口已实现。基本流程为用户打开智能助手并输入问题，系统检索知识库并生成回答，最终将答案展示给用户，同时支持多轮对话上下文。业务规则限定回答内容应仅涉及化学或材料科学领域，并且对话需能够携带历史上下文信息。</w:t>
      </w:r>
    </w:p>
    <w:p w14:paraId="303983A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56485" cy="6433820"/>
            <wp:effectExtent l="0" t="0" r="5715" b="5080"/>
            <wp:docPr id="6" name="图片 6" descr="mermaid-diagram-2026-06-16-02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ermaid-diagram-2026-06-16-0246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C4E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功能需求分析</w:t>
      </w:r>
    </w:p>
    <w:p w14:paraId="304ECB9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功能结构图</w:t>
      </w:r>
    </w:p>
    <w:p w14:paraId="6865D30F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5780" cy="1769110"/>
            <wp:effectExtent l="0" t="0" r="7620" b="889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1769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89C5F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功能需求详细说明</w:t>
      </w:r>
    </w:p>
    <w:p w14:paraId="04B8D442">
      <w:pPr>
        <w:pStyle w:val="4"/>
        <w:bidi w:val="0"/>
      </w:pPr>
      <w:r>
        <w:rPr>
          <w:rFonts w:hint="default"/>
          <w:lang w:val="en-US" w:eastAsia="zh-CN"/>
        </w:rPr>
        <w:t>用户与权限管理</w:t>
      </w:r>
    </w:p>
    <w:p w14:paraId="7910B59D">
      <w:pPr>
        <w:bidi w:val="0"/>
        <w:ind w:firstLine="420" w:firstLineChars="0"/>
      </w:pPr>
      <w:r>
        <w:t>需求 FR-AUTH-01（优先级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用户能够通过用户名搭配密码完成平台登录，登录成功后系统下发身份 Token 并返回完整用户基础信息。</w:t>
      </w:r>
    </w:p>
    <w:p w14:paraId="0872AD41">
      <w:pPr>
        <w:bidi w:val="0"/>
        <w:ind w:firstLine="420" w:firstLineChars="0"/>
      </w:pPr>
      <w:r>
        <w:t>需求 FR-AUTH-02（优先级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新访客支持线上注册平台账号，注册表单必填项包含用户名、邮箱、登录密码、用户昵称四项内容。</w:t>
      </w:r>
    </w:p>
    <w:p w14:paraId="30E5AB69">
      <w:pPr>
        <w:bidi w:val="0"/>
        <w:ind w:firstLine="420" w:firstLineChars="0"/>
      </w:pPr>
      <w:r>
        <w:t>需求 FR-AUTH-03（优先级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用户完成登录后，可在个人中心、页面头部等位置查看、调取当前登录账号的完整个人信息。</w:t>
      </w:r>
    </w:p>
    <w:p w14:paraId="457317FE">
      <w:pPr>
        <w:bidi w:val="0"/>
        <w:ind w:firstLine="420" w:firstLineChars="0"/>
      </w:pPr>
      <w:r>
        <w:t>需求 FR-AUTH-04（优先级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系统提供退出登录功能，触发退出操作后会清空本地客户端存储的身份 Token，清除登录会话。</w:t>
      </w:r>
    </w:p>
    <w:p w14:paraId="60E55512">
      <w:pPr>
        <w:bidi w:val="0"/>
        <w:ind w:firstLine="420" w:firstLineChars="0"/>
      </w:pPr>
      <w:r>
        <w:t>需求 FR-AUTH-05（优先级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支持用户自主修改登录密码，提交新密码前必须完成旧密码校验，校验通过方可更新密码。</w:t>
      </w:r>
    </w:p>
    <w:p w14:paraId="638F09A6">
      <w:pPr>
        <w:bidi w:val="0"/>
        <w:ind w:firstLine="420" w:firstLineChars="0"/>
      </w:pPr>
      <w:r>
        <w:t>需求 FR-AUTH-06（优先级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未登录匿名用户直接访问分子、材料、XRD 工具等业务页面时，页面自动重定向跳转至登录界面。</w:t>
      </w:r>
    </w:p>
    <w:p w14:paraId="29BA563C">
      <w:pPr>
        <w:bidi w:val="0"/>
        <w:ind w:firstLine="420" w:firstLineChars="0"/>
      </w:pPr>
      <w:r>
        <w:t>需求 FR-AUTH-07（优先级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后台管理页面做权限隔离，仅分配 admin 管理员角色的账号能够正常访问，普通用户无访问权限。</w:t>
      </w:r>
    </w:p>
    <w:p w14:paraId="131477E0">
      <w:pPr>
        <w:bidi w:val="0"/>
        <w:ind w:firstLine="420" w:firstLineChars="0"/>
        <w:rPr>
          <w:rFonts w:hint="eastAsia" w:eastAsia="微软雅黑"/>
          <w:lang w:val="en-US" w:eastAsia="zh-CN"/>
        </w:rPr>
      </w:pPr>
      <w:r>
        <w:t>需求 FR-AUTH-08（优先级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平台首页展示全站累计访客访问总量统计数据。</w:t>
      </w:r>
    </w:p>
    <w:p w14:paraId="4C7E1479">
      <w:pPr>
        <w:pStyle w:val="4"/>
        <w:bidi w:val="0"/>
      </w:pPr>
      <w:r>
        <w:rPr>
          <w:rFonts w:hint="default"/>
          <w:lang w:val="en-US" w:eastAsia="zh-CN"/>
        </w:rPr>
        <w:t>科学分析工具（XRD</w:t>
      </w:r>
      <w:r>
        <w:rPr>
          <w:rFonts w:hint="eastAsia"/>
          <w:lang w:val="en-US" w:eastAsia="zh-CN"/>
        </w:rPr>
        <w:t>）</w:t>
      </w:r>
    </w:p>
    <w:p w14:paraId="6C78FB47">
      <w:pPr>
        <w:ind w:firstLine="420" w:firstLineChars="0"/>
        <w:rPr>
          <w:rFonts w:hint="eastAsia"/>
        </w:rPr>
      </w:pPr>
      <w:r>
        <w:rPr>
          <w:rFonts w:hint="eastAsia"/>
        </w:rPr>
        <w:t>需求 FR-XRD-01（优先级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XRD 工具支持手动粘贴纯文本格式的「角度 - 强度」配对数据，完成数据导入与后续解析处理。</w:t>
      </w:r>
    </w:p>
    <w:p w14:paraId="2B1B7F08">
      <w:pPr>
        <w:ind w:firstLine="420" w:firstLineChars="0"/>
        <w:rPr>
          <w:rFonts w:hint="eastAsia"/>
        </w:rPr>
      </w:pPr>
      <w:r>
        <w:rPr>
          <w:rFonts w:hint="eastAsia"/>
        </w:rPr>
        <w:t>需求 FR-XRD-02（优先级 P1）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支持用户上传后缀为.npy 格式的谱学原始数据文件，系统自动读取文件内数值用于分析。</w:t>
      </w:r>
    </w:p>
    <w:p w14:paraId="73A25C5B">
      <w:pPr>
        <w:ind w:firstLine="420" w:firstLineChars="0"/>
        <w:rPr>
          <w:rFonts w:hint="eastAsia"/>
        </w:rPr>
      </w:pPr>
      <w:r>
        <w:rPr>
          <w:rFonts w:hint="eastAsia"/>
        </w:rPr>
        <w:t>需求 FR-XRD-03（优先级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工具内置标准示范数据集，用户可一键加载示例数据，快速体验完整 XRD 分析流程。</w:t>
      </w:r>
    </w:p>
    <w:p w14:paraId="024D18D2">
      <w:pPr>
        <w:ind w:firstLine="420" w:firstLineChars="0"/>
        <w:rPr>
          <w:rFonts w:hint="eastAsia"/>
        </w:rPr>
      </w:pPr>
      <w:r>
        <w:rPr>
          <w:rFonts w:hint="eastAsia"/>
        </w:rPr>
        <w:t>需求 FR-XRD-04（优先级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页面提供参数配置面板，可自定义设置衍射最小角度、最大角度、数据步长、高斯展宽 Sigma 参数。</w:t>
      </w:r>
    </w:p>
    <w:p w14:paraId="7B8788CC">
      <w:pPr>
        <w:ind w:firstLine="420" w:firstLineChars="0"/>
        <w:rPr>
          <w:rFonts w:hint="eastAsia"/>
        </w:rPr>
      </w:pPr>
      <w:r>
        <w:rPr>
          <w:rFonts w:hint="eastAsia"/>
        </w:rPr>
        <w:t>需求 FR-XRD-05（优先级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数据运算完成后，使用 ECharts 折线图组件可视化渲染 XRD 衍射图谱曲线。</w:t>
      </w:r>
    </w:p>
    <w:p w14:paraId="3F09BA78">
      <w:pPr>
        <w:ind w:firstLine="420" w:firstLineChars="0"/>
        <w:rPr>
          <w:rFonts w:hint="eastAsia"/>
        </w:rPr>
      </w:pPr>
      <w:r>
        <w:rPr>
          <w:rFonts w:hint="eastAsia"/>
        </w:rPr>
        <w:t>需求 FR-XRD-06（优先级 P1）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图谱下方同步展示原始数据、高斯展宽后数据的统计指标，包含最大值、最小值、四分位数。</w:t>
      </w:r>
    </w:p>
    <w:p w14:paraId="0C581D67">
      <w:pPr>
        <w:ind w:firstLine="420" w:firstLineChars="0"/>
      </w:pPr>
      <w:r>
        <w:rPr>
          <w:rFonts w:hint="eastAsia"/>
        </w:rPr>
        <w:t>需求 FR-XRD-07（优先级 P2）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图谱 Y 轴支持两种展示模式切换：原始真实强度数值、归一化强度数值。</w:t>
      </w:r>
    </w:p>
    <w:p w14:paraId="2342CABA">
      <w:pPr>
        <w:pStyle w:val="4"/>
        <w:bidi w:val="0"/>
      </w:pPr>
      <w:r>
        <w:rPr>
          <w:rFonts w:hint="default"/>
          <w:lang w:val="en-US" w:eastAsia="zh-CN"/>
        </w:rPr>
        <w:t>分子 / 材料 / 文献数据</w:t>
      </w:r>
    </w:p>
    <w:p w14:paraId="3EE8282D">
      <w:pPr>
        <w:ind w:firstLine="420" w:firstLineChars="0"/>
        <w:rPr>
          <w:rFonts w:hint="eastAsia"/>
        </w:rPr>
      </w:pPr>
      <w:r>
        <w:rPr>
          <w:rFonts w:hint="eastAsia"/>
        </w:rPr>
        <w:t>需求 FR-DATA-01（优先级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分子数据列表采用分页加载展示，提供关键词检索、分子类型多条件筛选功能。</w:t>
      </w:r>
    </w:p>
    <w:p w14:paraId="39C6BE91">
      <w:pPr>
        <w:ind w:firstLine="420" w:firstLineChars="0"/>
        <w:rPr>
          <w:rFonts w:hint="eastAsia"/>
        </w:rPr>
      </w:pPr>
      <w:r>
        <w:rPr>
          <w:rFonts w:hint="eastAsia"/>
        </w:rPr>
        <w:t>需求 FR-DATA-02（优先级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分子详情页面完整展示分子 SMILES 表达式、InChI 编码、分子量等核心物化属性信息。</w:t>
      </w:r>
    </w:p>
    <w:p w14:paraId="38400789">
      <w:pPr>
        <w:ind w:firstLine="420" w:firstLineChars="0"/>
        <w:rPr>
          <w:rFonts w:hint="eastAsia"/>
        </w:rPr>
      </w:pPr>
      <w:r>
        <w:rPr>
          <w:rFonts w:hint="eastAsia"/>
        </w:rPr>
        <w:t>需求 FR-DATA-03（优先级 P1）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支持基于分子 SMILES 结构开展相似分子检索，匹配结构相近的同类分子。</w:t>
      </w:r>
    </w:p>
    <w:p w14:paraId="6C8275D1">
      <w:pPr>
        <w:ind w:firstLine="420" w:firstLineChars="0"/>
        <w:rPr>
          <w:rFonts w:hint="eastAsia"/>
        </w:rPr>
      </w:pPr>
      <w:r>
        <w:rPr>
          <w:rFonts w:hint="eastAsia"/>
        </w:rPr>
        <w:t>需求 FR-DATA-04（优先级 P0）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提供完整材料列表页面与材料详情页面，单独区分催化材料、集成材料两类特殊材料详情展示逻辑。</w:t>
      </w:r>
    </w:p>
    <w:p w14:paraId="190BC45A">
      <w:pPr>
        <w:ind w:firstLine="420" w:firstLineChars="0"/>
        <w:rPr>
          <w:rFonts w:hint="eastAsia"/>
        </w:rPr>
      </w:pPr>
      <w:r>
        <w:rPr>
          <w:rFonts w:hint="eastAsia"/>
        </w:rPr>
        <w:t>需求 FR-DATA-05（优先级 P1）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文献模块支持分页列表展示，文献详情页呈现文献 DOI 编号、内容摘要等核心文献信息。</w:t>
      </w:r>
    </w:p>
    <w:p w14:paraId="609851CB">
      <w:pPr>
        <w:ind w:firstLine="420" w:firstLineChars="0"/>
        <w:rPr>
          <w:rFonts w:hint="eastAsia"/>
        </w:rPr>
      </w:pPr>
      <w:r>
        <w:rPr>
          <w:rFonts w:hint="eastAsia"/>
        </w:rPr>
        <w:t>需求 FR-DATA-06（优先级 P1）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分子、材料均绑定分类标签，支持按照标签分组浏览同类数据。</w:t>
      </w:r>
    </w:p>
    <w:p w14:paraId="5DB8EAD8">
      <w:pPr>
        <w:ind w:firstLine="420" w:firstLineChars="0"/>
      </w:pPr>
      <w:r>
        <w:rPr>
          <w:rFonts w:hint="eastAsia"/>
        </w:rPr>
        <w:t>需求 FR-DATA-07（优先级 P1）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分子配套的光谱实验数据以连续曲线图表形式可视化展示。</w:t>
      </w:r>
    </w:p>
    <w:p w14:paraId="07AF22EA">
      <w:pPr>
        <w:pStyle w:val="4"/>
        <w:bidi w:val="0"/>
      </w:pPr>
      <w:r>
        <w:rPr>
          <w:rFonts w:hint="default"/>
          <w:lang w:val="en-US" w:eastAsia="zh-CN"/>
        </w:rPr>
        <w:t>AI 智能服务</w:t>
      </w:r>
    </w:p>
    <w:p w14:paraId="70D9D1FC">
      <w:pPr>
        <w:bidi w:val="0"/>
        <w:ind w:firstLine="420" w:firstLineChars="0"/>
      </w:pPr>
      <w:r>
        <w:t>需求 FR-AI-01（优先级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全站页面悬浮智能助手入口，点击展开抽屉式对话交互界面，可随时唤起问答功能。</w:t>
      </w:r>
    </w:p>
    <w:p w14:paraId="72F72A38">
      <w:pPr>
        <w:bidi w:val="0"/>
        <w:ind w:firstLine="420" w:firstLineChars="0"/>
      </w:pPr>
      <w:r>
        <w:t>需求 FR-AI-02（优先级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对话支持多轮连续问答，系统自动保存历史会话上下文，结合前文内容连贯作答。</w:t>
      </w:r>
    </w:p>
    <w:p w14:paraId="6565DC8D">
      <w:pPr>
        <w:bidi w:val="0"/>
        <w:ind w:firstLine="420" w:firstLineChars="0"/>
      </w:pPr>
      <w:r>
        <w:t>需求 FR-AI-03（优先级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后端统一提供 /ai/chat 接口，负责接收前端问答请求、转发至 AI 服务并回传回答内容。</w:t>
      </w:r>
    </w:p>
    <w:p w14:paraId="38CD572E">
      <w:pPr>
        <w:bidi w:val="0"/>
        <w:ind w:firstLine="420" w:firstLineChars="0"/>
      </w:pPr>
      <w:r>
        <w:t>需求 FR-AI-04（优先级 P0）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问答服务内置 RAG 检索能力，自动匹配化学、材料领域知识库内容作为回答依据。</w:t>
      </w:r>
    </w:p>
    <w:p w14:paraId="08985235">
      <w:pPr>
        <w:bidi w:val="0"/>
        <w:ind w:firstLine="420" w:firstLineChars="0"/>
      </w:pPr>
      <w:r>
        <w:t>需求 FR-AI-05（优先级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AI 生成的回答内容中可附带快捷按钮，点击可直接跳转平台对应数据、工具页面。</w:t>
      </w:r>
    </w:p>
    <w:p w14:paraId="5A8EAF2C">
      <w:pPr>
        <w:pStyle w:val="4"/>
        <w:bidi w:val="0"/>
      </w:pPr>
      <w:r>
        <w:rPr>
          <w:rFonts w:hint="default"/>
          <w:lang w:val="en-US" w:eastAsia="zh-CN"/>
        </w:rPr>
        <w:t>管理后台</w:t>
      </w:r>
    </w:p>
    <w:p w14:paraId="3FB77C48">
      <w:pPr>
        <w:bidi w:val="0"/>
        <w:ind w:firstLine="420" w:firstLineChars="0"/>
      </w:pPr>
      <w:r>
        <w:t>需求 FR-ADM-01（优先级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管理员后台首页提供数据控制台总览页面，汇总平台核心运营、数据统计信息。</w:t>
      </w:r>
    </w:p>
    <w:p w14:paraId="05FF8EA6">
      <w:pPr>
        <w:bidi w:val="0"/>
        <w:ind w:firstLine="420" w:firstLineChars="0"/>
      </w:pPr>
      <w:r>
        <w:t>需求 FR-ADM-02（优先级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后台支持对分子、材料、文献元数据字段执行新增、查询、编辑、删除全量管理操作。</w:t>
      </w:r>
    </w:p>
    <w:p w14:paraId="10044BCF">
      <w:pPr>
        <w:bidi w:val="0"/>
        <w:ind w:firstLine="420" w:firstLineChars="0"/>
      </w:pPr>
      <w:r>
        <w:t>需求 FR-ADM-03（优先级 P2）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管理员可自定义新增、编辑数据分类标签，同时提供标签使用权限审核功能。</w:t>
      </w:r>
    </w:p>
    <w:p w14:paraId="14ECF6C4">
      <w:pPr>
        <w:bidi w:val="0"/>
        <w:ind w:firstLine="420" w:firstLineChars="0"/>
      </w:pPr>
      <w:r>
        <w:t>需求 FR-ADM-04（优先级 P1）</w:t>
      </w:r>
      <w:r>
        <w:rPr>
          <w:rFonts w:hint="eastAsia"/>
          <w:lang w:eastAsia="zh-CN"/>
        </w:rPr>
        <w:t>：</w:t>
      </w:r>
      <w:r>
        <w:rPr>
          <w:lang w:val="en-US" w:eastAsia="zh-CN"/>
        </w:rPr>
        <w:t>系统自动留存全平台关键操作行为日志，管理员可在后台按条件查询审计日志记录。</w:t>
      </w:r>
    </w:p>
    <w:p w14:paraId="7F0582D2">
      <w:pPr>
        <w:pStyle w:val="3"/>
        <w:bidi w:val="0"/>
      </w:pPr>
      <w:r>
        <w:rPr>
          <w:rFonts w:hint="default"/>
          <w:lang w:val="en-US" w:eastAsia="zh-CN"/>
        </w:rPr>
        <w:t>功能需求与页面对应关系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532"/>
        <w:gridCol w:w="3150"/>
      </w:tblGrid>
      <w:tr w14:paraId="480BA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2D684D">
            <w:pPr>
              <w:rPr>
                <w:rFonts w:hint="eastAsia" w:eastAsia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前端路由</w:t>
            </w:r>
          </w:p>
        </w:tc>
        <w:tc>
          <w:tcPr>
            <w:tcW w:w="2532" w:type="dxa"/>
          </w:tcPr>
          <w:p w14:paraId="3222B5F2">
            <w:pPr>
              <w:rPr>
                <w:rFonts w:hint="eastAsia" w:eastAsia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页面功能</w:t>
            </w:r>
          </w:p>
        </w:tc>
        <w:tc>
          <w:tcPr>
            <w:tcW w:w="3150" w:type="dxa"/>
          </w:tcPr>
          <w:p w14:paraId="4F0B2E53">
            <w:pPr>
              <w:rPr>
                <w:rFonts w:hint="eastAsia" w:eastAsia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关联需求</w:t>
            </w:r>
          </w:p>
        </w:tc>
      </w:tr>
      <w:tr w14:paraId="6C21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4F3661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`/login` </w:t>
            </w:r>
          </w:p>
        </w:tc>
        <w:tc>
          <w:tcPr>
            <w:tcW w:w="2532" w:type="dxa"/>
          </w:tcPr>
          <w:p w14:paraId="0D628D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  <w:tc>
          <w:tcPr>
            <w:tcW w:w="3150" w:type="dxa"/>
          </w:tcPr>
          <w:p w14:paraId="048767B7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FR-AUTH-01 </w:t>
            </w:r>
          </w:p>
        </w:tc>
      </w:tr>
      <w:tr w14:paraId="23E2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3450D6">
            <w:pPr>
              <w:bidi w:val="0"/>
            </w:pPr>
            <w:r>
              <w:rPr>
                <w:rFonts w:hint="default"/>
                <w:lang w:val="en-US" w:eastAsia="zh-CN"/>
              </w:rPr>
              <w:t>`/register`</w:t>
            </w:r>
          </w:p>
        </w:tc>
        <w:tc>
          <w:tcPr>
            <w:tcW w:w="2532" w:type="dxa"/>
          </w:tcPr>
          <w:p w14:paraId="28332A5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注册</w:t>
            </w:r>
          </w:p>
        </w:tc>
        <w:tc>
          <w:tcPr>
            <w:tcW w:w="3150" w:type="dxa"/>
          </w:tcPr>
          <w:p w14:paraId="7808D96C">
            <w:pPr>
              <w:bidi w:val="0"/>
            </w:pPr>
            <w:r>
              <w:rPr>
                <w:rFonts w:hint="default"/>
                <w:lang w:val="en-US" w:eastAsia="zh-CN"/>
              </w:rPr>
              <w:t>FR-AUTH-02</w:t>
            </w:r>
          </w:p>
        </w:tc>
      </w:tr>
      <w:tr w14:paraId="1CDD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C73A6F">
            <w:pPr>
              <w:bidi w:val="0"/>
            </w:pPr>
            <w:r>
              <w:rPr>
                <w:rFonts w:hint="default"/>
                <w:lang w:val="en-US" w:eastAsia="zh-CN"/>
              </w:rPr>
              <w:t>`/home`</w:t>
            </w:r>
          </w:p>
        </w:tc>
        <w:tc>
          <w:tcPr>
            <w:tcW w:w="2532" w:type="dxa"/>
          </w:tcPr>
          <w:p w14:paraId="67F3D74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首页仪表盘</w:t>
            </w:r>
          </w:p>
        </w:tc>
        <w:tc>
          <w:tcPr>
            <w:tcW w:w="3150" w:type="dxa"/>
          </w:tcPr>
          <w:p w14:paraId="7109CAB7">
            <w:pPr>
              <w:bidi w:val="0"/>
            </w:pPr>
            <w:r>
              <w:rPr>
                <w:rFonts w:hint="default"/>
                <w:lang w:val="en-US" w:eastAsia="zh-CN"/>
              </w:rPr>
              <w:t>FR-DATA 概览、FR-NEWS</w:t>
            </w:r>
          </w:p>
        </w:tc>
      </w:tr>
      <w:tr w14:paraId="2375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D2D2D5">
            <w:pPr>
              <w:bidi w:val="0"/>
            </w:pPr>
            <w:r>
              <w:rPr>
                <w:rFonts w:hint="default"/>
                <w:lang w:val="en-US" w:eastAsia="zh-CN"/>
              </w:rPr>
              <w:t>`/molecule`</w:t>
            </w:r>
          </w:p>
        </w:tc>
        <w:tc>
          <w:tcPr>
            <w:tcW w:w="2532" w:type="dxa"/>
          </w:tcPr>
          <w:p w14:paraId="14B2A7A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分子列表</w:t>
            </w:r>
          </w:p>
        </w:tc>
        <w:tc>
          <w:tcPr>
            <w:tcW w:w="3150" w:type="dxa"/>
          </w:tcPr>
          <w:p w14:paraId="5A340752">
            <w:pPr>
              <w:bidi w:val="0"/>
            </w:pPr>
            <w:r>
              <w:rPr>
                <w:rFonts w:hint="default"/>
                <w:lang w:val="en-US" w:eastAsia="zh-CN"/>
              </w:rPr>
              <w:t>FR-DATA-01</w:t>
            </w:r>
          </w:p>
        </w:tc>
      </w:tr>
      <w:tr w14:paraId="42AB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39DC5D">
            <w:pPr>
              <w:bidi w:val="0"/>
            </w:pPr>
            <w:r>
              <w:rPr>
                <w:rFonts w:hint="default"/>
                <w:lang w:val="en-US" w:eastAsia="zh-CN"/>
              </w:rPr>
              <w:t>`/molecule-detail/:id`</w:t>
            </w:r>
          </w:p>
        </w:tc>
        <w:tc>
          <w:tcPr>
            <w:tcW w:w="2532" w:type="dxa"/>
          </w:tcPr>
          <w:p w14:paraId="482C0EE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分子详情</w:t>
            </w:r>
          </w:p>
        </w:tc>
        <w:tc>
          <w:tcPr>
            <w:tcW w:w="3150" w:type="dxa"/>
          </w:tcPr>
          <w:p w14:paraId="61352EC7">
            <w:pPr>
              <w:bidi w:val="0"/>
            </w:pPr>
            <w:r>
              <w:rPr>
                <w:rFonts w:hint="default"/>
                <w:lang w:val="en-US" w:eastAsia="zh-CN"/>
              </w:rPr>
              <w:t>FR-DATA-02</w:t>
            </w:r>
          </w:p>
        </w:tc>
      </w:tr>
      <w:tr w14:paraId="5653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9D49C8">
            <w:pPr>
              <w:bidi w:val="0"/>
            </w:pPr>
            <w:r>
              <w:rPr>
                <w:rFonts w:hint="default"/>
                <w:lang w:val="en-US" w:eastAsia="zh-CN"/>
              </w:rPr>
              <w:t>`/molecule-similarity`</w:t>
            </w:r>
          </w:p>
        </w:tc>
        <w:tc>
          <w:tcPr>
            <w:tcW w:w="2532" w:type="dxa"/>
          </w:tcPr>
          <w:p w14:paraId="76F03C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相似性搜索</w:t>
            </w:r>
          </w:p>
        </w:tc>
        <w:tc>
          <w:tcPr>
            <w:tcW w:w="3150" w:type="dxa"/>
          </w:tcPr>
          <w:p w14:paraId="07452079">
            <w:pPr>
              <w:bidi w:val="0"/>
            </w:pPr>
            <w:r>
              <w:rPr>
                <w:rFonts w:hint="default"/>
                <w:lang w:val="en-US" w:eastAsia="zh-CN"/>
              </w:rPr>
              <w:t>FR-DATA-03</w:t>
            </w:r>
          </w:p>
        </w:tc>
      </w:tr>
      <w:tr w14:paraId="00FF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7EBFB6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`/materials` </w:t>
            </w:r>
          </w:p>
        </w:tc>
        <w:tc>
          <w:tcPr>
            <w:tcW w:w="2532" w:type="dxa"/>
          </w:tcPr>
          <w:p w14:paraId="26DE893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材料列表</w:t>
            </w:r>
          </w:p>
        </w:tc>
        <w:tc>
          <w:tcPr>
            <w:tcW w:w="3150" w:type="dxa"/>
          </w:tcPr>
          <w:p w14:paraId="6989755F">
            <w:pPr>
              <w:bidi w:val="0"/>
            </w:pPr>
            <w:r>
              <w:rPr>
                <w:rFonts w:hint="default"/>
                <w:lang w:val="en-US" w:eastAsia="zh-CN"/>
              </w:rPr>
              <w:t>FR-DATA-04</w:t>
            </w:r>
          </w:p>
        </w:tc>
      </w:tr>
      <w:tr w14:paraId="2498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224AE3">
            <w:pPr>
              <w:bidi w:val="0"/>
            </w:pPr>
            <w:r>
              <w:rPr>
                <w:rFonts w:hint="default"/>
                <w:lang w:val="en-US" w:eastAsia="zh-CN"/>
              </w:rPr>
              <w:t>`/literature`</w:t>
            </w:r>
          </w:p>
        </w:tc>
        <w:tc>
          <w:tcPr>
            <w:tcW w:w="2532" w:type="dxa"/>
          </w:tcPr>
          <w:p w14:paraId="11E7E8C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文献列表</w:t>
            </w:r>
          </w:p>
        </w:tc>
        <w:tc>
          <w:tcPr>
            <w:tcW w:w="3150" w:type="dxa"/>
          </w:tcPr>
          <w:p w14:paraId="6DBFA778">
            <w:pPr>
              <w:bidi w:val="0"/>
            </w:pPr>
            <w:r>
              <w:rPr>
                <w:rFonts w:hint="default"/>
                <w:lang w:val="en-US" w:eastAsia="zh-CN"/>
              </w:rPr>
              <w:t>FR-DATA-05</w:t>
            </w:r>
          </w:p>
        </w:tc>
      </w:tr>
      <w:tr w14:paraId="488D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242624">
            <w:pPr>
              <w:bidi w:val="0"/>
            </w:pPr>
            <w:r>
              <w:rPr>
                <w:rFonts w:hint="default"/>
                <w:lang w:val="en-US" w:eastAsia="zh-CN"/>
              </w:rPr>
              <w:t>`/xrd-tool`</w:t>
            </w:r>
          </w:p>
        </w:tc>
        <w:tc>
          <w:tcPr>
            <w:tcW w:w="2532" w:type="dxa"/>
          </w:tcPr>
          <w:p w14:paraId="39C614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XRD工具</w:t>
            </w:r>
          </w:p>
        </w:tc>
        <w:tc>
          <w:tcPr>
            <w:tcW w:w="3150" w:type="dxa"/>
          </w:tcPr>
          <w:p w14:paraId="38AA7673">
            <w:pPr>
              <w:bidi w:val="0"/>
            </w:pPr>
            <w:r>
              <w:rPr>
                <w:rFonts w:hint="default"/>
                <w:lang w:val="en-US" w:eastAsia="zh-CN"/>
              </w:rPr>
              <w:t>FR-XRD-*</w:t>
            </w:r>
          </w:p>
        </w:tc>
      </w:tr>
      <w:tr w14:paraId="43F0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B65F1D">
            <w:pPr>
              <w:bidi w:val="0"/>
            </w:pPr>
            <w:r>
              <w:rPr>
                <w:rFonts w:hint="default"/>
                <w:lang w:val="en-US" w:eastAsia="zh-CN"/>
              </w:rPr>
              <w:t>`/upload_data`</w:t>
            </w:r>
          </w:p>
        </w:tc>
        <w:tc>
          <w:tcPr>
            <w:tcW w:w="2532" w:type="dxa"/>
          </w:tcPr>
          <w:p w14:paraId="3651DCB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数据上传</w:t>
            </w:r>
          </w:p>
        </w:tc>
        <w:tc>
          <w:tcPr>
            <w:tcW w:w="3150" w:type="dxa"/>
          </w:tcPr>
          <w:p w14:paraId="61E4846A">
            <w:pPr>
              <w:bidi w:val="0"/>
            </w:pPr>
            <w:r>
              <w:rPr>
                <w:rFonts w:hint="default"/>
                <w:lang w:val="en-US" w:eastAsia="zh-CN"/>
              </w:rPr>
              <w:t>FR-UPL-01</w:t>
            </w:r>
          </w:p>
        </w:tc>
      </w:tr>
      <w:tr w14:paraId="0C3B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8AABFD">
            <w:pPr>
              <w:bidi w:val="0"/>
            </w:pPr>
            <w:r>
              <w:rPr>
                <w:rFonts w:hint="default"/>
                <w:lang w:val="en-US" w:eastAsia="zh-CN"/>
              </w:rPr>
              <w:t>`/controlConsole`</w:t>
            </w:r>
          </w:p>
        </w:tc>
        <w:tc>
          <w:tcPr>
            <w:tcW w:w="2532" w:type="dxa"/>
          </w:tcPr>
          <w:p w14:paraId="316D7FB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管理控制台</w:t>
            </w:r>
          </w:p>
        </w:tc>
        <w:tc>
          <w:tcPr>
            <w:tcW w:w="3150" w:type="dxa"/>
          </w:tcPr>
          <w:p w14:paraId="07B47E64">
            <w:pPr>
              <w:bidi w:val="0"/>
            </w:pPr>
            <w:r>
              <w:rPr>
                <w:rFonts w:hint="default"/>
                <w:lang w:val="en-US" w:eastAsia="zh-CN"/>
              </w:rPr>
              <w:t>FR-ADM-01</w:t>
            </w:r>
          </w:p>
        </w:tc>
      </w:tr>
      <w:tr w14:paraId="6429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6CA474">
            <w:pPr>
              <w:bidi w:val="0"/>
            </w:pPr>
            <w:r>
              <w:rPr>
                <w:rFonts w:hint="default"/>
                <w:lang w:val="en-US" w:eastAsia="zh-CN"/>
              </w:rPr>
              <w:t>全局组件 `IntelligentSearch`</w:t>
            </w:r>
          </w:p>
        </w:tc>
        <w:tc>
          <w:tcPr>
            <w:tcW w:w="2532" w:type="dxa"/>
          </w:tcPr>
          <w:p w14:paraId="24C777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AI助手</w:t>
            </w:r>
          </w:p>
        </w:tc>
        <w:tc>
          <w:tcPr>
            <w:tcW w:w="3150" w:type="dxa"/>
          </w:tcPr>
          <w:p w14:paraId="236839C1">
            <w:pPr>
              <w:bidi w:val="0"/>
            </w:pPr>
            <w:r>
              <w:rPr>
                <w:rFonts w:hint="default"/>
                <w:lang w:val="en-US" w:eastAsia="zh-CN"/>
              </w:rPr>
              <w:t>FR-AI-*</w:t>
            </w:r>
          </w:p>
        </w:tc>
      </w:tr>
    </w:tbl>
    <w:p w14:paraId="4DDC0846"/>
    <w:p w14:paraId="5E4E36BE">
      <w:pPr>
        <w:pStyle w:val="2"/>
        <w:bidi w:val="0"/>
      </w:pPr>
      <w:r>
        <w:rPr>
          <w:rFonts w:hint="eastAsia"/>
          <w:lang w:val="en-US" w:eastAsia="zh-CN"/>
        </w:rPr>
        <w:t>非功能性需求</w:t>
      </w:r>
    </w:p>
    <w:p w14:paraId="07FD0FEA">
      <w:pPr>
        <w:pStyle w:val="3"/>
        <w:bidi w:val="0"/>
      </w:pPr>
      <w:r>
        <w:rPr>
          <w:rFonts w:hint="default"/>
          <w:lang w:val="en-US" w:eastAsia="zh-CN"/>
        </w:rPr>
        <w:t>性能需求</w:t>
      </w:r>
    </w:p>
    <w:p w14:paraId="67947CBC">
      <w:pPr>
        <w:bidi w:val="0"/>
        <w:rPr>
          <w:lang w:val="en-US" w:eastAsia="zh-CN"/>
        </w:rPr>
      </w:pPr>
      <w:r>
        <w:rPr>
          <w:lang w:val="en-US" w:eastAsia="zh-CN"/>
        </w:rPr>
        <w:t xml:space="preserve">需求编号：NFR-PERF-01 </w:t>
      </w:r>
    </w:p>
    <w:p w14:paraId="6543309D">
      <w:pPr>
        <w:bidi w:val="0"/>
        <w:ind w:firstLine="420" w:firstLineChars="0"/>
      </w:pPr>
      <w:r>
        <w:rPr>
          <w:lang w:val="en-US" w:eastAsia="zh-CN"/>
        </w:rPr>
        <w:t>常规列表页面首屏加载速度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性能指标：本地环境下加载耗时不超过 3 秒</w:t>
      </w:r>
    </w:p>
    <w:p w14:paraId="3B64F2B8">
      <w:pPr>
        <w:bidi w:val="0"/>
        <w:rPr>
          <w:lang w:val="en-US" w:eastAsia="zh-CN"/>
        </w:rPr>
      </w:pPr>
      <w:r>
        <w:rPr>
          <w:lang w:val="en-US" w:eastAsia="zh-CN"/>
        </w:rPr>
        <w:t xml:space="preserve">需求编号：NFR-PERF-02 </w:t>
      </w:r>
    </w:p>
    <w:p w14:paraId="7FB911BC">
      <w:pPr>
        <w:bidi w:val="0"/>
        <w:ind w:firstLine="420" w:firstLineChars="0"/>
      </w:pPr>
      <w:r>
        <w:rPr>
          <w:lang w:val="en-US" w:eastAsia="zh-CN"/>
        </w:rPr>
        <w:t>用户登录接口请求响应速度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性能指标：接口整体响应时长不超过 1 秒</w:t>
      </w:r>
    </w:p>
    <w:p w14:paraId="42B5100B">
      <w:pPr>
        <w:bidi w:val="0"/>
        <w:rPr>
          <w:lang w:val="en-US" w:eastAsia="zh-CN"/>
        </w:rPr>
      </w:pPr>
      <w:r>
        <w:rPr>
          <w:lang w:val="en-US" w:eastAsia="zh-CN"/>
        </w:rPr>
        <w:t xml:space="preserve">需求编号：NFR-PERF-03 </w:t>
      </w:r>
    </w:p>
    <w:p w14:paraId="60E957FD">
      <w:pPr>
        <w:bidi w:val="0"/>
        <w:ind w:firstLine="420" w:firstLineChars="0"/>
      </w:pPr>
      <w:r>
        <w:rPr>
          <w:lang w:val="en-US" w:eastAsia="zh-CN"/>
        </w:rPr>
        <w:t>XRD 常规体量数据完整处理流程（包含模型加载耗时）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性能指标：完整处理总时长不超过 60 秒</w:t>
      </w:r>
    </w:p>
    <w:p w14:paraId="5425F029">
      <w:pPr>
        <w:bidi w:val="0"/>
        <w:rPr>
          <w:lang w:val="en-US" w:eastAsia="zh-CN"/>
        </w:rPr>
      </w:pPr>
      <w:r>
        <w:rPr>
          <w:lang w:val="en-US" w:eastAsia="zh-CN"/>
        </w:rPr>
        <w:t xml:space="preserve">需求编号：NFR-PERF-04 </w:t>
      </w:r>
    </w:p>
    <w:p w14:paraId="324F3131">
      <w:pPr>
        <w:bidi w:val="0"/>
        <w:ind w:firstLine="420" w:firstLineChars="0"/>
      </w:pPr>
      <w:r>
        <w:rPr>
          <w:lang w:val="en-US" w:eastAsia="zh-CN"/>
        </w:rPr>
        <w:t>AI 智能问答首次内容返回响应速度（受第三方大模型接口性能约束）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性能指标：首次输出内容耗时不超过 10 秒</w:t>
      </w:r>
    </w:p>
    <w:p w14:paraId="7ED8E44B">
      <w:pPr>
        <w:pStyle w:val="3"/>
        <w:bidi w:val="0"/>
      </w:pPr>
      <w:r>
        <w:rPr>
          <w:rFonts w:hint="default"/>
          <w:lang w:val="en-US" w:eastAsia="zh-CN"/>
        </w:rPr>
        <w:t>安全需求</w:t>
      </w:r>
    </w:p>
    <w:p w14:paraId="5B89781A">
      <w:pPr>
        <w:rPr>
          <w:rFonts w:hint="eastAsia"/>
        </w:rPr>
      </w:pPr>
      <w:r>
        <w:rPr>
          <w:rFonts w:hint="eastAsia"/>
        </w:rPr>
        <w:t>需求编号：NFR-SEC-01</w:t>
      </w:r>
    </w:p>
    <w:p w14:paraId="60ED418F">
      <w:pPr>
        <w:ind w:firstLine="420" w:firstLineChars="0"/>
        <w:rPr>
          <w:rFonts w:hint="eastAsia"/>
        </w:rPr>
      </w:pPr>
      <w:r>
        <w:rPr>
          <w:rFonts w:hint="eastAsia"/>
        </w:rPr>
        <w:t>除注册、登录、访客计数三类接口外，其余全部业务接口必须通过 JWT Token 完成身份鉴权校验。</w:t>
      </w:r>
    </w:p>
    <w:p w14:paraId="6BC63BE0">
      <w:pPr>
        <w:rPr>
          <w:rFonts w:hint="eastAsia"/>
        </w:rPr>
      </w:pPr>
      <w:r>
        <w:rPr>
          <w:rFonts w:hint="eastAsia"/>
        </w:rPr>
        <w:t>需求编号：NFR-SEC-02</w:t>
      </w:r>
    </w:p>
    <w:p w14:paraId="62D2E07E">
      <w:pPr>
        <w:ind w:firstLine="420" w:firstLineChars="0"/>
        <w:rPr>
          <w:rFonts w:hint="eastAsia"/>
        </w:rPr>
      </w:pPr>
      <w:r>
        <w:rPr>
          <w:rFonts w:hint="eastAsia"/>
        </w:rPr>
        <w:t>用户登录密码不允许明文存储，采用 SHA-256 哈希算法加密；项目上线生产环境推荐更换 bcrypt 加密算法进一步提升安全性。</w:t>
      </w:r>
    </w:p>
    <w:p w14:paraId="12ABC4DD">
      <w:pPr>
        <w:rPr>
          <w:rFonts w:hint="eastAsia"/>
        </w:rPr>
      </w:pPr>
      <w:r>
        <w:rPr>
          <w:rFonts w:hint="eastAsia"/>
        </w:rPr>
        <w:t>需求编号：NFR-SEC-03</w:t>
      </w:r>
    </w:p>
    <w:p w14:paraId="3F58FDB2">
      <w:pPr>
        <w:ind w:firstLine="420" w:firstLineChars="0"/>
        <w:rPr>
          <w:rFonts w:hint="eastAsia"/>
        </w:rPr>
      </w:pPr>
      <w:r>
        <w:rPr>
          <w:rFonts w:hint="eastAsia"/>
        </w:rPr>
        <w:t>后台管理员相关操作执行双重权限校验，前端页面拦截普通用户访问路径，后端接口二次校验用户角色身份，防止越权操作。</w:t>
      </w:r>
    </w:p>
    <w:p w14:paraId="1B4E6D95">
      <w:pPr>
        <w:rPr>
          <w:rFonts w:hint="eastAsia"/>
        </w:rPr>
      </w:pPr>
      <w:r>
        <w:rPr>
          <w:rFonts w:hint="eastAsia"/>
        </w:rPr>
        <w:t>需求编号：NFR-SEC-04</w:t>
      </w:r>
    </w:p>
    <w:p w14:paraId="258F927C">
      <w:pPr>
        <w:ind w:firstLine="420" w:firstLineChars="0"/>
        <w:rPr>
          <w:rFonts w:hint="eastAsia"/>
        </w:rPr>
      </w:pPr>
      <w:r>
        <w:rPr>
          <w:rFonts w:hint="eastAsia"/>
        </w:rPr>
        <w:t>所有数据库查询操作采用参数化查询方式，严格规避 SQL 注入安全漏洞。</w:t>
      </w:r>
    </w:p>
    <w:p w14:paraId="49316B5A">
      <w:pPr>
        <w:rPr>
          <w:rFonts w:hint="eastAsia"/>
        </w:rPr>
      </w:pPr>
      <w:r>
        <w:rPr>
          <w:rFonts w:hint="eastAsia"/>
        </w:rPr>
        <w:t>需求编号：NFR-SEC-05</w:t>
      </w:r>
    </w:p>
    <w:p w14:paraId="30CD10D3">
      <w:pPr>
        <w:ind w:firstLine="420" w:firstLineChars="0"/>
      </w:pPr>
      <w:r>
        <w:rPr>
          <w:rFonts w:hint="eastAsia"/>
        </w:rPr>
        <w:t>账号权限变更、元数据修改、标签审核等所有敏感操作自动写入系统审计日志，完整留存操作人、操作时间、操作内容。</w:t>
      </w:r>
    </w:p>
    <w:p w14:paraId="1CB87B10">
      <w:pPr>
        <w:pStyle w:val="3"/>
        <w:bidi w:val="0"/>
      </w:pPr>
      <w:r>
        <w:rPr>
          <w:rFonts w:hint="default"/>
          <w:lang w:val="en-US" w:eastAsia="zh-CN"/>
        </w:rPr>
        <w:t>可用性需求</w:t>
      </w:r>
    </w:p>
    <w:p w14:paraId="5D7A4041">
      <w:pPr>
        <w:rPr>
          <w:rFonts w:hint="eastAsia"/>
        </w:rPr>
      </w:pPr>
      <w:r>
        <w:rPr>
          <w:rFonts w:hint="eastAsia"/>
        </w:rPr>
        <w:t>需求编号：NFR-USA-01</w:t>
      </w:r>
    </w:p>
    <w:p w14:paraId="3A2865F2">
      <w:pPr>
        <w:ind w:firstLine="420" w:firstLineChars="0"/>
        <w:rPr>
          <w:rFonts w:hint="eastAsia"/>
        </w:rPr>
      </w:pPr>
      <w:r>
        <w:rPr>
          <w:rFonts w:hint="eastAsia"/>
        </w:rPr>
        <w:t>全站界面统一使用 Element UI 组件库搭建，页面布局规整、功能分区清晰，视觉风格保持统一。</w:t>
      </w:r>
    </w:p>
    <w:p w14:paraId="0002E4FC">
      <w:pPr>
        <w:rPr>
          <w:rFonts w:hint="eastAsia"/>
        </w:rPr>
      </w:pPr>
      <w:r>
        <w:rPr>
          <w:rFonts w:hint="eastAsia"/>
        </w:rPr>
        <w:t>需求编号：NFR-USA-02</w:t>
      </w:r>
    </w:p>
    <w:p w14:paraId="16A9BF39">
      <w:pPr>
        <w:ind w:firstLine="420" w:firstLineChars="0"/>
        <w:rPr>
          <w:rFonts w:hint="eastAsia"/>
        </w:rPr>
      </w:pPr>
      <w:r>
        <w:rPr>
          <w:rFonts w:hint="eastAsia"/>
        </w:rPr>
        <w:t>平台内置中英文双语切换能力，基于 vue-i18n 国际化组件实现全页面文本切换。</w:t>
      </w:r>
    </w:p>
    <w:p w14:paraId="38A415E0">
      <w:pPr>
        <w:rPr>
          <w:rFonts w:hint="eastAsia"/>
        </w:rPr>
      </w:pPr>
      <w:r>
        <w:rPr>
          <w:rFonts w:hint="eastAsia"/>
        </w:rPr>
        <w:t>需求编号：NFR-USA-03</w:t>
      </w:r>
    </w:p>
    <w:p w14:paraId="33F70FAB">
      <w:pPr>
        <w:ind w:firstLine="420" w:firstLineChars="0"/>
        <w:rPr>
          <w:rFonts w:hint="eastAsia"/>
        </w:rPr>
      </w:pPr>
      <w:r>
        <w:rPr>
          <w:rFonts w:hint="eastAsia"/>
        </w:rPr>
        <w:t>XRD 数据分析工具内置示范数据集，页面附带数据格式规范说明，降低用户使用门槛。</w:t>
      </w:r>
    </w:p>
    <w:p w14:paraId="7CEF5C33">
      <w:pPr>
        <w:rPr>
          <w:rFonts w:hint="eastAsia"/>
        </w:rPr>
      </w:pPr>
      <w:r>
        <w:rPr>
          <w:rFonts w:hint="eastAsia"/>
        </w:rPr>
        <w:t>需求编号：NFR-USA-04</w:t>
      </w:r>
    </w:p>
    <w:p w14:paraId="16A856D6">
      <w:pPr>
        <w:ind w:firstLine="420" w:firstLineChars="0"/>
        <w:rPr>
          <w:rFonts w:hint="eastAsia"/>
        </w:rPr>
      </w:pPr>
      <w:r>
        <w:rPr>
          <w:rFonts w:hint="eastAsia"/>
        </w:rPr>
        <w:t>文件上传、数据运算、接口请求等操作执行失败时，页面展示清晰易懂的文字错误提示，禁止空白白屏无反馈场景。</w:t>
      </w:r>
    </w:p>
    <w:p w14:paraId="6051B516">
      <w:pPr>
        <w:rPr>
          <w:rFonts w:hint="eastAsia"/>
        </w:rPr>
      </w:pPr>
      <w:r>
        <w:rPr>
          <w:rFonts w:hint="eastAsia"/>
        </w:rPr>
        <w:t>需求编号：NFR-USA-05</w:t>
      </w:r>
    </w:p>
    <w:p w14:paraId="3A6F01A6">
      <w:pPr>
        <w:ind w:firstLine="420" w:firstLineChars="0"/>
      </w:pPr>
      <w:r>
        <w:rPr>
          <w:rFonts w:hint="eastAsia"/>
        </w:rPr>
        <w:t>平台前端页面兼容 Chrome、Edge 两款主流浏览器的最新稳定版本。</w:t>
      </w:r>
    </w:p>
    <w:p w14:paraId="4E7F6355">
      <w:pPr>
        <w:pStyle w:val="3"/>
        <w:bidi w:val="0"/>
      </w:pPr>
      <w:r>
        <w:rPr>
          <w:rFonts w:hint="default"/>
          <w:lang w:val="en-US" w:eastAsia="zh-CN"/>
        </w:rPr>
        <w:t>可维护性需求</w:t>
      </w:r>
    </w:p>
    <w:p w14:paraId="2C21791B">
      <w:pPr>
        <w:rPr>
          <w:rFonts w:hint="eastAsia"/>
        </w:rPr>
      </w:pPr>
      <w:r>
        <w:rPr>
          <w:rFonts w:hint="eastAsia"/>
        </w:rPr>
        <w:t>需求编号：NFR-MAIN-01</w:t>
      </w:r>
    </w:p>
    <w:p w14:paraId="7BA506EA">
      <w:pPr>
        <w:ind w:firstLine="420" w:firstLineChars="0"/>
        <w:rPr>
          <w:rFonts w:hint="eastAsia"/>
        </w:rPr>
      </w:pPr>
      <w:r>
        <w:rPr>
          <w:rFonts w:hint="eastAsia"/>
        </w:rPr>
        <w:t>项目采用标准前后端分离架构，所有后端接口统一固定返回格式，固定包含 code 状态码、msg 提示信息、data 业务数据三层字段。</w:t>
      </w:r>
    </w:p>
    <w:p w14:paraId="6B122228">
      <w:pPr>
        <w:rPr>
          <w:rFonts w:hint="eastAsia"/>
        </w:rPr>
      </w:pPr>
      <w:r>
        <w:rPr>
          <w:rFonts w:hint="eastAsia"/>
        </w:rPr>
        <w:t>需求编号：NFR-MAIN-02</w:t>
      </w:r>
    </w:p>
    <w:p w14:paraId="50BBBDBE">
      <w:pPr>
        <w:ind w:firstLine="420" w:firstLineChars="0"/>
        <w:rPr>
          <w:rFonts w:hint="eastAsia"/>
        </w:rPr>
      </w:pPr>
      <w:r>
        <w:rPr>
          <w:rFonts w:hint="eastAsia"/>
        </w:rPr>
        <w:t>配套接口说明文档与开发实现进度同步更新维护，保证文档内容与线上接口逻辑保持一致。</w:t>
      </w:r>
    </w:p>
    <w:p w14:paraId="42615588">
      <w:pPr>
        <w:rPr>
          <w:rFonts w:hint="eastAsia"/>
        </w:rPr>
      </w:pPr>
      <w:r>
        <w:rPr>
          <w:rFonts w:hint="eastAsia"/>
        </w:rPr>
        <w:t>需求编号：NFR-MAIN-03</w:t>
      </w:r>
    </w:p>
    <w:p w14:paraId="15AE0E14">
      <w:pPr>
        <w:ind w:firstLine="420" w:firstLineChars="0"/>
        <w:rPr>
          <w:rFonts w:hint="eastAsia"/>
        </w:rPr>
      </w:pPr>
      <w:r>
        <w:rPr>
          <w:rFonts w:hint="eastAsia"/>
        </w:rPr>
        <w:t>项目提供一键启停运行脚本，配套完整部署操作手册，降低环境部署与运维操作难度。</w:t>
      </w:r>
    </w:p>
    <w:p w14:paraId="3538AC86">
      <w:pPr>
        <w:rPr>
          <w:rFonts w:hint="eastAsia"/>
        </w:rPr>
      </w:pPr>
      <w:r>
        <w:rPr>
          <w:rFonts w:hint="eastAsia"/>
        </w:rPr>
        <w:t>需求编号：NFR-MAIN-04</w:t>
      </w:r>
    </w:p>
    <w:p w14:paraId="3A3086E9">
      <w:pPr>
        <w:ind w:firstLine="420" w:firstLineChars="0"/>
      </w:pPr>
      <w:r>
        <w:rPr>
          <w:rFonts w:hint="eastAsia"/>
        </w:rPr>
        <w:t>项目提供initial_db.py数据库初始化脚本，可重复执行完成数据库建表、基础测试数据初始化操作。</w:t>
      </w:r>
    </w:p>
    <w:p w14:paraId="700F3B65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可靠性需求</w:t>
      </w:r>
    </w:p>
    <w:p w14:paraId="1979B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需求编号：NFR-REL-01</w:t>
      </w:r>
    </w:p>
    <w:p w14:paraId="47F64A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后端程序出现代码异常、逻辑报错时，统一返回标准化错误状态码，前端可依据错误码展示对应友好提示文案。</w:t>
      </w:r>
    </w:p>
    <w:p w14:paraId="34874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需求编号：NFR-REL-02</w:t>
      </w:r>
    </w:p>
    <w:p w14:paraId="12AC47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Agent 问答服务离线、宕机或接口超时不可访问时，前端页面主动展示服务不可用、请求超时类提示，避免页面卡死。</w:t>
      </w:r>
    </w:p>
    <w:p w14:paraId="3113B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需求编号：NFR-REL-03</w:t>
      </w:r>
    </w:p>
    <w:p w14:paraId="4A72A0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项目使用 SQLite 文件型数据库，支持数据库文件完整备份、覆盖恢复操作，保障数据可留存、可回滚。</w:t>
      </w:r>
    </w:p>
    <w:p w14:paraId="0CEFBFA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数据需求分析</w:t>
      </w:r>
    </w:p>
    <w:p w14:paraId="16FA28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数据分类</w:t>
      </w:r>
    </w:p>
    <w:p w14:paraId="0AA43E1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根据平台业务场景与数据用途，系统全部业务数据可划分为九大类，每类数据对应独立数据表与专属存储方案，保证数据隔离、结构清晰。</w:t>
      </w:r>
    </w:p>
    <w:p w14:paraId="2654E0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用户数据：主要包含平台账号信息、用户角色权限、邮箱联系方式等账号基础资料，统一存储在 users 数据表中，用于平台身份认证与权限管控。</w:t>
      </w:r>
    </w:p>
    <w:p w14:paraId="528000E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分子数据：存储化学分子的结构标识、物化参数、三维特征等核心分子信息，通过 molecules 数据表持久化，支撑分子检索、分子详情展示、相似分子匹配功能。</w:t>
      </w:r>
    </w:p>
    <w:p w14:paraId="0325A87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材料数据：涵盖各类材料名称、晶系结构、能带参数、材料类型等科研参数，存放于 materials 数据表，用于材料数据展示与材料分析业务。</w:t>
      </w:r>
    </w:p>
    <w:p w14:paraId="22130B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文献数据：保存科研文献的 DOI 编号、文献标题、作者信息、摘要内容等文献核心字段，存储在 literature 数据表，实现文献浏览与检索管理。</w:t>
      </w:r>
    </w:p>
    <w:p w14:paraId="0BA327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谱学数据：存储红外光谱、XRD 衍射等谱学实验曲线数据与特征峰值信息，统一存储在 spectrum 数据表，支撑谱图可视化与数据分析工具。</w:t>
      </w:r>
    </w:p>
    <w:p w14:paraId="1FFC28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资讯数据：包含平台新闻内容、公告内容、发布时间等信息，分别存储在 news 数据表与 announcements 数据表，用于首页资讯展示。</w:t>
      </w:r>
    </w:p>
    <w:p w14:paraId="24C6B0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系统数据：包含平台元数据字段定义、分类标签数据、用户操作审计日志等系统级数据，由 metadata、audit_logs 等系统数据表统一管理，支撑后台运维审核与系统规范管理。</w:t>
      </w:r>
    </w:p>
    <w:p w14:paraId="1C436C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文件数据：用户上传的化学数据文件、模型文件、实验附件等资源，统一存入对象存储，并通过 obs_files 数据表记录文件索引信息。</w:t>
      </w:r>
    </w:p>
    <w:p w14:paraId="3ABB97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运行时数据：包含用户登录令牌 Token、平台访客统计等临时性与统计类数据，部分存放内存，访客统计持久化存储于 visitor_count 数据表。</w:t>
      </w:r>
    </w:p>
    <w:p w14:paraId="6945D4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核心实体及关系</w:t>
      </w:r>
    </w:p>
    <w:p w14:paraId="6DA0EC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系统核心业务实体包含用户、分子、材料、文献、谱学数据、文件资源、标签、审计日志、元数据等。</w:t>
      </w:r>
    </w:p>
    <w:p w14:paraId="27B87F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整体实体关系逻辑如下：</w:t>
      </w:r>
    </w:p>
    <w:p w14:paraId="154928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产生多条系统操作审计日志；单个分子可以关联多条谱学实验数据；分子与标签为多对多关联关系，材料与标签同样支持多标签关联；分子可挂载多个上传文件附件；系统元数据用于统一描述分子、材料等核心数据的字段规范，约束平台数据格式。</w:t>
      </w:r>
    </w:p>
    <w:p w14:paraId="34FFFC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主要数据表需求</w:t>
      </w:r>
    </w:p>
    <w:p w14:paraId="002095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系统根据业务模块设计多张核心数据表，每张数据表承担对应的业务承载能力。</w:t>
      </w:r>
    </w:p>
    <w:p w14:paraId="44D043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用户数据表存储用户名、加密密码、邮箱、用户角色等核心字段，主要用于用户登录认证、权限区分、账号管理。</w:t>
      </w:r>
    </w:p>
    <w:p w14:paraId="6C9702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分子数据表存储分子式、SMILES 结构、InChI 编码、分子量、标签信息等，支撑分子检索、分子详情展示、相似分子匹配功能。</w:t>
      </w:r>
    </w:p>
    <w:p w14:paraId="0105BD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材料数据表记录材料名称、分子式、材料类型、能带间隙、晶系结构等参数，用于材料数据展示、材料分类检索、材料科研分析。</w:t>
      </w:r>
    </w:p>
    <w:p w14:paraId="2BC5DD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文献数据表保存文献 DOI、标题、作者、摘要信息，用于文献列表展示、文献检索、文献详情查阅。</w:t>
      </w:r>
    </w:p>
    <w:p w14:paraId="0E2A2A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谱学数据表关联分子编号、光谱类型、特征峰值、数据点阵等信息，支撑光谱曲线图渲染与谱学数据展示功能。</w:t>
      </w:r>
    </w:p>
    <w:p w14:paraId="5108E9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新闻与公告数据表存储资讯标题、正文内容、发布时间，用于平台首页资讯动态展示。</w:t>
      </w:r>
    </w:p>
    <w:p w14:paraId="21D8EB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审计日志数据表记录操作人 ID、操作行为、操作资源、操作时间，用于系统安全审计、行为追溯、后台运维核查。</w:t>
      </w:r>
    </w:p>
    <w:p w14:paraId="48A170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元数据数据表定义字段中英文名称、字段类型、是否必填等规范，统一管控全平台业务数据字段格式标准。</w:t>
      </w:r>
    </w:p>
    <w:p w14:paraId="30224E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完整数据表字段详情可参考项目文档目录下的数据库设计文档，以及后端数据库初始化脚本文件。</w:t>
      </w:r>
    </w:p>
    <w:p w14:paraId="303228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数据量与增长预估</w:t>
      </w:r>
    </w:p>
    <w:p w14:paraId="6600EA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本平台面向课程实训与课题组小型科研场景，整体数据体量轻量可控。</w:t>
      </w:r>
    </w:p>
    <w:p w14:paraId="3EE1A1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分子数据初期预存规模为百级至千级条演示数据，后续可通过用户上传、批量导入持续增量增长。</w:t>
      </w:r>
    </w:p>
    <w:p w14:paraId="197B49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材料数据初期为百级条目，主要依托课题组实验数据批量导入补充。</w:t>
      </w:r>
    </w:p>
    <w:p w14:paraId="4A7295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文献数据初期为百级规模，支持手动录入与批量导入扩充。</w:t>
      </w:r>
    </w:p>
    <w:p w14:paraId="7E1024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平台用户规模适配课程实训，预估为十人至五十人区间。</w:t>
      </w:r>
    </w:p>
    <w:p w14:paraId="35B057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XRD 数据分析产生的运算数据为单次临时数据，默认不持久化，可根据需求选择性保存。</w:t>
      </w:r>
    </w:p>
    <w:p w14:paraId="2FDC4A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当前采用 SQLite 数据库完全满足课程演示、实训结题、课题组小规模使用。若后期业务迭代数据量达到十万级以上，可平滑迁移至 MySQL 数据库，并引入 Elasticsearch 优化大规模检索性能。</w:t>
      </w:r>
    </w:p>
    <w:p w14:paraId="0FE087A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数据质量需求</w:t>
      </w:r>
    </w:p>
    <w:p w14:paraId="3D7E977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为保证平台数据规范、唯一、可追溯、可管理，系统制定多项数据质量约束规范。</w:t>
      </w:r>
    </w:p>
    <w:p w14:paraId="3870E1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DR-01 分子唯一约束：分子 InChIKey 设置数据库唯一索引约束，避免重复分子数据重复入库，保证分子数据唯一性。</w:t>
      </w:r>
    </w:p>
    <w:p w14:paraId="388B70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DR-02 文献唯一约束：文献 DOI 字段设置唯一索引，防止同一文献重复录入，保证文献数据规整。</w:t>
      </w:r>
    </w:p>
    <w:p w14:paraId="343A3A2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DR-03 用户唯一性约束：用户用户名字段全局唯一，系统禁止同名用户重复注册，保证账号体系唯一可靠。</w:t>
      </w:r>
    </w:p>
    <w:p w14:paraId="31627A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DR-04 数据溯源需求：所有入库科研数据必须记录上传人、所属课题组、采集时间，实现科研数据可溯源、可复盘。</w:t>
      </w:r>
    </w:p>
    <w:p w14:paraId="00489BA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DR-05 逻辑删除需求：系统全部核心业务数据采用逻辑删除机制，通过删除标识保留历史数据记录，不物理销毁，保障数据留存完整。</w:t>
      </w:r>
    </w:p>
    <w:p w14:paraId="0FB660F6">
      <w:pPr>
        <w:pStyle w:val="2"/>
        <w:bidi w:val="0"/>
      </w:pPr>
      <w:r>
        <w:rPr>
          <w:rFonts w:hint="default"/>
          <w:lang w:val="en-US" w:eastAsia="zh-CN"/>
        </w:rPr>
        <w:t>接口与系统集成需求</w:t>
      </w:r>
    </w:p>
    <w:p w14:paraId="4594E3AB">
      <w:pPr>
        <w:pStyle w:val="3"/>
        <w:bidi w:val="0"/>
      </w:pPr>
      <w:r>
        <w:rPr>
          <w:rFonts w:hint="default"/>
          <w:lang w:val="en-US" w:eastAsia="zh-CN"/>
        </w:rPr>
        <w:t>系统架构集成</w:t>
      </w:r>
    </w:p>
    <w:p w14:paraId="576D6CED">
      <w:pPr>
        <w:ind w:firstLine="420" w:firstLineChars="0"/>
        <w:rPr>
          <w:rFonts w:hint="eastAsia"/>
        </w:rPr>
      </w:pPr>
      <w:r>
        <w:rPr>
          <w:rFonts w:hint="eastAsia"/>
        </w:rPr>
        <w:t>本平台采用前后端分离架构，整体由 Vue 前端、FastAPI 后端、AI Agent 智能服务三层架构组成，各模块通过 HTTP、JSON 协议完成数据交互，服务解耦清晰、便于独立开发与部署。</w:t>
      </w:r>
    </w:p>
    <w:p w14:paraId="53AF48ED">
      <w:pPr>
        <w:ind w:firstLine="420" w:firstLineChars="0"/>
      </w:pPr>
      <w:r>
        <w:rPr>
          <w:rFonts w:hint="eastAsia"/>
        </w:rPr>
        <w:t>前端基于 Vue 框架运行在 8080 端口，所有业务请求统一转发至后端接口地址。后端采用 FastAPI 框架运行在 8000 端口，搭载 SQLite 数据库承担全部业务逻辑处理、数据持久化、权限校验等核心能力。后端可通过 HTTP 协议对接外置 AI Agent 服务，整合大模型与向量检索能力，实现智能问答、知识库检索等智能化业务功能，完成整套系统的业务闭环。</w:t>
      </w:r>
    </w:p>
    <w:p w14:paraId="43F5F78D">
      <w:pPr>
        <w:pStyle w:val="3"/>
        <w:bidi w:val="0"/>
      </w:pPr>
      <w:r>
        <w:rPr>
          <w:rFonts w:hint="default"/>
          <w:lang w:val="en-US" w:eastAsia="zh-CN"/>
        </w:rPr>
        <w:t>接口设计原则</w:t>
      </w:r>
    </w:p>
    <w:p w14:paraId="599914F6">
      <w:pPr>
        <w:ind w:firstLine="420" w:firstLineChars="0"/>
        <w:rPr>
          <w:rFonts w:hint="eastAsia"/>
        </w:rPr>
      </w:pPr>
      <w:r>
        <w:rPr>
          <w:rFonts w:hint="eastAsia"/>
        </w:rPr>
        <w:t>本项目后端接口严格遵循规范化设计标准，统一接口规范，保证接口简洁、易维护、可扩展。</w:t>
      </w:r>
    </w:p>
    <w:p w14:paraId="3E9D54AC">
      <w:pPr>
        <w:ind w:firstLine="420" w:firstLineChars="0"/>
        <w:rPr>
          <w:rFonts w:hint="eastAsia"/>
        </w:rPr>
      </w:pPr>
      <w:r>
        <w:rPr>
          <w:rFonts w:hint="eastAsia"/>
        </w:rPr>
        <w:t>第一，统一接口路径前缀。前端访问路径统一携带 /pichemdata/api 前缀，通过代理转发至后端统一 /api 接口根路径，保证前后端路由统一规整。</w:t>
      </w:r>
    </w:p>
    <w:p w14:paraId="70F3DF5A">
      <w:pPr>
        <w:ind w:firstLine="420" w:firstLineChars="0"/>
        <w:rPr>
          <w:rFonts w:hint="eastAsia"/>
        </w:rPr>
      </w:pPr>
      <w:r>
        <w:rPr>
          <w:rFonts w:hint="eastAsia"/>
        </w:rPr>
        <w:t>第二，统一接口返回格式。所有接口采用标准化 JSON 结构返回数据，固定包含状态码 code、提示信息 msg、业务数据 data 三段结构，便于前端统一解析与异常处理。</w:t>
      </w:r>
    </w:p>
    <w:p w14:paraId="4ED8BFDE">
      <w:pPr>
        <w:ind w:firstLine="420" w:firstLineChars="0"/>
        <w:rPr>
          <w:rFonts w:hint="eastAsia"/>
        </w:rPr>
      </w:pPr>
      <w:r>
        <w:rPr>
          <w:rFonts w:hint="eastAsia"/>
        </w:rPr>
        <w:t>第三，统一分页返回结构。所有列表类接口统一封装分页数据，包含结果数据集、当前页码、页容量、数据总条数，实现前端通用分页组件复用。</w:t>
      </w:r>
    </w:p>
    <w:p w14:paraId="32A29237">
      <w:pPr>
        <w:ind w:firstLine="420" w:firstLineChars="0"/>
        <w:rPr>
          <w:rFonts w:hint="eastAsia"/>
        </w:rPr>
      </w:pPr>
      <w:r>
        <w:rPr>
          <w:rFonts w:hint="eastAsia"/>
        </w:rPr>
        <w:t>第四，统一身份认证方式。所有需要鉴权的业务接口统一采用 Bearer Token 令牌认证方式，通过请求头 Authorization 字段携带用户身份信息，完成权限校验。</w:t>
      </w:r>
    </w:p>
    <w:p w14:paraId="272FAAE6">
      <w:pPr>
        <w:ind w:firstLine="420" w:firstLineChars="0"/>
      </w:pPr>
      <w:r>
        <w:rPr>
          <w:rFonts w:hint="eastAsia"/>
        </w:rPr>
        <w:t>第五，遵循 RESTful 接口设计风格。接口采用资源名词定义路径，配合 GET、POST、PUT、DELETE 标准 HTTP 动词区分业务操作，接口语义清晰、规范通用。</w:t>
      </w:r>
    </w:p>
    <w:p w14:paraId="7A6F246E">
      <w:pPr>
        <w:pStyle w:val="3"/>
        <w:bidi w:val="0"/>
      </w:pPr>
      <w:r>
        <w:rPr>
          <w:rFonts w:hint="default"/>
          <w:lang w:val="en-US" w:eastAsia="zh-CN"/>
        </w:rPr>
        <w:t>外部系统集成需求</w:t>
      </w:r>
    </w:p>
    <w:p w14:paraId="591AE83E">
      <w:pPr>
        <w:ind w:firstLine="420" w:firstLineChars="0"/>
        <w:rPr>
          <w:rFonts w:hint="eastAsia"/>
        </w:rPr>
      </w:pPr>
      <w:r>
        <w:rPr>
          <w:rFonts w:hint="eastAsia"/>
        </w:rPr>
        <w:t>本平台智能化与科研数据能力依赖第三方外部系统集成，通过标准化接口对接实现功能拓展，具体集成需求如下：</w:t>
      </w:r>
    </w:p>
    <w:p w14:paraId="2DE8BA0C">
      <w:pPr>
        <w:ind w:firstLine="420" w:firstLineChars="0"/>
        <w:rPr>
          <w:rFonts w:hint="eastAsia"/>
        </w:rPr>
      </w:pPr>
      <w:r>
        <w:rPr>
          <w:rFonts w:hint="eastAsia"/>
        </w:rPr>
        <w:t>首先是大模型 API 集成，系统通过兼容 OpenAI 规范的 HTTP 接口对接通用大模型服务，为平台 AI 智能问答、专业知识解析、多轮对话功能提供生成能力支撑。</w:t>
      </w:r>
    </w:p>
    <w:p w14:paraId="097EE3BA">
      <w:pPr>
        <w:ind w:firstLine="420" w:firstLineChars="0"/>
        <w:rPr>
          <w:rFonts w:hint="eastAsia"/>
        </w:rPr>
      </w:pPr>
      <w:r>
        <w:rPr>
          <w:rFonts w:hint="eastAsia"/>
        </w:rPr>
        <w:t>其次是向量数据库集成，系统支持对接 FAISS、Chroma、Milvus 等主流向量数据库，用于构建材料化学专属知识库，实现 RAG 语义检索、相似知识匹配、智能推荐等核心智能能力。</w:t>
      </w:r>
    </w:p>
    <w:p w14:paraId="160126AB">
      <w:pPr>
        <w:ind w:firstLine="420" w:firstLineChars="0"/>
      </w:pPr>
      <w:r>
        <w:rPr>
          <w:rFonts w:hint="eastAsia"/>
        </w:rPr>
        <w:t>最后是公共化学数据库集成，平台预留 PubChem 等公共化学数据库对接能力，可通过 API 自动拉取或手动批量导入的方式补充分子、材料科研数据，扩充平台基础数据集，丰富平台科研资源。</w:t>
      </w:r>
    </w:p>
    <w:p w14:paraId="7D4AFE26">
      <w:pPr>
        <w:pStyle w:val="2"/>
        <w:bidi w:val="0"/>
      </w:pPr>
      <w:r>
        <w:rPr>
          <w:rFonts w:hint="default"/>
          <w:lang w:val="en-US" w:eastAsia="zh-CN"/>
        </w:rPr>
        <w:t>约束条件与基本假设</w:t>
      </w:r>
    </w:p>
    <w:p w14:paraId="5D4E1130">
      <w:pPr>
        <w:pStyle w:val="3"/>
        <w:bidi w:val="0"/>
      </w:pPr>
      <w:r>
        <w:rPr>
          <w:rFonts w:hint="default"/>
          <w:lang w:val="en-US" w:eastAsia="zh-CN"/>
        </w:rPr>
        <w:t>约束条件</w:t>
      </w:r>
    </w:p>
    <w:p w14:paraId="19830B4A">
      <w:pPr>
        <w:ind w:firstLine="420" w:firstLineChars="0"/>
        <w:rPr>
          <w:rFonts w:hint="eastAsia"/>
        </w:rPr>
      </w:pPr>
      <w:r>
        <w:rPr>
          <w:rFonts w:hint="eastAsia"/>
        </w:rPr>
        <w:t>本项目在开发、部署与实施过程中，存在人员、周期、技术架构、运行环境等多方面硬性约束条件，具体约束规范如下：</w:t>
      </w:r>
    </w:p>
    <w:p w14:paraId="3B4B1AA1">
      <w:pPr>
        <w:ind w:firstLine="420" w:firstLineChars="0"/>
        <w:rPr>
          <w:rFonts w:hint="eastAsia"/>
        </w:rPr>
      </w:pPr>
      <w:r>
        <w:rPr>
          <w:rFonts w:hint="eastAsia"/>
        </w:rPr>
        <w:t>C-01 人员分工约束：项目团队固定为四人小组，所有开发、文档、测试、部署工作严格按照团队分工文档执行，人员架构与岗位职责全程固定不变。</w:t>
      </w:r>
    </w:p>
    <w:p w14:paraId="2503C56D">
      <w:pPr>
        <w:ind w:firstLine="420" w:firstLineChars="0"/>
        <w:rPr>
          <w:rFonts w:hint="eastAsia"/>
        </w:rPr>
      </w:pPr>
      <w:r>
        <w:rPr>
          <w:rFonts w:hint="eastAsia"/>
        </w:rPr>
        <w:t>C-02 开发周期约束：受课程实践周期限制，项目功能按照最小可行产品（MVP）标准进行裁剪，优先保证核心业务功能完整可用，非刚需高级功能按需简化。</w:t>
      </w:r>
    </w:p>
    <w:p w14:paraId="613D9B1E">
      <w:pPr>
        <w:ind w:firstLine="420" w:firstLineChars="0"/>
        <w:rPr>
          <w:rFonts w:hint="eastAsia"/>
        </w:rPr>
      </w:pPr>
      <w:r>
        <w:rPr>
          <w:rFonts w:hint="eastAsia"/>
        </w:rPr>
        <w:t>C-03 数据库架构约束：项目后端采用 SQLite 轻型文件数据库进行数据存储，整体架构为单体架构，不采用分布式数据库架构，仅适配课程演示与小型科研场景。</w:t>
      </w:r>
    </w:p>
    <w:p w14:paraId="3FBC1E45">
      <w:pPr>
        <w:ind w:firstLine="420" w:firstLineChars="0"/>
        <w:rPr>
          <w:rFonts w:hint="eastAsia"/>
        </w:rPr>
      </w:pPr>
      <w:r>
        <w:rPr>
          <w:rFonts w:hint="eastAsia"/>
        </w:rPr>
        <w:t>C-04 大模型调用约束：平台 AI 智能问答功能依赖外网大模型 API 服务，开发与使用过程中需要严格管理密钥信息，同时控制接口调用频次，规避接口超限与调用成本问题。</w:t>
      </w:r>
    </w:p>
    <w:p w14:paraId="35D59E8F">
      <w:pPr>
        <w:ind w:firstLine="420" w:firstLineChars="0"/>
        <w:rPr>
          <w:rFonts w:hint="eastAsia"/>
        </w:rPr>
      </w:pPr>
      <w:r>
        <w:rPr>
          <w:rFonts w:hint="eastAsia"/>
        </w:rPr>
        <w:t>C-05 模型运行资源约束：XRD 数据分析深度学习推理模块基于 PyTorch 框架开发，程序运行对设备内存资源存在一定要求，设备性能将直接影响数据处理速度。</w:t>
      </w:r>
    </w:p>
    <w:p w14:paraId="1CBA7469">
      <w:pPr>
        <w:ind w:firstLine="420" w:firstLineChars="0"/>
      </w:pPr>
      <w:r>
        <w:rPr>
          <w:rFonts w:hint="eastAsia"/>
        </w:rPr>
        <w:t>C-06 前端版本约束：项目前端最终采用 Vue 2.7 版本进行开发，未使用 Vue3 框架，与初期技术选型参考存在小幅差异，整体适配现有业务逻辑与组件生态。</w:t>
      </w:r>
    </w:p>
    <w:p w14:paraId="73C3C715">
      <w:pPr>
        <w:pStyle w:val="3"/>
        <w:bidi w:val="0"/>
      </w:pPr>
      <w:r>
        <w:rPr>
          <w:rFonts w:hint="default"/>
          <w:lang w:val="en-US" w:eastAsia="zh-CN"/>
        </w:rPr>
        <w:t>基本假设</w:t>
      </w:r>
    </w:p>
    <w:p w14:paraId="7C55F6DD">
      <w:pPr>
        <w:ind w:firstLine="420" w:firstLineChars="0"/>
        <w:rPr>
          <w:rFonts w:hint="eastAsia"/>
        </w:rPr>
      </w:pPr>
      <w:r>
        <w:rPr>
          <w:rFonts w:hint="eastAsia"/>
        </w:rPr>
        <w:t>为保障项目顺利开发、测试与结题验收，结合课程工程实践场景，对项目运行环境、使用条件、开发协作做出如下合理假设：</w:t>
      </w:r>
    </w:p>
    <w:p w14:paraId="648142AE">
      <w:pPr>
        <w:ind w:firstLine="420" w:firstLineChars="0"/>
        <w:rPr>
          <w:rFonts w:hint="eastAsia"/>
        </w:rPr>
      </w:pPr>
      <w:r>
        <w:rPr>
          <w:rFonts w:hint="eastAsia"/>
        </w:rPr>
        <w:t>A-01 运行环境假设：项目最终答辩与功能演示以本地环境或局域网部署环境为主，无需适配公网高可用部署场景。</w:t>
      </w:r>
    </w:p>
    <w:p w14:paraId="2DD83DEF">
      <w:pPr>
        <w:ind w:firstLine="420" w:firstLineChars="0"/>
        <w:rPr>
          <w:rFonts w:hint="eastAsia"/>
        </w:rPr>
      </w:pPr>
      <w:r>
        <w:rPr>
          <w:rFonts w:hint="eastAsia"/>
        </w:rPr>
        <w:t>A-02 用户能力假设：平台使用用户具备基础的浏览器操作能力，可独立完成页面浏览、数据上传、参数配置、工具调用等常规操作。</w:t>
      </w:r>
    </w:p>
    <w:p w14:paraId="62EF071C">
      <w:pPr>
        <w:ind w:firstLine="420" w:firstLineChars="0"/>
        <w:rPr>
          <w:rFonts w:hint="eastAsia"/>
        </w:rPr>
      </w:pPr>
      <w:r>
        <w:rPr>
          <w:rFonts w:hint="eastAsia"/>
        </w:rPr>
        <w:t>A-03 初始数据假设：平台初期分子、材料、文献等基础科研数据，由团队成员手动录入或通过自动化脚本批量导入，无需对接第三方自动同步接口。</w:t>
      </w:r>
    </w:p>
    <w:p w14:paraId="017D2020">
      <w:pPr>
        <w:ind w:firstLine="420" w:firstLineChars="0"/>
        <w:rPr>
          <w:rFonts w:hint="eastAsia"/>
        </w:rPr>
      </w:pPr>
      <w:r>
        <w:rPr>
          <w:rFonts w:hint="eastAsia"/>
        </w:rPr>
        <w:t>A-04 服务部署假设：AI Agent 智能服务由指定团队成员独立完成部署搭建，后端开发人员负责接口转发与前后端联调，服务分工明确、可独立落地。</w:t>
      </w:r>
    </w:p>
    <w:p w14:paraId="171A29AE">
      <w:pPr>
        <w:ind w:firstLine="420" w:firstLineChars="0"/>
      </w:pPr>
      <w:r>
        <w:rPr>
          <w:rFonts w:hint="eastAsia"/>
        </w:rPr>
        <w:t>A-05 验收标准假设：本次项目为课程工程实践项目，指导教师认可工程化基础部署标准，无需满足企业级高可用、高并发的 SLA 服务等级协议。</w:t>
      </w:r>
    </w:p>
    <w:p w14:paraId="0E38D92B">
      <w:pPr>
        <w:pStyle w:val="2"/>
        <w:bidi w:val="0"/>
      </w:pPr>
      <w:r>
        <w:rPr>
          <w:rFonts w:hint="default"/>
          <w:lang w:val="en-US" w:eastAsia="zh-CN"/>
        </w:rPr>
        <w:t>风险分析与应对措施</w:t>
      </w:r>
    </w:p>
    <w:p w14:paraId="1E07F508">
      <w:pPr>
        <w:ind w:firstLine="420" w:firstLineChars="0"/>
        <w:rPr>
          <w:rFonts w:hint="eastAsia"/>
        </w:rPr>
      </w:pPr>
      <w:r>
        <w:rPr>
          <w:rFonts w:hint="eastAsia"/>
        </w:rPr>
        <w:t>为保障 PIChemData 材料科学智能平台项目稳定落地、按期完成开发与答辩验收，现对项目开发、联调、部署、演示全过程中的潜在风险进行识别评估，并制定对应的规避与解决措施。</w:t>
      </w:r>
    </w:p>
    <w:p w14:paraId="201706A2">
      <w:pPr>
        <w:ind w:firstLine="420" w:firstLineChars="0"/>
        <w:rPr>
          <w:rFonts w:hint="eastAsia"/>
        </w:rPr>
      </w:pPr>
      <w:r>
        <w:rPr>
          <w:rFonts w:hint="eastAsia"/>
        </w:rPr>
        <w:t>R-01 业务接口开发滞后，页面无真实数据</w:t>
      </w:r>
    </w:p>
    <w:p w14:paraId="49341B32">
      <w:pPr>
        <w:ind w:firstLine="420" w:firstLineChars="0"/>
        <w:rPr>
          <w:rFonts w:hint="eastAsia"/>
        </w:rPr>
      </w:pPr>
      <w:r>
        <w:rPr>
          <w:rFonts w:hint="eastAsia"/>
        </w:rPr>
        <w:t>该风险发生概率较高、对项目展示影响较大。在后端接口未完成开发的情况下，前端页面将无法加载真实业务数据，导致功能演示失效。</w:t>
      </w:r>
    </w:p>
    <w:p w14:paraId="6D80D485">
      <w:pPr>
        <w:ind w:firstLine="420" w:firstLineChars="0"/>
        <w:rPr>
          <w:rFonts w:hint="eastAsia"/>
        </w:rPr>
      </w:pPr>
      <w:r>
        <w:rPr>
          <w:rFonts w:hint="eastAsia"/>
        </w:rPr>
        <w:t>应对措施：项目严格采用 MVP 最小可行性方案进行功能裁剪，优先保障核心功能落地；前端配置 Mock 数据兜底渲染页面效果；后端开发人员优先完成 P0 级核心接口开发，保证演示可用。</w:t>
      </w:r>
    </w:p>
    <w:p w14:paraId="1E2CBDC2">
      <w:pPr>
        <w:ind w:firstLine="420" w:firstLineChars="0"/>
        <w:rPr>
          <w:rFonts w:hint="eastAsia"/>
        </w:rPr>
      </w:pPr>
      <w:r>
        <w:rPr>
          <w:rFonts w:hint="eastAsia"/>
        </w:rPr>
        <w:t>R-02 AI Agent 服务联调滞后，智能问答无法正常演示</w:t>
      </w:r>
    </w:p>
    <w:p w14:paraId="5A148CD9">
      <w:pPr>
        <w:ind w:firstLine="420" w:firstLineChars="0"/>
        <w:rPr>
          <w:rFonts w:hint="eastAsia"/>
        </w:rPr>
      </w:pPr>
      <w:r>
        <w:rPr>
          <w:rFonts w:hint="eastAsia"/>
        </w:rPr>
        <w:t>该风险发生概率中等，但一旦出现将严重影响项目核心亮点展示。AI 问答作为项目特色功能，若联调延期会导致答辩核心功能缺失。</w:t>
      </w:r>
    </w:p>
    <w:p w14:paraId="596CC050">
      <w:pPr>
        <w:ind w:firstLine="420" w:firstLineChars="0"/>
        <w:rPr>
          <w:rFonts w:hint="eastAsia"/>
        </w:rPr>
      </w:pPr>
      <w:r>
        <w:rPr>
          <w:rFonts w:hint="eastAsia"/>
        </w:rPr>
        <w:t>应对措施：提前设定 AI 服务联调里程碑节点，严格把控开发进度；提前录制完整功能演示录屏作为备用方案，应对现场联调失败情况。</w:t>
      </w:r>
    </w:p>
    <w:p w14:paraId="539E7DB8">
      <w:pPr>
        <w:ind w:firstLine="420" w:firstLineChars="0"/>
        <w:rPr>
          <w:rFonts w:hint="eastAsia"/>
        </w:rPr>
      </w:pPr>
      <w:r>
        <w:rPr>
          <w:rFonts w:hint="eastAsia"/>
        </w:rPr>
        <w:t>R-03 PyTorch 环境配置复杂、安装失败</w:t>
      </w:r>
    </w:p>
    <w:p w14:paraId="4088656F">
      <w:pPr>
        <w:ind w:firstLine="420" w:firstLineChars="0"/>
        <w:rPr>
          <w:rFonts w:hint="eastAsia"/>
        </w:rPr>
      </w:pPr>
      <w:r>
        <w:rPr>
          <w:rFonts w:hint="eastAsia"/>
        </w:rPr>
        <w:t>XRD 数据分析模块依赖 PyTorch 深度学习环境，环境依赖复杂、设备差异大，容易出现配置报错，风险概率与影响程度均为中等。</w:t>
      </w:r>
    </w:p>
    <w:p w14:paraId="070B42FB">
      <w:pPr>
        <w:ind w:firstLine="420" w:firstLineChars="0"/>
        <w:rPr>
          <w:rFonts w:hint="eastAsia"/>
        </w:rPr>
      </w:pPr>
      <w:r>
        <w:rPr>
          <w:rFonts w:hint="eastAsia"/>
        </w:rPr>
        <w:t>应对措施：完善项目部署手册，增加环境安装常见问题 FAQ；统一提供 CPU 轻量运行版本配置方案，降低设备依赖，保证多数电脑可正常运行。</w:t>
      </w:r>
    </w:p>
    <w:p w14:paraId="6B96FBC1">
      <w:pPr>
        <w:ind w:firstLine="420" w:firstLineChars="0"/>
        <w:rPr>
          <w:rFonts w:hint="eastAsia"/>
        </w:rPr>
      </w:pPr>
      <w:r>
        <w:rPr>
          <w:rFonts w:hint="eastAsia"/>
        </w:rPr>
        <w:t>R-04 团队四人需求理解不一致</w:t>
      </w:r>
    </w:p>
    <w:p w14:paraId="18EFB78F">
      <w:pPr>
        <w:ind w:firstLine="420" w:firstLineChars="0"/>
        <w:rPr>
          <w:rFonts w:hint="eastAsia"/>
        </w:rPr>
      </w:pPr>
      <w:r>
        <w:rPr>
          <w:rFonts w:hint="eastAsia"/>
        </w:rPr>
        <w:t>团队成员对业务功能、接口逻辑、开发范围理解存在偏差，容易导致功能重复开发、漏开发、功能不统一等问题，风险等级中等。</w:t>
      </w:r>
    </w:p>
    <w:p w14:paraId="7C3CAB1D">
      <w:pPr>
        <w:ind w:firstLine="420" w:firstLineChars="0"/>
        <w:rPr>
          <w:rFonts w:hint="eastAsia"/>
        </w:rPr>
      </w:pPr>
      <w:r>
        <w:rPr>
          <w:rFonts w:hint="eastAsia"/>
        </w:rPr>
        <w:t>应对措施：以需求规格文档、接口文档为统一标准，组织团队集中评审；所有需求调整、功能变更统一记录，保证全员认知一致。</w:t>
      </w:r>
    </w:p>
    <w:p w14:paraId="73C46FFE">
      <w:pPr>
        <w:ind w:firstLine="420" w:firstLineChars="0"/>
        <w:rPr>
          <w:rFonts w:hint="eastAsia"/>
        </w:rPr>
      </w:pPr>
      <w:r>
        <w:rPr>
          <w:rFonts w:hint="eastAsia"/>
        </w:rPr>
        <w:t>R-05 大模型 API 服务不稳定、额度超限</w:t>
      </w:r>
    </w:p>
    <w:p w14:paraId="393ABB7A">
      <w:pPr>
        <w:ind w:firstLine="420" w:firstLineChars="0"/>
        <w:rPr>
          <w:rFonts w:hint="eastAsia"/>
        </w:rPr>
      </w:pPr>
      <w:r>
        <w:rPr>
          <w:rFonts w:hint="eastAsia"/>
        </w:rPr>
        <w:t>外网大模型接口存在波动、调用超时、账号额度用尽等问题，发生概率较低，但会导致 AI 问答功能临时失效。</w:t>
      </w:r>
    </w:p>
    <w:p w14:paraId="540FB3C4">
      <w:pPr>
        <w:ind w:firstLine="420" w:firstLineChars="0"/>
        <w:rPr>
          <w:rFonts w:hint="eastAsia"/>
        </w:rPr>
      </w:pPr>
      <w:r>
        <w:rPr>
          <w:rFonts w:hint="eastAsia"/>
        </w:rPr>
        <w:t>应对措施：预留本地轻量化模型作为备选兜底方案；答辩演示阶段限制提问数量与调用频次，避免接口超限，保障演示稳定。</w:t>
      </w:r>
    </w:p>
    <w:p w14:paraId="6BCB2280">
      <w:pPr>
        <w:ind w:firstLine="420" w:firstLineChars="0"/>
        <w:rPr>
          <w:rFonts w:hint="eastAsia"/>
        </w:rPr>
      </w:pPr>
      <w:r>
        <w:rPr>
          <w:rFonts w:hint="eastAsia"/>
        </w:rPr>
        <w:t>R-06 答辩现场网络与运行环境异常</w:t>
      </w:r>
    </w:p>
    <w:p w14:paraId="2AC7446D">
      <w:pPr>
        <w:ind w:firstLine="420" w:firstLineChars="0"/>
        <w:rPr>
          <w:rFonts w:hint="eastAsia"/>
        </w:rPr>
      </w:pPr>
      <w:r>
        <w:rPr>
          <w:rFonts w:hint="eastAsia"/>
        </w:rPr>
        <w:t>答辩现场网络波动、端口占用、环境缺失等突发问题概率较低，但对最终演示效果影响极大。</w:t>
      </w:r>
    </w:p>
    <w:p w14:paraId="5F2651E5">
      <w:pPr>
        <w:ind w:firstLine="420" w:firstLineChars="0"/>
        <w:rPr>
          <w:rFonts w:hint="eastAsia"/>
        </w:rPr>
      </w:pPr>
      <w:r>
        <w:rPr>
          <w:rFonts w:hint="eastAsia"/>
        </w:rPr>
        <w:t>应对措施：项目全程支持本地离线完整部署，不依赖公网网络；提前进行多次现场彩排，排查环境问题，确保答辩零故障。</w:t>
      </w:r>
    </w:p>
    <w:p w14:paraId="3B96DABA">
      <w:pPr>
        <w:ind w:firstLine="420" w:firstLineChars="0"/>
        <w:rPr>
          <w:rFonts w:hint="eastAsia"/>
        </w:rPr>
      </w:pPr>
      <w:r>
        <w:rPr>
          <w:rFonts w:hint="eastAsia"/>
        </w:rPr>
        <w:t>R-07 数据库文档与实际代码结构不一致</w:t>
      </w:r>
    </w:p>
    <w:p w14:paraId="35E51EAD">
      <w:pPr>
        <w:ind w:firstLine="420" w:firstLineChars="0"/>
        <w:rPr>
          <w:rFonts w:hint="eastAsia"/>
        </w:rPr>
      </w:pPr>
      <w:r>
        <w:rPr>
          <w:rFonts w:hint="eastAsia"/>
        </w:rPr>
        <w:t>开发迭代过程中数据表结构存在微调，容易出现文档滞后、文档与代码不一致的问题，发生概率中等、影响程度较低。</w:t>
      </w:r>
    </w:p>
    <w:p w14:paraId="4226BA52">
      <w:pPr>
        <w:ind w:firstLine="420" w:firstLineChars="0"/>
      </w:pPr>
      <w:r>
        <w:rPr>
          <w:rFonts w:hint="eastAsia"/>
        </w:rPr>
        <w:t>应对措施：所有数据库结构以项目初始化脚本 initial_db.py 为唯一基准，同步更新数据库设计文档，保证文档与代码实时统一。</w:t>
      </w:r>
    </w:p>
    <w:p w14:paraId="531EBD98">
      <w:pPr>
        <w:pStyle w:val="2"/>
        <w:bidi w:val="0"/>
      </w:pPr>
      <w:r>
        <w:rPr>
          <w:rFonts w:hint="default"/>
          <w:lang w:val="en-US" w:eastAsia="zh-CN"/>
        </w:rPr>
        <w:t>需求优先级</w:t>
      </w:r>
    </w:p>
    <w:p w14:paraId="15BE7AED">
      <w:pPr>
        <w:ind w:firstLine="420" w:firstLineChars="0"/>
        <w:rPr>
          <w:rFonts w:hint="eastAsia"/>
        </w:rPr>
      </w:pPr>
      <w:r>
        <w:rPr>
          <w:rFonts w:hint="eastAsia"/>
        </w:rPr>
        <w:t>项目将全部功能需求划分为 P0、P1、P2 三个优先级等级，不同等级对应不同的开发完成要求，适配课程答辩验收标准。</w:t>
      </w:r>
    </w:p>
    <w:p w14:paraId="37026514">
      <w:pPr>
        <w:ind w:firstLine="420" w:firstLineChars="0"/>
        <w:rPr>
          <w:rFonts w:hint="eastAsia"/>
        </w:rPr>
      </w:pPr>
      <w:r>
        <w:rPr>
          <w:rFonts w:hint="eastAsia"/>
        </w:rPr>
        <w:t>P0 级为核心演示必备功能，是平台正常展示的基础，答辩前必须全部开发完成；</w:t>
      </w:r>
    </w:p>
    <w:p w14:paraId="1E348EAB">
      <w:pPr>
        <w:ind w:firstLine="420" w:firstLineChars="0"/>
        <w:rPr>
          <w:rFonts w:hint="eastAsia"/>
        </w:rPr>
      </w:pPr>
      <w:r>
        <w:rPr>
          <w:rFonts w:hint="eastAsia"/>
        </w:rPr>
        <w:t>P1 级为重要辅助功能，能够提升平台整体功能完整性，开发过程中尽量完成；</w:t>
      </w:r>
    </w:p>
    <w:p w14:paraId="2EA8B71B">
      <w:pPr>
        <w:ind w:firstLine="420" w:firstLineChars="0"/>
        <w:rPr>
          <w:rFonts w:hint="eastAsia"/>
        </w:rPr>
      </w:pPr>
      <w:r>
        <w:rPr>
          <w:rFonts w:hint="eastAsia"/>
        </w:rPr>
        <w:t>P2 级为优化拓展类锦上添花功能，若开发周期紧张可延后迭代，不影响基础演示。</w:t>
      </w:r>
    </w:p>
    <w:p w14:paraId="1E3158DE">
      <w:pPr>
        <w:ind w:firstLine="420" w:firstLineChars="0"/>
        <w:rPr>
          <w:rFonts w:hint="eastAsia" w:eastAsia="微软雅黑"/>
          <w:lang w:val="en-US" w:eastAsia="zh-CN"/>
        </w:rPr>
      </w:pPr>
      <w:r>
        <w:rPr>
          <w:rFonts w:hint="eastAsia"/>
        </w:rPr>
        <w:t>优先开发所有 P0 级核心接口，重点完成分子列表、分子详情、材料列表、材料详情四类基础数据接口，保障前端页面可加载真实数据。</w:t>
      </w:r>
      <w:r>
        <w:rPr>
          <w:rFonts w:hint="eastAsia"/>
          <w:lang w:val="en-US" w:eastAsia="zh-CN"/>
        </w:rPr>
        <w:tab/>
      </w:r>
    </w:p>
    <w:p w14:paraId="1EB6601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230E50F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项目需求清晰明确：PIChemData 平台定位面向材料、化学科研场景的数据管理与可视化工具，整体业务分为数据管理域、科学工具域、智能服务域、运营管理域四大板块，不同类型用户的使用需求划分清晰，无模糊业务边界。</w:t>
      </w:r>
    </w:p>
    <w:p w14:paraId="5420693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技术方案落地可行：项目采用 Vue+FastAPI 成熟前后端分离技术架构，整体技术栈稳定易上手；用户认证模块、XRD 数据分析模块已完成开发验证，技术路线不存在不可解决的障碍。</w:t>
      </w:r>
    </w:p>
    <w:p w14:paraId="271953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整体开发进度可控：项目采用 MVP 功能裁剪策略，在四人团队固定分工、课程给定周期内，能够完成可完整演示的可用平台，满足结题答辩标准。</w:t>
      </w:r>
    </w:p>
    <w:p w14:paraId="3F495F5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当前项目核心瓶颈：分子、材料、文献等批量业务接口开发工作量较大，同时 AI Agent 智能服务与后端接口联调是影响演示效果的关键工作路径，需优先把控进度。</w:t>
      </w:r>
    </w:p>
    <w:p w14:paraId="6176AD12">
      <w:pPr>
        <w:rPr>
          <w:rFonts w:hint="default"/>
          <w:lang w:val="en-US" w:eastAsia="zh-CN"/>
        </w:rPr>
      </w:pPr>
    </w:p>
    <w:p w14:paraId="39DE547C">
      <w:pPr>
        <w:pStyle w:val="4"/>
        <w:numPr>
          <w:ilvl w:val="2"/>
          <w:numId w:val="0"/>
        </w:numPr>
        <w:bidi w:val="0"/>
        <w:ind w:leftChars="0"/>
      </w:pPr>
    </w:p>
    <w:p w14:paraId="4808CE40">
      <w:pPr>
        <w:rPr>
          <w:rFonts w:hint="default"/>
        </w:rPr>
      </w:pPr>
    </w:p>
    <w:p w14:paraId="5B7826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5DC24"/>
    <w:multiLevelType w:val="singleLevel"/>
    <w:tmpl w:val="9005DC2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6075C"/>
    <w:rsid w:val="550D58A2"/>
    <w:rsid w:val="5776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0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28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24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HTML Code"/>
    <w:basedOn w:val="28"/>
    <w:qFormat/>
    <w:uiPriority w:val="0"/>
    <w:rPr>
      <w:rFonts w:ascii="Courier New" w:hAnsi="Courier New"/>
      <w:sz w:val="20"/>
    </w:rPr>
  </w:style>
  <w:style w:type="character" w:styleId="36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7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10510</Words>
  <Characters>12309</Characters>
  <Lines>0</Lines>
  <Paragraphs>0</Paragraphs>
  <TotalTime>88</TotalTime>
  <ScaleCrop>false</ScaleCrop>
  <LinksUpToDate>false</LinksUpToDate>
  <CharactersWithSpaces>12798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2026-06-15T17:52:00Z</dcterms:created>
  <dc:creator>流年的末端</dc:creator>
  <cp:lastModifiedBy>流年的末端</cp:lastModifiedBy>
  <dcterms:modified xsi:type="dcterms:W3CDTF">2026-06-16T17:36:43Z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3FF2D729F97D4330BFB973CB64D7DB43_11</vt:lpwstr>
  </property>
  <property fmtid="{D5CDD505-2E9C-101B-9397-08002B2CF9AE}" pid="4" name="KSOTemplateDocerSaveRecord">
    <vt:lpwstr>eyJoZGlkIjoiNDc2ZDEyOWMyYTE4ZWU4ZDAzOWZhOWJhYTdlZjY1YTMiLCJ1c2VySWQiOiI1MTk2MTE0NTMifQ==</vt:lpwstr>
  </property>
</Properties>
</file>