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366F1"/>
        </w:rPr>
        <w:t>Autonomous Systems &amp; Local AI Architecture Report</w:t>
      </w:r>
    </w:p>
    <w:p>
      <w:pPr>
        <w:pStyle w:val="Heading1"/>
      </w:pPr>
      <w:r>
        <w:t>1. Executive Summary</w:t>
      </w:r>
    </w:p>
    <w:p>
      <w:r>
        <w:t>Project Titan is an open-source initiative dedicated to private, on-premise artificial intelligence deployment. The primary goal is to run high-throughput LLM workloads directly on consumer hardware without exposing proprietary data to third-party cloud providers. The project specifies a strict memory footprint ceiling of 16 GB unified RAM.</w:t>
      </w:r>
    </w:p>
    <w:p>
      <w:pPr>
        <w:pStyle w:val="Heading1"/>
      </w:pPr>
      <w:r>
        <w:t>2. Retrieval-Augmented Generation (RAG) Specifications</w:t>
      </w:r>
    </w:p>
    <w:p>
      <w:r>
        <w:t>Under Project Titan, documents are ingested in .docx and .pdf formats. The text chunker enforces a maximum segment size of 600 characters with a 100-character overlapping sliding window. The retrieval pipeline implements an in-memory vector space model using TF-IDF with sublinear term-frequency scaling and cosine similarity metrics.</w:t>
      </w:r>
    </w:p>
    <w:p>
      <w:r>
        <w:t>When a query arrives, the system retrieves the top 4 most relevant chunks. The grounding constraint requires that if the document does not contain the answer, the LLM must explicitly reply: 'I cannot find the answer in the uploaded document.' Hallucinated citations or unverified assertions are prohibited.</w:t>
      </w:r>
    </w:p>
    <w:p>
      <w:pPr>
        <w:pStyle w:val="Heading1"/>
      </w:pPr>
      <w:r>
        <w:t>3. Hardware Requirements and Model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Tier</w:t>
            </w:r>
          </w:p>
        </w:tc>
        <w:tc>
          <w:tcPr>
            <w:tcW w:type="dxa" w:w="2160"/>
          </w:tcPr>
          <w:p>
            <w:r>
              <w:t>Parameter Count</w:t>
            </w:r>
          </w:p>
        </w:tc>
        <w:tc>
          <w:tcPr>
            <w:tcW w:type="dxa" w:w="2160"/>
          </w:tcPr>
          <w:p>
            <w:r>
              <w:t>VRAM Target</w:t>
            </w:r>
          </w:p>
        </w:tc>
        <w:tc>
          <w:tcPr>
            <w:tcW w:type="dxa" w:w="2160"/>
          </w:tcPr>
          <w:p>
            <w:r>
              <w:t>Quantization</w:t>
            </w:r>
          </w:p>
        </w:tc>
      </w:tr>
      <w:tr>
        <w:tc>
          <w:tcPr>
            <w:tcW w:type="dxa" w:w="2160"/>
          </w:tcPr>
          <w:p>
            <w:r>
              <w:t>Edge Lightweight</w:t>
            </w:r>
          </w:p>
        </w:tc>
        <w:tc>
          <w:tcPr>
            <w:tcW w:type="dxa" w:w="2160"/>
          </w:tcPr>
          <w:p>
            <w:r>
              <w:t>3.8 Billion</w:t>
            </w:r>
          </w:p>
        </w:tc>
        <w:tc>
          <w:tcPr>
            <w:tcW w:type="dxa" w:w="2160"/>
          </w:tcPr>
          <w:p>
            <w:r>
              <w:t>4 GB VRAM</w:t>
            </w:r>
          </w:p>
        </w:tc>
        <w:tc>
          <w:tcPr>
            <w:tcW w:type="dxa" w:w="2160"/>
          </w:tcPr>
          <w:p>
            <w:r>
              <w:t>Q4_K_M</w:t>
            </w:r>
          </w:p>
        </w:tc>
      </w:tr>
      <w:tr>
        <w:tc>
          <w:tcPr>
            <w:tcW w:type="dxa" w:w="2160"/>
          </w:tcPr>
          <w:p>
            <w:r>
              <w:t>Standard Desktop</w:t>
            </w:r>
          </w:p>
        </w:tc>
        <w:tc>
          <w:tcPr>
            <w:tcW w:type="dxa" w:w="2160"/>
          </w:tcPr>
          <w:p>
            <w:r>
              <w:t>8.0 Billion</w:t>
            </w:r>
          </w:p>
        </w:tc>
        <w:tc>
          <w:tcPr>
            <w:tcW w:type="dxa" w:w="2160"/>
          </w:tcPr>
          <w:p>
            <w:r>
              <w:t>8 GB VRAM</w:t>
            </w:r>
          </w:p>
        </w:tc>
        <w:tc>
          <w:tcPr>
            <w:tcW w:type="dxa" w:w="2160"/>
          </w:tcPr>
          <w:p>
            <w:r>
              <w:t>Q5_K_M</w:t>
            </w:r>
          </w:p>
        </w:tc>
      </w:tr>
      <w:tr>
        <w:tc>
          <w:tcPr>
            <w:tcW w:type="dxa" w:w="2160"/>
          </w:tcPr>
          <w:p>
            <w:r>
              <w:t>Workstation Heavy</w:t>
            </w:r>
          </w:p>
        </w:tc>
        <w:tc>
          <w:tcPr>
            <w:tcW w:type="dxa" w:w="2160"/>
          </w:tcPr>
          <w:p>
            <w:r>
              <w:t>14.0 Billion</w:t>
            </w:r>
          </w:p>
        </w:tc>
        <w:tc>
          <w:tcPr>
            <w:tcW w:type="dxa" w:w="2160"/>
          </w:tcPr>
          <w:p>
            <w:r>
              <w:t>16 GB VRAM</w:t>
            </w:r>
          </w:p>
        </w:tc>
        <w:tc>
          <w:tcPr>
            <w:tcW w:type="dxa" w:w="2160"/>
          </w:tcPr>
          <w:p>
            <w:r>
              <w:t>Q8_0</w:t>
            </w:r>
          </w:p>
        </w:tc>
      </w:tr>
      <w:tr>
        <w:tc>
          <w:tcPr>
            <w:tcW w:type="dxa" w:w="2160"/>
          </w:tcPr>
          <w:p>
            <w:r>
              <w:t>Enterprise Flagship</w:t>
            </w:r>
          </w:p>
        </w:tc>
        <w:tc>
          <w:tcPr>
            <w:tcW w:type="dxa" w:w="2160"/>
          </w:tcPr>
          <w:p>
            <w:r>
              <w:t>70.0 Billion</w:t>
            </w:r>
          </w:p>
        </w:tc>
        <w:tc>
          <w:tcPr>
            <w:tcW w:type="dxa" w:w="2160"/>
          </w:tcPr>
          <w:p>
            <w:r>
              <w:t>48 GB VRAM</w:t>
            </w:r>
          </w:p>
        </w:tc>
        <w:tc>
          <w:tcPr>
            <w:tcW w:type="dxa" w:w="2160"/>
          </w:tcPr>
          <w:p>
            <w:r>
              <w:t>Q4_K_S</w:t>
            </w:r>
          </w:p>
        </w:tc>
      </w:tr>
    </w:tbl>
    <w:p>
      <w:pPr>
        <w:pStyle w:val="Heading1"/>
      </w:pPr>
      <w:r>
        <w:t>4. Security Protocols and Air-Gapped Operation</w:t>
      </w:r>
    </w:p>
    <w:p>
      <w:r>
        <w:t>Titan nodes operate in strictly air-gapped server racks. All outbound TCP/UDP traffic on ports 80 and 443 is blocked by default iptables policies. Encryption at rest utilizes AES-256-GCM, and vector indices are volatile, purged upon application termination.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