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  <w:sz w:val="28"/>
        </w:rPr>
        <w:t>Highlights</w:t>
      </w:r>
    </w:p>
    <w:p>
      <w:pPr>
        <w:pStyle w:val="ListBullet"/>
      </w:pPr>
      <w:r>
        <w:rPr>
          <w:rFonts w:ascii="Times New Roman" w:hAnsi="Times New Roman"/>
        </w:rPr>
        <w:t>One-hertz drive-test rows carry the post-handover cell before the handover command.</w:t>
      </w:r>
    </w:p>
    <w:p>
      <w:pPr>
        <w:pStyle w:val="ListBullet"/>
      </w:pPr>
      <w:r>
        <w:rPr>
          <w:rFonts w:ascii="Times New Roman" w:hAnsi="Times New Roman"/>
        </w:rPr>
        <w:t>Ignoring this inflates one-second handover-prediction AUPRC about four-fold.</w:t>
      </w:r>
    </w:p>
    <w:p>
      <w:pPr>
        <w:pStyle w:val="ListBullet"/>
      </w:pPr>
      <w:r>
        <w:rPr>
          <w:rFonts w:ascii="Times New Roman" w:hAnsi="Times New Roman"/>
        </w:rPr>
        <w:t>Serving-cell radio scalars, not cell identifiers, carry 94% of the leak.</w:t>
      </w:r>
    </w:p>
    <w:p>
      <w:pPr>
        <w:pStyle w:val="ListBullet"/>
      </w:pPr>
      <w:r>
        <w:rPr>
          <w:rFonts w:ascii="Times New Roman" w:hAnsi="Times New Roman"/>
        </w:rPr>
        <w:t>Splitting protocol reorders learner rankings, not just their scores.</w:t>
      </w:r>
    </w:p>
    <w:p>
      <w:pPr>
        <w:pStyle w:val="ListBullet"/>
      </w:pPr>
      <w:r>
        <w:rPr>
          <w:rFonts w:ascii="Times New Roman" w:hAnsi="Times New Roman"/>
        </w:rPr>
        <w:t>The leak replicates blind on a second operator; learner rankings do not.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