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244F" w:rsidRDefault="00A565B8">
      <w:pPr>
        <w:spacing w:before="240" w:after="120" w:line="240" w:lineRule="auto"/>
        <w:jc w:val="center"/>
      </w:pPr>
      <w:r>
        <w:rPr>
          <w:noProof/>
        </w:rPr>
        <w:drawing>
          <wp:inline distT="0" distB="0" distL="0" distR="0">
            <wp:extent cx="1257300" cy="156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57300" cy="1562100"/>
                    </a:xfrm>
                    <a:prstGeom prst="rect">
                      <a:avLst/>
                    </a:prstGeom>
                  </pic:spPr>
                </pic:pic>
              </a:graphicData>
            </a:graphic>
          </wp:inline>
        </w:drawing>
      </w:r>
    </w:p>
    <w:p w:rsidR="0015244F" w:rsidRDefault="00A565B8">
      <w:pPr>
        <w:spacing w:after="360"/>
        <w:jc w:val="center"/>
      </w:pPr>
      <w:r>
        <w:rPr>
          <w:b/>
          <w:bCs/>
          <w:sz w:val="28"/>
          <w:szCs w:val="28"/>
        </w:rPr>
        <w:t>Islamic University of Technology</w:t>
      </w:r>
    </w:p>
    <w:p w:rsidR="007722DA" w:rsidRDefault="007722DA" w:rsidP="007722DA">
      <w:pPr>
        <w:jc w:val="center"/>
        <w:rPr>
          <w:b/>
          <w:sz w:val="36"/>
        </w:rPr>
      </w:pPr>
      <w:proofErr w:type="spellStart"/>
      <w:r w:rsidRPr="007722DA">
        <w:rPr>
          <w:b/>
          <w:sz w:val="36"/>
        </w:rPr>
        <w:t>Leakage-Audited Multi-Horizon Handover Forecasting from LTE Drive-Test Signalling</w:t>
      </w:r>
      <w:proofErr w:type="spellEnd"/>
      <w:r w:rsidRPr="007722DA">
        <w:rPr>
          <w:b/>
          <w:sz w:val="36"/>
        </w:rPr>
      </w:r>
    </w:p>
    <w:p w:rsidR="007722DA" w:rsidRDefault="007722DA" w:rsidP="007722DA">
      <w:pPr>
        <w:jc w:val="center"/>
      </w:pPr>
    </w:p>
    <w:p w:rsidR="007722DA" w:rsidRDefault="007722DA" w:rsidP="007722DA">
      <w:pPr>
        <w:jc w:val="center"/>
      </w:pPr>
    </w:p>
    <w:p w:rsidR="007722DA" w:rsidRPr="007722DA" w:rsidRDefault="007722DA" w:rsidP="007722DA">
      <w:pPr>
        <w:jc w:val="center"/>
      </w:pPr>
      <w:proofErr w:type="spellStart"/>
      <w:r w:rsidRPr="007722DA">
        <w:t>Saadman</w:t>
      </w:r>
      <w:proofErr w:type="spellEnd"/>
      <w:r w:rsidRPr="007722DA">
        <w:t xml:space="preserve"> </w:t>
      </w:r>
      <w:proofErr w:type="spellStart"/>
      <w:r w:rsidRPr="007722DA">
        <w:t>Sakib</w:t>
      </w:r>
      <w:proofErr w:type="spellEnd"/>
      <w:r w:rsidRPr="007722DA">
        <w:t xml:space="preserve"> (Student ID: 210021110)</w:t>
      </w:r>
    </w:p>
    <w:p w:rsidR="007722DA" w:rsidRPr="007722DA" w:rsidRDefault="007722DA" w:rsidP="007722DA">
      <w:pPr>
        <w:jc w:val="center"/>
      </w:pPr>
      <w:proofErr w:type="spellStart"/>
      <w:r w:rsidRPr="007722DA">
        <w:t>Adhnan</w:t>
      </w:r>
      <w:proofErr w:type="spellEnd"/>
      <w:r w:rsidRPr="007722DA">
        <w:t xml:space="preserve"> </w:t>
      </w:r>
      <w:proofErr w:type="spellStart"/>
      <w:r w:rsidRPr="007722DA">
        <w:t>Kalim</w:t>
      </w:r>
      <w:proofErr w:type="spellEnd"/>
      <w:r w:rsidRPr="007722DA">
        <w:t xml:space="preserve"> (Student ID: 210021308)</w:t>
      </w:r>
    </w:p>
    <w:p w:rsidR="007722DA" w:rsidRPr="007722DA" w:rsidRDefault="007722DA" w:rsidP="007722DA">
      <w:pPr>
        <w:jc w:val="center"/>
      </w:pPr>
      <w:r w:rsidRPr="007722DA">
        <w:t xml:space="preserve">Evan </w:t>
      </w:r>
      <w:proofErr w:type="spellStart"/>
      <w:r w:rsidRPr="007722DA">
        <w:t>Ashfaque</w:t>
      </w:r>
      <w:proofErr w:type="spellEnd"/>
      <w:r w:rsidRPr="007722DA">
        <w:t xml:space="preserve"> (Student ID: 210021335)</w:t>
      </w:r>
    </w:p>
    <w:p w:rsidR="007722DA" w:rsidRDefault="007722DA" w:rsidP="007722DA">
      <w:pPr>
        <w:jc w:val="center"/>
      </w:pPr>
    </w:p>
    <w:p w:rsidR="007722DA" w:rsidRDefault="007722DA" w:rsidP="007722DA">
      <w:pPr>
        <w:jc w:val="center"/>
      </w:pPr>
    </w:p>
    <w:p w:rsidR="0015244F" w:rsidRDefault="00A565B8">
      <w:pPr>
        <w:spacing w:after="240"/>
        <w:jc w:val="center"/>
      </w:pPr>
      <w:r>
        <w:t>A Thesis Submitted to the Academic Faculty in Consideration of Partial Fulfillment for the Requirements of the Degree of</w:t>
      </w:r>
    </w:p>
    <w:p w:rsidR="0015244F" w:rsidRDefault="00A565B8">
      <w:pPr>
        <w:spacing w:after="480"/>
        <w:jc w:val="center"/>
      </w:pPr>
      <w:r>
        <w:rPr>
          <w:b/>
          <w:bCs/>
        </w:rPr>
        <w:t>BACHELOR OF SCIENCE IN ELECTRICAL AND ELECTRONIC ENGINEERING</w:t>
      </w:r>
    </w:p>
    <w:p w:rsidR="0015244F" w:rsidRDefault="00A565B8">
      <w:pPr>
        <w:spacing w:after="40"/>
        <w:jc w:val="center"/>
      </w:pPr>
      <w:r>
        <w:rPr>
          <w:sz w:val="28"/>
          <w:szCs w:val="28"/>
        </w:rPr>
        <w:t>Department of Electrical and Electronic Engineering</w:t>
      </w:r>
    </w:p>
    <w:p w:rsidR="0015244F" w:rsidRDefault="00A565B8">
      <w:pPr>
        <w:spacing w:after="40"/>
        <w:jc w:val="center"/>
      </w:pPr>
      <w:r>
        <w:rPr>
          <w:sz w:val="28"/>
          <w:szCs w:val="28"/>
        </w:rPr>
        <w:t xml:space="preserve">Islamic University of </w:t>
      </w:r>
      <w:r>
        <w:rPr>
          <w:sz w:val="28"/>
          <w:szCs w:val="28"/>
        </w:rPr>
        <w:t>Technology (IUT)</w:t>
      </w:r>
    </w:p>
    <w:p w:rsidR="0015244F" w:rsidRDefault="00A565B8">
      <w:pPr>
        <w:spacing w:after="40"/>
        <w:jc w:val="center"/>
      </w:pPr>
      <w:proofErr w:type="spellStart"/>
      <w:r>
        <w:rPr>
          <w:sz w:val="28"/>
          <w:szCs w:val="28"/>
        </w:rPr>
        <w:t>Gazipur</w:t>
      </w:r>
      <w:proofErr w:type="spellEnd"/>
      <w:r>
        <w:rPr>
          <w:sz w:val="28"/>
          <w:szCs w:val="28"/>
        </w:rPr>
        <w:t>, Bangladesh</w:t>
      </w:r>
    </w:p>
    <w:p w:rsidR="0015244F" w:rsidRDefault="00A565B8">
      <w:pPr>
        <w:spacing w:before="400" w:after="40"/>
        <w:jc w:val="center"/>
      </w:pPr>
      <w:r>
        <w:rPr>
          <w:sz w:val="28"/>
          <w:szCs w:val="28"/>
        </w:rPr>
        <w:t>Winter Semester, 2026</w:t>
      </w:r>
    </w:p>
    <w:p w:rsidR="0015244F" w:rsidRDefault="00A565B8">
      <w:pPr>
        <w:pageBreakBefore/>
        <w:spacing w:after="360"/>
        <w:jc w:val="center"/>
      </w:pPr>
      <w:r>
        <w:rPr>
          <w:b/>
          <w:bCs/>
          <w:sz w:val="32"/>
          <w:szCs w:val="32"/>
        </w:rPr>
        <w:lastRenderedPageBreak/>
        <w:t>DECLARATION</w:t>
      </w:r>
    </w:p>
    <w:p w:rsidR="0015244F" w:rsidRDefault="00A565B8">
      <w:pPr>
        <w:ind w:firstLine="567"/>
        <w:jc w:val="both"/>
      </w:pPr>
      <w:r>
        <w:t>I do hereby declare that the work presented in this thesis, entitled Leakage-Audited Multi-Horizon Handover Forecasting from LTE Drive-Test Signalling, is the outcome of the investigation and research carried out by us under the supervision of Dr. Mohmmad Tawhid Kawser, Professor, Department of Electrical and Electronic Engineering, Islamic University of Technology (IUT), Gazipur, Bangladesh.</w:t>
      </w:r>
      <w:r>
        <w:rPr>
          <w:i/>
          <w:iCs/>
        </w:rPr>
      </w:r>
      <w:proofErr w:type="spellStart"/>
      <w:r>
        <w:rPr>
          <w:i/>
          <w:iCs/>
        </w:rPr>
      </w:r>
      <w:proofErr w:type="spellEnd"/>
      <w:r/>
      <w:r/>
      <w:proofErr w:type="spellStart"/>
      <w:r/>
      <w:proofErr w:type="spellEnd"/>
      <w:r/>
    </w:p>
    <w:p w:rsidR="0015244F" w:rsidRDefault="00A565B8">
      <w:pPr>
        <w:ind w:firstLine="567"/>
        <w:jc w:val="both"/>
      </w:pPr>
      <w:r>
        <w:t xml:space="preserve">I further declare that neither this thesis nor any part </w:t>
      </w:r>
      <w:r>
        <w:t>of it has been submitted anywhere else for the award of any academic qualification, certificate, diploma or degree. All sources of information and material used in the preparation of this thesis have been duly acknowledged and cited.</w:t>
      </w:r>
    </w:p>
    <w:p w:rsidR="0015244F" w:rsidRDefault="0015244F">
      <w:pPr>
        <w:jc w:val="center"/>
      </w:pPr>
    </w:p>
    <w:p w:rsidR="0015244F" w:rsidRDefault="0015244F">
      <w:pPr>
        <w:jc w:val="center"/>
      </w:pPr>
    </w:p>
    <w:p w:rsidR="0015244F" w:rsidRDefault="00A565B8">
      <w:pPr>
        <w:jc w:val="center"/>
      </w:pPr>
      <w:r>
        <w:t>………………………………………</w:t>
      </w:r>
    </w:p>
    <w:p w:rsidR="007722DA" w:rsidRDefault="007722DA" w:rsidP="007722DA">
      <w:pPr>
        <w:jc w:val="center"/>
      </w:pPr>
      <w:proofErr w:type="spellStart"/>
      <w:r>
        <w:t>Saadman</w:t>
      </w:r>
      <w:proofErr w:type="spellEnd"/>
      <w:r>
        <w:t xml:space="preserve"> </w:t>
      </w:r>
      <w:proofErr w:type="spellStart"/>
      <w:r>
        <w:t>Sakib</w:t>
      </w:r>
      <w:proofErr w:type="spellEnd"/>
      <w:r>
        <w:t xml:space="preserve"> (Student ID: 210021110)</w:t>
      </w:r>
    </w:p>
    <w:p w:rsidR="007722DA" w:rsidRDefault="007722DA">
      <w:pPr>
        <w:jc w:val="center"/>
      </w:pPr>
    </w:p>
    <w:p w:rsidR="0015244F" w:rsidRDefault="00A565B8">
      <w:pPr>
        <w:jc w:val="center"/>
      </w:pPr>
      <w:r>
        <w:t>Date: ……………………</w:t>
      </w:r>
    </w:p>
    <w:p w:rsidR="007722DA" w:rsidRDefault="007722DA">
      <w:pPr>
        <w:jc w:val="center"/>
      </w:pPr>
    </w:p>
    <w:p w:rsidR="007722DA" w:rsidRDefault="007722DA" w:rsidP="007722DA">
      <w:pPr>
        <w:jc w:val="center"/>
      </w:pPr>
    </w:p>
    <w:p w:rsidR="007722DA" w:rsidRDefault="007722DA" w:rsidP="007722DA">
      <w:pPr>
        <w:jc w:val="center"/>
      </w:pPr>
      <w:r>
        <w:t>………………………………………</w:t>
      </w:r>
    </w:p>
    <w:p w:rsidR="007722DA" w:rsidRDefault="007722DA" w:rsidP="007722DA">
      <w:pPr>
        <w:jc w:val="center"/>
      </w:pPr>
      <w:proofErr w:type="spellStart"/>
      <w:r>
        <w:t>Adhnan</w:t>
      </w:r>
      <w:proofErr w:type="spellEnd"/>
      <w:r>
        <w:t xml:space="preserve"> </w:t>
      </w:r>
      <w:proofErr w:type="spellStart"/>
      <w:r>
        <w:t>Kalim</w:t>
      </w:r>
      <w:proofErr w:type="spellEnd"/>
      <w:r>
        <w:t xml:space="preserve"> (Student ID: 210021308)</w:t>
      </w:r>
    </w:p>
    <w:p w:rsidR="007722DA" w:rsidRDefault="007722DA" w:rsidP="007722DA">
      <w:pPr>
        <w:jc w:val="center"/>
      </w:pPr>
    </w:p>
    <w:p w:rsidR="007722DA" w:rsidRDefault="007722DA" w:rsidP="007722DA">
      <w:pPr>
        <w:jc w:val="center"/>
      </w:pPr>
      <w:r>
        <w:t>Date: ……………………</w:t>
      </w:r>
    </w:p>
    <w:p w:rsidR="007722DA" w:rsidRDefault="007722DA">
      <w:pPr>
        <w:jc w:val="center"/>
      </w:pPr>
    </w:p>
    <w:p w:rsidR="007722DA" w:rsidRDefault="007722DA" w:rsidP="007722DA">
      <w:pPr>
        <w:jc w:val="center"/>
      </w:pPr>
    </w:p>
    <w:p w:rsidR="007722DA" w:rsidRDefault="007722DA" w:rsidP="007722DA">
      <w:pPr>
        <w:jc w:val="center"/>
      </w:pPr>
      <w:r>
        <w:t>………………………………………</w:t>
      </w:r>
    </w:p>
    <w:p w:rsidR="007722DA" w:rsidRDefault="007722DA" w:rsidP="007722DA">
      <w:pPr>
        <w:jc w:val="center"/>
      </w:pPr>
      <w:r>
        <w:t xml:space="preserve">Evan </w:t>
      </w:r>
      <w:proofErr w:type="spellStart"/>
      <w:r>
        <w:t>Ashfaque</w:t>
      </w:r>
      <w:proofErr w:type="spellEnd"/>
      <w:r>
        <w:t xml:space="preserve"> (Student ID: 210021335)</w:t>
      </w:r>
    </w:p>
    <w:p w:rsidR="007722DA" w:rsidRDefault="007722DA" w:rsidP="007722DA">
      <w:pPr>
        <w:jc w:val="center"/>
      </w:pPr>
      <w:bookmarkStart w:id="0" w:name="_GoBack"/>
      <w:bookmarkEnd w:id="0"/>
    </w:p>
    <w:p w:rsidR="007722DA" w:rsidRDefault="007722DA" w:rsidP="007722DA">
      <w:pPr>
        <w:jc w:val="center"/>
      </w:pPr>
      <w:r>
        <w:t>Date: ……………………</w:t>
      </w:r>
    </w:p>
    <w:p w:rsidR="007722DA" w:rsidRDefault="007722DA">
      <w:pPr>
        <w:jc w:val="center"/>
      </w:pPr>
    </w:p>
    <w:p w:rsidR="0015244F" w:rsidRDefault="00A565B8">
      <w:pPr>
        <w:pageBreakBefore/>
        <w:spacing w:after="360"/>
        <w:jc w:val="center"/>
      </w:pPr>
      <w:r>
        <w:rPr>
          <w:b/>
          <w:bCs/>
          <w:sz w:val="32"/>
          <w:szCs w:val="32"/>
        </w:rPr>
        <w:lastRenderedPageBreak/>
        <w:t>APPROVAL</w:t>
      </w:r>
    </w:p>
    <w:p w:rsidR="0015244F" w:rsidRDefault="007722DA">
      <w:pPr>
        <w:jc w:val="center"/>
        <w:rPr>
          <w:b/>
          <w:sz w:val="36"/>
        </w:rPr>
      </w:pPr>
      <w:proofErr w:type="spellStart"/>
      <w:r w:rsidRPr="007722DA">
        <w:rPr>
          <w:b/>
          <w:sz w:val="36"/>
        </w:rPr>
        <w:t>Leakage-Audited Multi-Horizon Handover Forecasting from LTE Drive-Test Signalling</w:t>
      </w:r>
      <w:proofErr w:type="spellEnd"/>
      <w:r w:rsidRPr="007722DA">
        <w:rPr>
          <w:b/>
          <w:sz w:val="36"/>
        </w:rPr>
      </w:r>
    </w:p>
    <w:p w:rsidR="007722DA" w:rsidRPr="007722DA" w:rsidRDefault="007722DA">
      <w:pPr>
        <w:jc w:val="center"/>
        <w:rPr>
          <w:b/>
          <w:sz w:val="36"/>
        </w:rPr>
      </w:pPr>
    </w:p>
    <w:p w:rsidR="0015244F" w:rsidRDefault="00A565B8">
      <w:pPr>
        <w:jc w:val="center"/>
      </w:pPr>
      <w:r>
        <w:t xml:space="preserve"> </w:t>
      </w:r>
      <w:proofErr w:type="spellStart"/>
      <w:r>
        <w:t>Saadman</w:t>
      </w:r>
      <w:proofErr w:type="spellEnd"/>
      <w:r w:rsidR="007722DA">
        <w:t xml:space="preserve"> </w:t>
      </w:r>
      <w:proofErr w:type="spellStart"/>
      <w:r w:rsidR="007722DA">
        <w:t>Sakib</w:t>
      </w:r>
      <w:proofErr w:type="spellEnd"/>
      <w:r w:rsidR="007722DA">
        <w:t xml:space="preserve"> (Student ID: 210021110</w:t>
      </w:r>
      <w:r>
        <w:t>)</w:t>
      </w:r>
    </w:p>
    <w:p w:rsidR="007722DA" w:rsidRDefault="007722DA">
      <w:pPr>
        <w:jc w:val="center"/>
      </w:pPr>
      <w:proofErr w:type="spellStart"/>
      <w:r>
        <w:t>Adhnan</w:t>
      </w:r>
      <w:proofErr w:type="spellEnd"/>
      <w:r>
        <w:t xml:space="preserve"> </w:t>
      </w:r>
      <w:proofErr w:type="spellStart"/>
      <w:r>
        <w:t>Kalim</w:t>
      </w:r>
      <w:proofErr w:type="spellEnd"/>
      <w:r>
        <w:t xml:space="preserve"> (</w:t>
      </w:r>
      <w:r>
        <w:t>Student ID:</w:t>
      </w:r>
      <w:r>
        <w:t xml:space="preserve"> 210021308)</w:t>
      </w:r>
    </w:p>
    <w:p w:rsidR="007722DA" w:rsidRDefault="007722DA">
      <w:pPr>
        <w:jc w:val="center"/>
      </w:pPr>
      <w:r>
        <w:t xml:space="preserve">Evan </w:t>
      </w:r>
      <w:proofErr w:type="spellStart"/>
      <w:r>
        <w:t>Ashfaque</w:t>
      </w:r>
      <w:proofErr w:type="spellEnd"/>
      <w:r>
        <w:t xml:space="preserve"> (</w:t>
      </w:r>
      <w:r>
        <w:t>Student ID:</w:t>
      </w:r>
      <w:r>
        <w:t xml:space="preserve"> 210021335)</w:t>
      </w:r>
    </w:p>
    <w:p w:rsidR="0015244F" w:rsidRDefault="0015244F">
      <w:pPr>
        <w:jc w:val="center"/>
      </w:pPr>
    </w:p>
    <w:p w:rsidR="0015244F" w:rsidRDefault="00A565B8">
      <w:pPr>
        <w:ind w:firstLine="567"/>
        <w:jc w:val="both"/>
      </w:pPr>
      <w:r>
        <w:t>The thesis titled above has been examined and approved as partial fulfillment of the requirements for the degree of Bachelor of Science in Electrical and Electronic Engineering.</w:t>
      </w:r>
    </w:p>
    <w:p w:rsidR="0015244F" w:rsidRDefault="0015244F">
      <w:pPr>
        <w:jc w:val="center"/>
      </w:pPr>
    </w:p>
    <w:p w:rsidR="007722DA" w:rsidRDefault="007722DA">
      <w:pPr>
        <w:jc w:val="center"/>
      </w:pPr>
    </w:p>
    <w:p w:rsidR="007722DA" w:rsidRDefault="007722DA">
      <w:pPr>
        <w:jc w:val="center"/>
      </w:pPr>
    </w:p>
    <w:p w:rsidR="0015244F" w:rsidRDefault="0015244F">
      <w:pPr>
        <w:jc w:val="center"/>
      </w:pPr>
    </w:p>
    <w:p w:rsidR="0015244F" w:rsidRDefault="00A565B8">
      <w:pPr>
        <w:jc w:val="center"/>
      </w:pPr>
      <w:r>
        <w:t>………………………………………</w:t>
      </w:r>
    </w:p>
    <w:p w:rsidR="0015244F" w:rsidRDefault="007722DA">
      <w:pPr>
        <w:jc w:val="center"/>
      </w:pPr>
      <w:r>
        <w:t xml:space="preserve">Dr. </w:t>
      </w:r>
      <w:proofErr w:type="spellStart"/>
      <w:r>
        <w:t>Mohmmad</w:t>
      </w:r>
      <w:proofErr w:type="spellEnd"/>
      <w:r>
        <w:t xml:space="preserve"> </w:t>
      </w:r>
      <w:proofErr w:type="spellStart"/>
      <w:r>
        <w:t>Tawhid</w:t>
      </w:r>
      <w:proofErr w:type="spellEnd"/>
      <w:r>
        <w:t xml:space="preserve"> </w:t>
      </w:r>
      <w:proofErr w:type="spellStart"/>
      <w:r>
        <w:t>Kawser</w:t>
      </w:r>
      <w:proofErr w:type="spellEnd"/>
    </w:p>
    <w:p w:rsidR="0015244F" w:rsidRDefault="00A565B8">
      <w:pPr>
        <w:jc w:val="center"/>
      </w:pPr>
      <w:r>
        <w:t>Supe</w:t>
      </w:r>
      <w:r w:rsidR="007722DA">
        <w:t>rvisor and</w:t>
      </w:r>
      <w:r>
        <w:t xml:space="preserve"> Professor</w:t>
      </w:r>
    </w:p>
    <w:p w:rsidR="0015244F" w:rsidRDefault="00A565B8">
      <w:pPr>
        <w:jc w:val="center"/>
      </w:pPr>
      <w:r>
        <w:t>Department of Electrical and Electronic Engineering</w:t>
      </w:r>
    </w:p>
    <w:p w:rsidR="0015244F" w:rsidRDefault="00A565B8">
      <w:pPr>
        <w:jc w:val="center"/>
      </w:pPr>
      <w:r>
        <w:t xml:space="preserve">Islamic University of Technology (IUT), </w:t>
      </w:r>
      <w:proofErr w:type="spellStart"/>
      <w:r>
        <w:t>Boardbazar</w:t>
      </w:r>
      <w:proofErr w:type="spellEnd"/>
      <w:r>
        <w:t>, Gazipur-1704</w:t>
      </w:r>
    </w:p>
    <w:p w:rsidR="0015244F" w:rsidRDefault="0015244F">
      <w:pPr>
        <w:jc w:val="center"/>
      </w:pPr>
    </w:p>
    <w:p w:rsidR="0015244F" w:rsidRDefault="007722DA">
      <w:pPr>
        <w:jc w:val="center"/>
      </w:pPr>
      <w:r>
        <w:t>Date: ……………………</w:t>
      </w:r>
    </w:p>
    <w:p w:rsidR="0015244F" w:rsidRDefault="00A565B8">
      <w:pPr>
        <w:pageBreakBefore/>
        <w:spacing w:after="360"/>
        <w:jc w:val="center"/>
      </w:pPr>
      <w:r>
        <w:rPr>
          <w:b/>
          <w:bCs/>
          <w:sz w:val="32"/>
          <w:szCs w:val="32"/>
        </w:rPr>
        <w:lastRenderedPageBreak/>
        <w:t>ACKNOWLEDGEMENTS</w:t>
      </w:r>
    </w:p>
    <w:p w:rsidR="0015244F" w:rsidRDefault="00A565B8">
      <w:pPr>
        <w:ind w:firstLine="567"/>
        <w:jc w:val="both"/>
      </w:pPr>
      <w:r>
        <w:t xml:space="preserve">All praise is due to Allah, the Most Gracious and the Most </w:t>
      </w:r>
      <w:r>
        <w:t>Merciful, whose mercy made the completion of this work possible.</w:t>
      </w:r>
    </w:p>
    <w:p w:rsidR="0015244F" w:rsidRDefault="00A565B8">
      <w:pPr>
        <w:ind w:firstLine="567"/>
        <w:jc w:val="both"/>
      </w:pPr>
      <w:r>
        <w:t>We wish to express our sincere gratitude to our supervisor, Dr. Mohmmad Tawhid Kawser, Department of Electrical and Electronic Engineering, Islamic University of Technology, for the guidance, patience and critical reading that shaped this thesis. His insistence that a measured claim is worth more than an impressive one is the single most useful lesson we carry out of this project, and it is visible in every chapter that follows — most of all in Chapter 5, where an early and flattering result did not survive its own audit.</w:t>
      </w:r>
      <w:r/>
    </w:p>
    <w:p w:rsidR="0015244F" w:rsidRDefault="00A565B8">
      <w:pPr>
        <w:ind w:firstLine="567"/>
        <w:jc w:val="both"/>
      </w:pPr>
      <w:r>
        <w:t>I thank the Departm</w:t>
      </w:r>
      <w:r>
        <w:t>ent of Electrical and Electronic Engineering for providing access to the drive-test instrumentation without which none of the measurement campaigns reported here could have been conducted, and the faculty members whose questions during the progress present</w:t>
      </w:r>
      <w:r>
        <w:t>ations sharpened the evaluation protocol considerably.</w:t>
      </w:r>
    </w:p>
    <w:p w:rsidR="0015244F" w:rsidRDefault="00A565B8">
      <w:pPr>
        <w:ind w:firstLine="567"/>
        <w:jc w:val="both"/>
      </w:pPr>
      <w:r>
        <w:t>We are grateful to the authors of the publicly released LTE drive-test dataset used for the independent check in Chapter 5; publishing measured data under a citable identifier is what made that check possible at all.</w:t>
      </w:r>
      <w:r/>
    </w:p>
    <w:p w:rsidR="0015244F" w:rsidRDefault="00A565B8">
      <w:pPr>
        <w:ind w:firstLine="567"/>
        <w:jc w:val="both"/>
      </w:pPr>
      <w:r>
        <w:t>Finally, I thank my family for their patience during the field campaigns and the long analysis that followed.</w:t>
      </w:r>
    </w:p>
    <w:p w:rsidR="0015244F" w:rsidRDefault="00A565B8">
      <w:pPr>
        <w:pageBreakBefore/>
        <w:spacing w:after="360"/>
        <w:jc w:val="center"/>
      </w:pPr>
      <w:r>
        <w:rPr>
          <w:b/>
          <w:bCs/>
          <w:sz w:val="32"/>
          <w:szCs w:val="32"/>
        </w:rPr>
        <w:lastRenderedPageBreak/>
        <w:t>ABSTRACT</w:t>
      </w:r>
    </w:p>
    <w:p w:rsidR="0015244F" w:rsidRDefault="00A565B8">
      <w:pPr>
        <w:ind w:firstLine="567"/>
        <w:jc w:val="both"/>
      </w:pPr>
      <w:r>
        <w:t>Long Term Evolution networks execute handovers through Event A3, a rule that fires only after a neighbour cell has already become stronger than the serving cell by a configured offset and has remained stronger for a full time-to-trigger. The rule is reactive by construction: it issues a response, not a warning. This thesis asks whether the next handover can be forecast from the measurements a handset already reports, how far ahead, with what guarantee — and, as it turned out, what has to be verified before any such number can be believed.</w:t>
      </w:r>
      <w:r/>
      <w:proofErr w:type="spellStart"/>
      <w:r/>
      <w:proofErr w:type="spellEnd"/>
      <w:r/>
      <w:r/>
    </w:p>
    <w:p w:rsidR="0015244F" w:rsidRDefault="00A565B8">
      <w:pPr>
        <w:ind w:firstLine="567"/>
        <w:jc w:val="both"/>
      </w:pPr>
      <w:r>
        <w:t>Four drive-test campaigns were conducted on a live commercial LTE network in Dhaka and Gazipur, yielding 4 continuous logging sessions, 10,260 samples at one hertz and 957 handover commands decoded from RRC signalling rather than inferred from vendor counters. An alignment audit of the one-hertz export is reported first, because it governs every result that follows: in 76% of handovers the export row stamped before the handover command already carries the post-handover serving cell, so a row summarises the second that follows its own timestamp. Every feature is therefore lagged by one row, which moves the one-second AUPRC of the same model from 0.600 to 0.179; an arm-wise decomposition attributes 96% of that fall to the serving-cell radio scalars, which change their referent when the assignment flips, and none of it to the loss of one second of kinematics. The defect is traced to its mechanism rather than reported as an anomaly: a row written at the end of its second carries the target cell exactly when the handover completes before that second closes, a prediction that fails for none of the 15 handovers here whose execution crosses the boundary. It replicates on 4,712 handovers from an independent XCAL corpus spanning 3 operators (93% contaminated under an end-of-second rule, 4% under a start-of-second rule on the same events) and is absent from a public log whose rows are instantaneous samples. Read deliberately, the same artefact recovers the sub-second serving-cell update delay from a one-hertz export. The task is posed as discrete-time survival: one model estimates per-interval hazards and horizon probabilities are products of hazards, so ordering holds by construction for any learner.</w:t>
      </w:r>
      <w:proofErr w:type="spellStart"/>
      <w:r/>
      <w:proofErr w:type="spellEnd"/>
      <w:r/>
      <w:r/>
      <w:proofErr w:type="spellStart"/>
      <w:r/>
      <w:proofErr w:type="spellEnd"/>
      <w:r/>
      <w:r/>
      <w:r/>
      <w:r/>
    </w:p>
    <w:p w:rsidR="0015244F" w:rsidRDefault="00A565B8">
      <w:pPr>
        <w:ind w:firstLine="567"/>
        <w:jc w:val="both"/>
      </w:pPr>
      <w:r>
        <w:t>Under leave-one-campaign-out evaluation — the only protocol whose units are genuinely independent here, since each campaign is one continuous session — gradient-boosted trees reach AUPRC 0.179 at one second against a 6.8% prevalence floor (2.6x lift, AUROC 0.777) and AUPRC 0.475 at five seconds (1.8x), against 0.116 for the deployed A3 rule scored as a predictor. Splitting rows at random instead inflates the same number by 48 %, and splitting by 180-second chunks of one session — the protocol this work used before the audit — still inflates it by 13 %. The hazard formulation yields zero ordering violations against 40.2% of rows for independent per-horizon classifiers, a defect that a cumulative-maximum projection also removes at no cost, so the formulation is defended on needing neither a held-out calibration split nor five separate fits rather than on coherence alone. Scored as a warning rather than as a ranking, the system detects 34% of handover commands at the one-second horizon at 179 false alarms per hour with a median lead of 0.47 s, and 42% at five seconds at 70 per hour with a median lead of 3.31 s; no operating point measured here is deployable for target-cell preparation, and the contribution is the measurement framework rather than a deployable predictor.</w:t>
      </w:r>
      <w:r/>
      <w:r/>
      <w:r/>
      <w:r/>
      <w:proofErr w:type="spellStart"/>
      <w:r/>
      <w:proofErr w:type="spellEnd"/>
      <w:r/>
      <w:r/>
    </w:p>
    <w:p w:rsidR="0015244F" w:rsidRDefault="00A565B8">
      <w:pPr>
        <w:ind w:firstLine="567"/>
        <w:jc w:val="both"/>
      </w:pPr>
      <w:r>
        <w:t>Two properties of the deployed network are corrected against the earlier draft of this work. Weighted by handovers rather than by configurations, 75% of A3-triggered handovers fire under a positive offset, so the operator's negative offsets belong to measurement configurations that rarely lead to mobility. The A3 conversion rate is shown to have no unit-free value: 63% of reports, 30% of trigger episodes under a loose rule that lets overlapping episodes claim the same command, and 73% once each command is matched to one episode. The separation between mobility and monitoring configurations survives all three and is widest under the strictest: 37% declined for the dominant mobility profile against 95% for the dominant monitoring profile. The contribution is a signalling-grounded, leakage-audited framework that converts measured handover events into coherent multi-horizon probabilities with a stated operating cost, together with a reproducible demonstration of how much of an apparently strong result on drive-test data can be timestamp alignment.</w:t>
      </w:r>
      <w:r/>
      <w:proofErr w:type="spellStart"/>
      <w:r/>
      <w:proofErr w:type="spellEnd"/>
      <w:r/>
      <w:r/>
    </w:p>
    <w:p w:rsidR="0015244F" w:rsidRDefault="00A565B8">
      <w:pPr>
        <w:ind w:firstLine="567"/>
        <w:jc w:val="both"/>
      </w:pPr>
      <w:r>
        <w:rPr>
          <w:b w:val="0"/>
          <w:bCs/>
        </w:rPr>
        <w:t>Keywords: LTE, handover prediction, Event A3, RRC signalling, discrete-time survival analysis, data leakage, evaluation protocol, conformal risk control, calibration, drive test.</w:t>
      </w:r>
      <w:r/>
      <w:proofErr w:type="spellStart"/>
      <w:r/>
      <w:proofErr w:type="spellEnd"/>
      <w:r/>
    </w:p>
    <w:p w:rsidR="0015244F" w:rsidRDefault="00A565B8">
      <w:pPr>
        <w:pageBreakBefore/>
        <w:spacing w:after="360"/>
        <w:jc w:val="center"/>
      </w:pPr>
      <w:r>
        <w:rPr>
          <w:b/>
          <w:bCs/>
          <w:sz w:val="32"/>
          <w:szCs w:val="32"/>
        </w:rPr>
        <w:lastRenderedPageBreak/>
        <w:t>TABLE OF CONTENTS</w:t>
      </w:r>
    </w:p>
    <w:p w:rsidR="0015244F" w:rsidRDefault="00A565B8">
      <w:pPr>
        <w:tabs>
          <w:tab w:val="right" w:leader="dot" w:pos="9008"/>
        </w:tabs>
        <w:spacing w:after="80" w:line="240" w:lineRule="auto"/>
        <w:ind w:right="113"/>
      </w:pPr>
      <w:r>
        <w:rPr>
          <w:b/>
          <w:bCs/>
        </w:rPr>
        <w:t>Acknowledgements</w:t>
      </w:r>
      <w:r>
        <w:rPr>
          <w:b/>
          <w:bCs/>
        </w:rPr>
        <w:tab/>
      </w:r>
      <w:proofErr w:type="gramStart"/>
      <w:r>
        <w:rPr>
          <w:b/>
          <w:bCs/>
        </w:rPr>
        <w:t>iv</w:t>
      </w:r>
      <w:proofErr w:type="gramEnd"/>
    </w:p>
    <w:p w:rsidR="0015244F" w:rsidRDefault="00A565B8">
      <w:pPr>
        <w:tabs>
          <w:tab w:val="right" w:leader="dot" w:pos="9008"/>
        </w:tabs>
        <w:spacing w:after="80" w:line="240" w:lineRule="auto"/>
        <w:ind w:right="113"/>
      </w:pPr>
      <w:r>
        <w:rPr>
          <w:b/>
          <w:bCs/>
        </w:rPr>
        <w:t>Abstract</w:t>
      </w:r>
      <w:r>
        <w:rPr>
          <w:b/>
          <w:bCs/>
        </w:rPr>
        <w:tab/>
        <w:t>v</w:t>
      </w:r>
    </w:p>
    <w:p w:rsidR="0015244F" w:rsidRDefault="00A565B8">
      <w:pPr>
        <w:tabs>
          <w:tab w:val="right" w:leader="dot" w:pos="9008"/>
        </w:tabs>
        <w:spacing w:after="80" w:line="240" w:lineRule="auto"/>
        <w:ind w:right="113"/>
      </w:pPr>
      <w:r>
        <w:rPr>
          <w:b/>
          <w:bCs/>
        </w:rPr>
        <w:t>List of figures</w:t>
      </w:r>
      <w:r>
        <w:rPr>
          <w:b/>
          <w:bCs/>
        </w:rPr>
        <w:tab/>
        <w:t>x</w:t>
      </w:r>
    </w:p>
    <w:p w:rsidR="0015244F" w:rsidRDefault="00A565B8">
      <w:pPr>
        <w:tabs>
          <w:tab w:val="right" w:leader="dot" w:pos="9008"/>
        </w:tabs>
        <w:spacing w:after="80" w:line="240" w:lineRule="auto"/>
        <w:ind w:right="113"/>
      </w:pPr>
      <w:r>
        <w:rPr>
          <w:b/>
          <w:bCs/>
        </w:rPr>
        <w:t xml:space="preserve">List of </w:t>
      </w:r>
      <w:proofErr w:type="gramStart"/>
      <w:r>
        <w:rPr>
          <w:b/>
          <w:bCs/>
        </w:rPr>
        <w:t>tables</w:t>
      </w:r>
      <w:proofErr w:type="gramEnd"/>
      <w:r>
        <w:rPr>
          <w:b/>
          <w:bCs/>
        </w:rPr>
        <w:tab/>
        <w:t>xii</w:t>
      </w:r>
    </w:p>
    <w:p w:rsidR="0015244F" w:rsidRDefault="00A565B8">
      <w:pPr>
        <w:tabs>
          <w:tab w:val="right" w:leader="dot" w:pos="9008"/>
        </w:tabs>
        <w:spacing w:after="80" w:line="240" w:lineRule="auto"/>
        <w:ind w:right="113"/>
      </w:pPr>
      <w:r>
        <w:rPr>
          <w:b/>
          <w:bCs/>
        </w:rPr>
        <w:t>List of acronyms</w:t>
      </w:r>
      <w:r>
        <w:rPr>
          <w:b/>
          <w:bCs/>
        </w:rPr>
        <w:tab/>
        <w:t>xiii</w:t>
      </w:r>
    </w:p>
    <w:p w:rsidR="0015244F" w:rsidRDefault="00A565B8">
      <w:pPr>
        <w:tabs>
          <w:tab w:val="right" w:leader="dot" w:pos="9008"/>
        </w:tabs>
        <w:spacing w:after="80" w:line="240" w:lineRule="auto"/>
        <w:ind w:right="113"/>
      </w:pPr>
      <w:r>
        <w:rPr>
          <w:b/>
          <w:bCs/>
        </w:rPr>
        <w:t xml:space="preserve">Chapter </w:t>
      </w:r>
      <w:proofErr w:type="gramStart"/>
      <w:r>
        <w:rPr>
          <w:b/>
          <w:bCs/>
        </w:rPr>
        <w:t>1  Introduction</w:t>
      </w:r>
      <w:proofErr w:type="gramEnd"/>
      <w:r>
        <w:rPr>
          <w:b/>
          <w:bCs/>
        </w:rPr>
        <w:tab/>
        <w:t>1</w:t>
      </w:r>
    </w:p>
    <w:p w:rsidR="0015244F" w:rsidRDefault="00A565B8">
      <w:pPr>
        <w:tabs>
          <w:tab w:val="right" w:leader="dot" w:pos="9008"/>
        </w:tabs>
        <w:spacing w:after="80" w:line="240" w:lineRule="auto"/>
        <w:ind w:left="454" w:right="113"/>
      </w:pPr>
      <w:r>
        <w:t>1.1 Background</w:t>
      </w:r>
      <w:r>
        <w:tab/>
        <w:t>1</w:t>
      </w:r>
    </w:p>
    <w:p w:rsidR="0015244F" w:rsidRDefault="00A565B8">
      <w:pPr>
        <w:tabs>
          <w:tab w:val="right" w:leader="dot" w:pos="9008"/>
        </w:tabs>
        <w:spacing w:after="80" w:line="240" w:lineRule="auto"/>
        <w:ind w:left="454" w:right="113"/>
      </w:pPr>
      <w:r>
        <w:t>1.2 Motivation</w:t>
      </w:r>
      <w:r>
        <w:tab/>
        <w:t>2</w:t>
      </w:r>
    </w:p>
    <w:p w:rsidR="0015244F" w:rsidRDefault="00A565B8">
      <w:pPr>
        <w:tabs>
          <w:tab w:val="right" w:leader="dot" w:pos="9008"/>
        </w:tabs>
        <w:spacing w:after="80" w:line="240" w:lineRule="auto"/>
        <w:ind w:left="454" w:right="113"/>
      </w:pPr>
      <w:r>
        <w:t>1.3 Problem statement</w:t>
      </w:r>
      <w:r>
        <w:tab/>
        <w:t>3</w:t>
      </w:r>
    </w:p>
    <w:p w:rsidR="0015244F" w:rsidRDefault="00A565B8">
      <w:pPr>
        <w:tabs>
          <w:tab w:val="right" w:leader="dot" w:pos="9008"/>
        </w:tabs>
        <w:spacing w:after="80" w:line="240" w:lineRule="auto"/>
        <w:ind w:left="454" w:right="113"/>
      </w:pPr>
      <w:r>
        <w:t>1.4 Objectives</w:t>
      </w:r>
      <w:r>
        <w:tab/>
        <w:t>4</w:t>
      </w:r>
    </w:p>
    <w:p w:rsidR="0015244F" w:rsidRDefault="00A565B8">
      <w:pPr>
        <w:tabs>
          <w:tab w:val="right" w:leader="dot" w:pos="9008"/>
        </w:tabs>
        <w:spacing w:after="80" w:line="240" w:lineRule="auto"/>
        <w:ind w:left="454" w:right="113"/>
      </w:pPr>
      <w:r>
        <w:t>1.5 Scope and limitations</w:t>
      </w:r>
      <w:r>
        <w:tab/>
        <w:t>4</w:t>
      </w:r>
    </w:p>
    <w:p w:rsidR="0015244F" w:rsidRDefault="00A565B8">
      <w:pPr>
        <w:tabs>
          <w:tab w:val="right" w:leader="dot" w:pos="9008"/>
        </w:tabs>
        <w:spacing w:after="80" w:line="240" w:lineRule="auto"/>
        <w:ind w:left="454" w:right="113"/>
      </w:pPr>
      <w:r>
        <w:t>1.6 Contributions</w:t>
      </w:r>
      <w:r>
        <w:tab/>
        <w:t>5</w:t>
      </w:r>
    </w:p>
    <w:p w:rsidR="0015244F" w:rsidRDefault="00A565B8">
      <w:pPr>
        <w:tabs>
          <w:tab w:val="right" w:leader="dot" w:pos="9008"/>
        </w:tabs>
        <w:spacing w:after="80" w:line="240" w:lineRule="auto"/>
        <w:ind w:left="454" w:right="113"/>
      </w:pPr>
      <w:r>
        <w:t xml:space="preserve">1.7 </w:t>
      </w:r>
      <w:proofErr w:type="spellStart"/>
      <w:r>
        <w:t>Organisation</w:t>
      </w:r>
      <w:proofErr w:type="spellEnd"/>
      <w:r>
        <w:t xml:space="preserve"> of the report</w:t>
      </w:r>
      <w:r>
        <w:tab/>
        <w:t>5</w:t>
      </w:r>
    </w:p>
    <w:p w:rsidR="0015244F" w:rsidRDefault="00A565B8">
      <w:pPr>
        <w:tabs>
          <w:tab w:val="right" w:leader="dot" w:pos="9008"/>
        </w:tabs>
        <w:spacing w:after="80" w:line="240" w:lineRule="auto"/>
        <w:ind w:right="113"/>
      </w:pPr>
      <w:r>
        <w:rPr>
          <w:b/>
          <w:bCs/>
        </w:rPr>
        <w:t xml:space="preserve">Chapter </w:t>
      </w:r>
      <w:proofErr w:type="gramStart"/>
      <w:r>
        <w:rPr>
          <w:b/>
          <w:bCs/>
        </w:rPr>
        <w:t>2  Lite</w:t>
      </w:r>
      <w:r>
        <w:rPr>
          <w:b/>
          <w:bCs/>
        </w:rPr>
        <w:t>rature</w:t>
      </w:r>
      <w:proofErr w:type="gramEnd"/>
      <w:r>
        <w:rPr>
          <w:b/>
          <w:bCs/>
        </w:rPr>
        <w:t xml:space="preserve"> review and methodology</w:t>
      </w:r>
      <w:r>
        <w:rPr>
          <w:b/>
          <w:bCs/>
        </w:rPr>
        <w:tab/>
        <w:t>7</w:t>
      </w:r>
    </w:p>
    <w:p w:rsidR="0015244F" w:rsidRDefault="00A565B8">
      <w:pPr>
        <w:tabs>
          <w:tab w:val="right" w:leader="dot" w:pos="9008"/>
        </w:tabs>
        <w:spacing w:after="80" w:line="240" w:lineRule="auto"/>
        <w:ind w:left="454" w:right="113"/>
      </w:pPr>
      <w:r>
        <w:t>2.1 LTE mobility and the Event A3 trigger</w:t>
      </w:r>
      <w:r>
        <w:tab/>
        <w:t>7</w:t>
      </w:r>
    </w:p>
    <w:p w:rsidR="0015244F" w:rsidRDefault="00A565B8">
      <w:pPr>
        <w:tabs>
          <w:tab w:val="right" w:leader="dot" w:pos="9008"/>
        </w:tabs>
        <w:spacing w:after="80" w:line="240" w:lineRule="auto"/>
        <w:ind w:left="454" w:right="113"/>
      </w:pPr>
      <w:r>
        <w:t>2.2 The measurement literature</w:t>
      </w:r>
      <w:r>
        <w:tab/>
        <w:t>8</w:t>
      </w:r>
    </w:p>
    <w:p w:rsidR="0015244F" w:rsidRDefault="00A565B8">
      <w:pPr>
        <w:tabs>
          <w:tab w:val="right" w:leader="dot" w:pos="9008"/>
        </w:tabs>
        <w:spacing w:after="80" w:line="240" w:lineRule="auto"/>
        <w:ind w:left="454" w:right="113"/>
      </w:pPr>
      <w:r>
        <w:t>2.3 The prediction literature and a protocol audit</w:t>
      </w:r>
      <w:r>
        <w:tab/>
        <w:t>8</w:t>
      </w:r>
    </w:p>
    <w:p w:rsidR="0015244F" w:rsidRDefault="00A565B8">
      <w:pPr>
        <w:tabs>
          <w:tab w:val="right" w:leader="dot" w:pos="9008"/>
        </w:tabs>
        <w:spacing w:after="80" w:line="240" w:lineRule="auto"/>
        <w:ind w:left="454" w:right="113"/>
      </w:pPr>
      <w:r>
        <w:t>2.4 Ping-pong and its definitional instability</w:t>
      </w:r>
      <w:r>
        <w:tab/>
        <w:t>10</w:t>
      </w:r>
    </w:p>
    <w:p w:rsidR="0015244F" w:rsidRDefault="00A565B8">
      <w:pPr>
        <w:tabs>
          <w:tab w:val="right" w:leader="dot" w:pos="9008"/>
        </w:tabs>
        <w:spacing w:after="80" w:line="240" w:lineRule="auto"/>
        <w:ind w:left="454" w:right="113"/>
      </w:pPr>
      <w:r>
        <w:t>2.5 Survival analysis as the appropriate for</w:t>
      </w:r>
      <w:r>
        <w:t>mulation</w:t>
      </w:r>
      <w:r>
        <w:tab/>
        <w:t>11</w:t>
      </w:r>
    </w:p>
    <w:p w:rsidR="0015244F" w:rsidRDefault="00A565B8">
      <w:pPr>
        <w:tabs>
          <w:tab w:val="right" w:leader="dot" w:pos="9008"/>
        </w:tabs>
        <w:spacing w:after="80" w:line="240" w:lineRule="auto"/>
        <w:ind w:left="454" w:right="113"/>
      </w:pPr>
      <w:r>
        <w:t>2.6 Distribution-free uncertainty quantification</w:t>
      </w:r>
      <w:r>
        <w:tab/>
        <w:t>11</w:t>
      </w:r>
    </w:p>
    <w:p w:rsidR="0015244F" w:rsidRDefault="00A565B8">
      <w:pPr>
        <w:tabs>
          <w:tab w:val="right" w:leader="dot" w:pos="9008"/>
        </w:tabs>
        <w:spacing w:after="80" w:line="240" w:lineRule="auto"/>
        <w:ind w:left="454" w:right="113"/>
      </w:pPr>
      <w:r>
        <w:t>2.7 Point processes and the self-excitation of handover arrivals</w:t>
      </w:r>
      <w:r>
        <w:tab/>
        <w:t>12</w:t>
      </w:r>
    </w:p>
    <w:p w:rsidR="0015244F" w:rsidRDefault="00A565B8">
      <w:pPr>
        <w:tabs>
          <w:tab w:val="right" w:leader="dot" w:pos="9008"/>
        </w:tabs>
        <w:spacing w:after="80" w:line="240" w:lineRule="auto"/>
        <w:ind w:left="454" w:right="113"/>
      </w:pPr>
      <w:r>
        <w:t>2.8 Evaluation practice imported from adjacent fields</w:t>
      </w:r>
      <w:r>
        <w:tab/>
        <w:t>12</w:t>
      </w:r>
    </w:p>
    <w:p w:rsidR="0015244F" w:rsidRDefault="00A565B8">
      <w:pPr>
        <w:tabs>
          <w:tab w:val="right" w:leader="dot" w:pos="9008"/>
        </w:tabs>
        <w:spacing w:after="80" w:line="240" w:lineRule="auto"/>
        <w:ind w:left="454" w:right="113"/>
      </w:pPr>
      <w:r>
        <w:t>2.9 Research gap</w:t>
      </w:r>
      <w:r>
        <w:tab/>
        <w:t>13</w:t>
      </w:r>
    </w:p>
    <w:p w:rsidR="0015244F" w:rsidRDefault="00A565B8">
      <w:pPr>
        <w:tabs>
          <w:tab w:val="right" w:leader="dot" w:pos="9008"/>
        </w:tabs>
        <w:spacing w:after="80" w:line="240" w:lineRule="auto"/>
        <w:ind w:left="454" w:right="113"/>
      </w:pPr>
      <w:r>
        <w:t>2.10 Methodology</w:t>
      </w:r>
      <w:r>
        <w:tab/>
        <w:t>13</w:t>
      </w:r>
    </w:p>
    <w:p w:rsidR="0015244F" w:rsidRDefault="00A565B8">
      <w:pPr>
        <w:tabs>
          <w:tab w:val="right" w:leader="dot" w:pos="9008"/>
        </w:tabs>
        <w:spacing w:after="80" w:line="240" w:lineRule="auto"/>
        <w:ind w:left="907" w:right="113"/>
      </w:pPr>
      <w:r>
        <w:t>2.10.1 Approaches considered and rejected</w:t>
      </w:r>
      <w:r>
        <w:tab/>
        <w:t>14</w:t>
      </w:r>
    </w:p>
    <w:p w:rsidR="0015244F" w:rsidRDefault="00A565B8">
      <w:pPr>
        <w:tabs>
          <w:tab w:val="right" w:leader="dot" w:pos="9008"/>
        </w:tabs>
        <w:spacing w:after="80" w:line="240" w:lineRule="auto"/>
        <w:ind w:right="113"/>
      </w:pPr>
      <w:r>
        <w:rPr>
          <w:b/>
          <w:bCs/>
        </w:rPr>
        <w:t xml:space="preserve">Chapter </w:t>
      </w:r>
      <w:proofErr w:type="gramStart"/>
      <w:r>
        <w:rPr>
          <w:b/>
          <w:bCs/>
        </w:rPr>
        <w:t>3  Measurement</w:t>
      </w:r>
      <w:proofErr w:type="gramEnd"/>
      <w:r>
        <w:rPr>
          <w:b/>
          <w:bCs/>
        </w:rPr>
        <w:t xml:space="preserve"> campaign and ground truth</w:t>
      </w:r>
      <w:r>
        <w:rPr>
          <w:b/>
          <w:bCs/>
        </w:rPr>
        <w:tab/>
        <w:t>16</w:t>
      </w:r>
    </w:p>
    <w:p w:rsidR="0015244F" w:rsidRDefault="00A565B8">
      <w:pPr>
        <w:tabs>
          <w:tab w:val="right" w:leader="dot" w:pos="9008"/>
        </w:tabs>
        <w:spacing w:after="80" w:line="240" w:lineRule="auto"/>
        <w:ind w:left="454" w:right="113"/>
      </w:pPr>
      <w:r>
        <w:t>3.1 Instrumentation</w:t>
      </w:r>
      <w:r>
        <w:tab/>
        <w:t>16</w:t>
      </w:r>
    </w:p>
    <w:p w:rsidR="0015244F" w:rsidRDefault="00A565B8">
      <w:pPr>
        <w:tabs>
          <w:tab w:val="right" w:leader="dot" w:pos="9008"/>
        </w:tabs>
        <w:spacing w:after="80" w:line="240" w:lineRule="auto"/>
        <w:ind w:left="454" w:right="113"/>
      </w:pPr>
      <w:r>
        <w:t>3.2 The four campaigns</w:t>
      </w:r>
      <w:r>
        <w:tab/>
        <w:t>17</w:t>
      </w:r>
    </w:p>
    <w:p w:rsidR="0015244F" w:rsidRDefault="00A565B8">
      <w:pPr>
        <w:tabs>
          <w:tab w:val="right" w:leader="dot" w:pos="9008"/>
        </w:tabs>
        <w:spacing w:after="80" w:line="240" w:lineRule="auto"/>
        <w:ind w:left="454" w:right="113"/>
      </w:pPr>
      <w:r>
        <w:t xml:space="preserve">3.3 </w:t>
      </w:r>
      <w:proofErr w:type="spellStart"/>
      <w:r>
        <w:t>Signalling</w:t>
      </w:r>
      <w:proofErr w:type="spellEnd"/>
      <w:r>
        <w:t xml:space="preserve"> decoding and the configuration timeline</w:t>
      </w:r>
      <w:r>
        <w:tab/>
        <w:t>18</w:t>
      </w:r>
    </w:p>
    <w:p w:rsidR="0015244F" w:rsidRDefault="00A565B8">
      <w:pPr>
        <w:tabs>
          <w:tab w:val="right" w:leader="dot" w:pos="9008"/>
        </w:tabs>
        <w:spacing w:after="80" w:line="240" w:lineRule="auto"/>
        <w:ind w:left="907" w:right="113"/>
      </w:pPr>
      <w:r>
        <w:t>3.3.1 The attribution chain</w:t>
      </w:r>
      <w:r>
        <w:tab/>
        <w:t>18</w:t>
      </w:r>
    </w:p>
    <w:p w:rsidR="0015244F" w:rsidRDefault="00A565B8">
      <w:pPr>
        <w:tabs>
          <w:tab w:val="right" w:leader="dot" w:pos="9008"/>
        </w:tabs>
        <w:spacing w:after="80" w:line="240" w:lineRule="auto"/>
        <w:ind w:left="907" w:right="113"/>
      </w:pPr>
      <w:r>
        <w:t>3.3.2 Why a flat pars</w:t>
      </w:r>
      <w:r>
        <w:t>e is wrong</w:t>
      </w:r>
      <w:r>
        <w:tab/>
        <w:t>18</w:t>
      </w:r>
    </w:p>
    <w:p w:rsidR="0015244F" w:rsidRDefault="00A565B8">
      <w:pPr>
        <w:tabs>
          <w:tab w:val="right" w:leader="dot" w:pos="9008"/>
        </w:tabs>
        <w:spacing w:after="80" w:line="240" w:lineRule="auto"/>
        <w:ind w:left="907" w:right="113"/>
      </w:pPr>
      <w:r>
        <w:t>3.3.3 The timeline</w:t>
      </w:r>
      <w:r>
        <w:tab/>
        <w:t>19</w:t>
      </w:r>
    </w:p>
    <w:p w:rsidR="0015244F" w:rsidRDefault="00A565B8">
      <w:pPr>
        <w:tabs>
          <w:tab w:val="right" w:leader="dot" w:pos="9008"/>
        </w:tabs>
        <w:spacing w:after="80" w:line="240" w:lineRule="auto"/>
        <w:ind w:left="454" w:right="113"/>
      </w:pPr>
      <w:r>
        <w:t>3.4 Drive segmentation and quality control</w:t>
      </w:r>
      <w:r>
        <w:tab/>
        <w:t>19</w:t>
      </w:r>
    </w:p>
    <w:p w:rsidR="0015244F" w:rsidRDefault="00A565B8">
      <w:pPr>
        <w:tabs>
          <w:tab w:val="right" w:leader="dot" w:pos="9008"/>
        </w:tabs>
        <w:spacing w:after="80" w:line="240" w:lineRule="auto"/>
        <w:ind w:left="454" w:right="113"/>
      </w:pPr>
      <w:r>
        <w:t>3.5 The deployed configuration</w:t>
      </w:r>
      <w:r>
        <w:tab/>
        <w:t>20</w:t>
      </w:r>
    </w:p>
    <w:p w:rsidR="0015244F" w:rsidRDefault="00A565B8">
      <w:pPr>
        <w:tabs>
          <w:tab w:val="right" w:leader="dot" w:pos="9008"/>
        </w:tabs>
        <w:spacing w:after="80" w:line="240" w:lineRule="auto"/>
        <w:ind w:left="454" w:right="113"/>
      </w:pPr>
      <w:r>
        <w:lastRenderedPageBreak/>
        <w:t>3.6 The dataset</w:t>
      </w:r>
      <w:r>
        <w:tab/>
        <w:t>21</w:t>
      </w:r>
    </w:p>
    <w:p w:rsidR="0015244F" w:rsidRDefault="00A565B8">
      <w:pPr>
        <w:tabs>
          <w:tab w:val="right" w:leader="dot" w:pos="9008"/>
        </w:tabs>
        <w:spacing w:after="80" w:line="240" w:lineRule="auto"/>
        <w:ind w:right="113"/>
      </w:pPr>
      <w:r>
        <w:rPr>
          <w:b/>
          <w:bCs/>
        </w:rPr>
        <w:t xml:space="preserve">Chapter </w:t>
      </w:r>
      <w:proofErr w:type="gramStart"/>
      <w:r>
        <w:rPr>
          <w:b/>
          <w:bCs/>
        </w:rPr>
        <w:t>4  Predictive</w:t>
      </w:r>
      <w:proofErr w:type="gramEnd"/>
      <w:r>
        <w:rPr>
          <w:b/>
          <w:bCs/>
        </w:rPr>
        <w:t xml:space="preserve"> formulation and system design</w:t>
      </w:r>
      <w:r>
        <w:rPr>
          <w:b/>
          <w:bCs/>
        </w:rPr>
        <w:tab/>
        <w:t>24</w:t>
      </w:r>
    </w:p>
    <w:p w:rsidR="0015244F" w:rsidRDefault="00A565B8">
      <w:pPr>
        <w:tabs>
          <w:tab w:val="right" w:leader="dot" w:pos="9008"/>
        </w:tabs>
        <w:spacing w:after="80" w:line="240" w:lineRule="auto"/>
        <w:ind w:left="454" w:right="113"/>
      </w:pPr>
      <w:r>
        <w:t xml:space="preserve">4.1 Problem </w:t>
      </w:r>
      <w:proofErr w:type="spellStart"/>
      <w:r>
        <w:t>formalisation</w:t>
      </w:r>
      <w:proofErr w:type="spellEnd"/>
      <w:r>
        <w:tab/>
        <w:t>24</w:t>
      </w:r>
    </w:p>
    <w:p w:rsidR="0015244F" w:rsidRDefault="00A565B8">
      <w:pPr>
        <w:tabs>
          <w:tab w:val="right" w:leader="dot" w:pos="9008"/>
        </w:tabs>
        <w:spacing w:after="80" w:line="240" w:lineRule="auto"/>
        <w:ind w:left="454" w:right="113"/>
      </w:pPr>
      <w:r>
        <w:t>4.2 The multi-horizon binary formulat</w:t>
      </w:r>
      <w:r>
        <w:t>ion and its defect</w:t>
      </w:r>
      <w:r>
        <w:tab/>
        <w:t>25</w:t>
      </w:r>
    </w:p>
    <w:p w:rsidR="0015244F" w:rsidRDefault="00A565B8">
      <w:pPr>
        <w:tabs>
          <w:tab w:val="right" w:leader="dot" w:pos="9008"/>
        </w:tabs>
        <w:spacing w:after="80" w:line="240" w:lineRule="auto"/>
        <w:ind w:left="454" w:right="113"/>
      </w:pPr>
      <w:r>
        <w:t>4.3 The discrete-time survival formulation</w:t>
      </w:r>
      <w:r>
        <w:tab/>
        <w:t>26</w:t>
      </w:r>
    </w:p>
    <w:p w:rsidR="0015244F" w:rsidRDefault="00A565B8">
      <w:pPr>
        <w:tabs>
          <w:tab w:val="right" w:leader="dot" w:pos="9008"/>
        </w:tabs>
        <w:spacing w:after="80" w:line="240" w:lineRule="auto"/>
        <w:ind w:left="454" w:right="113"/>
      </w:pPr>
      <w:r>
        <w:t>4.4 The likelihood under censoring</w:t>
      </w:r>
      <w:r>
        <w:tab/>
        <w:t>27</w:t>
      </w:r>
    </w:p>
    <w:p w:rsidR="0015244F" w:rsidRDefault="00A565B8">
      <w:pPr>
        <w:tabs>
          <w:tab w:val="right" w:leader="dot" w:pos="9008"/>
        </w:tabs>
        <w:spacing w:after="80" w:line="240" w:lineRule="auto"/>
        <w:ind w:left="454" w:right="113"/>
      </w:pPr>
      <w:r>
        <w:t>4.5 Why class reweighting is inadmissible here</w:t>
      </w:r>
      <w:r>
        <w:tab/>
        <w:t>28</w:t>
      </w:r>
    </w:p>
    <w:p w:rsidR="0015244F" w:rsidRDefault="00A565B8">
      <w:pPr>
        <w:tabs>
          <w:tab w:val="right" w:leader="dot" w:pos="9008"/>
        </w:tabs>
        <w:spacing w:after="80" w:line="240" w:lineRule="auto"/>
        <w:ind w:left="454" w:right="113"/>
      </w:pPr>
      <w:r>
        <w:t>4.6 Feature construction</w:t>
      </w:r>
      <w:r>
        <w:tab/>
        <w:t>28</w:t>
      </w:r>
    </w:p>
    <w:p w:rsidR="0015244F" w:rsidRDefault="00A565B8">
      <w:pPr>
        <w:tabs>
          <w:tab w:val="right" w:leader="dot" w:pos="9008"/>
        </w:tabs>
        <w:spacing w:after="80" w:line="240" w:lineRule="auto"/>
        <w:ind w:left="454" w:right="113"/>
      </w:pPr>
      <w:r>
        <w:t>4.7 Models compared</w:t>
      </w:r>
      <w:r>
        <w:tab/>
        <w:t>29</w:t>
      </w:r>
    </w:p>
    <w:p w:rsidR="0015244F" w:rsidRDefault="00A565B8">
      <w:pPr>
        <w:tabs>
          <w:tab w:val="right" w:leader="dot" w:pos="9008"/>
        </w:tabs>
        <w:spacing w:after="80" w:line="240" w:lineRule="auto"/>
        <w:ind w:left="454" w:right="113"/>
      </w:pPr>
      <w:r>
        <w:t>4.8 Calibration</w:t>
      </w:r>
      <w:r>
        <w:tab/>
        <w:t>30</w:t>
      </w:r>
    </w:p>
    <w:p w:rsidR="0015244F" w:rsidRDefault="00A565B8">
      <w:pPr>
        <w:tabs>
          <w:tab w:val="right" w:leader="dot" w:pos="9008"/>
        </w:tabs>
        <w:spacing w:after="80" w:line="240" w:lineRule="auto"/>
        <w:ind w:left="454" w:right="113"/>
      </w:pPr>
      <w:r>
        <w:t>4.9 Evaluation protocol</w:t>
      </w:r>
      <w:r>
        <w:tab/>
        <w:t>30</w:t>
      </w:r>
    </w:p>
    <w:p w:rsidR="0015244F" w:rsidRDefault="00A565B8">
      <w:pPr>
        <w:tabs>
          <w:tab w:val="right" w:leader="dot" w:pos="9008"/>
        </w:tabs>
        <w:spacing w:after="80" w:line="240" w:lineRule="auto"/>
        <w:ind w:left="454" w:right="113"/>
      </w:pPr>
      <w:r>
        <w:t>4.1</w:t>
      </w:r>
      <w:r>
        <w:t>0 Distribution-free risk control</w:t>
      </w:r>
      <w:r>
        <w:tab/>
        <w:t>31</w:t>
      </w:r>
    </w:p>
    <w:p w:rsidR="0015244F" w:rsidRDefault="00A565B8">
      <w:pPr>
        <w:tabs>
          <w:tab w:val="right" w:leader="dot" w:pos="9008"/>
        </w:tabs>
        <w:spacing w:after="80" w:line="240" w:lineRule="auto"/>
        <w:ind w:left="454" w:right="113"/>
      </w:pPr>
      <w:r>
        <w:t>4.11 Point-process analysis of handover arrivals</w:t>
      </w:r>
      <w:r>
        <w:tab/>
        <w:t>32</w:t>
      </w:r>
    </w:p>
    <w:p w:rsidR="0015244F" w:rsidRDefault="00A565B8">
      <w:pPr>
        <w:tabs>
          <w:tab w:val="right" w:leader="dot" w:pos="9008"/>
        </w:tabs>
        <w:spacing w:after="80" w:line="240" w:lineRule="auto"/>
        <w:ind w:right="113"/>
      </w:pPr>
      <w:r>
        <w:rPr>
          <w:b/>
          <w:bCs/>
        </w:rPr>
        <w:t xml:space="preserve">Chapter </w:t>
      </w:r>
      <w:proofErr w:type="gramStart"/>
      <w:r>
        <w:rPr>
          <w:b/>
          <w:bCs/>
        </w:rPr>
        <w:t>5  Results</w:t>
      </w:r>
      <w:proofErr w:type="gramEnd"/>
      <w:r>
        <w:rPr>
          <w:b/>
          <w:bCs/>
        </w:rPr>
        <w:t xml:space="preserve"> and discussion</w:t>
      </w:r>
      <w:r>
        <w:rPr>
          <w:b/>
          <w:bCs/>
        </w:rPr>
        <w:tab/>
        <w:t>34</w:t>
      </w:r>
    </w:p>
    <w:p w:rsidR="0015244F" w:rsidRDefault="00A565B8">
      <w:pPr>
        <w:tabs>
          <w:tab w:val="right" w:leader="dot" w:pos="9008"/>
        </w:tabs>
        <w:spacing w:after="80" w:line="240" w:lineRule="auto"/>
        <w:ind w:left="454" w:right="113"/>
      </w:pPr>
      <w:r>
        <w:t>5.1 The alignment audit and what it costs</w:t>
        <w:tab/>
        <w:t>34</w:t>
      </w:r>
      <w:r/>
    </w:p>
    <w:p w:rsidR="0015244F" w:rsidRDefault="00A565B8">
      <w:pPr>
        <w:tabs>
          <w:tab w:val="right" w:leader="dot" w:pos="9008"/>
        </w:tabs>
        <w:spacing w:after="80" w:line="240" w:lineRule="auto"/>
        <w:ind w:left="454" w:right="113"/>
      </w:pPr>
      <w:r>
        <w:t>5.2 The primary prediction result</w:t>
        <w:tab/>
        <w:t>36</w:t>
      </w:r>
      <w:r/>
    </w:p>
    <w:p w:rsidR="0015244F" w:rsidRDefault="00A565B8">
      <w:pPr>
        <w:tabs>
          <w:tab w:val="right" w:leader="dot" w:pos="9008"/>
        </w:tabs>
        <w:spacing w:after="80" w:line="240" w:lineRule="auto"/>
        <w:ind w:left="454" w:right="113"/>
      </w:pPr>
      <w:r>
        <w:t>5.3 Splitting protocol: what each unit is worth</w:t>
        <w:tab/>
        <w:t>38</w:t>
      </w:r>
      <w:r/>
    </w:p>
    <w:p w:rsidR="0015244F" w:rsidRDefault="00A565B8">
      <w:pPr>
        <w:tabs>
          <w:tab w:val="right" w:leader="dot" w:pos="9008"/>
        </w:tabs>
        <w:spacing w:after="80" w:line="240" w:lineRule="auto"/>
        <w:ind w:left="454" w:right="113"/>
      </w:pPr>
      <w:r>
        <w:t>5.4 Coherence and calibration</w:t>
        <w:tab/>
        <w:t>40</w:t>
      </w:r>
      <w:r/>
    </w:p>
    <w:p w:rsidR="0015244F" w:rsidRDefault="00A565B8">
      <w:pPr>
        <w:tabs>
          <w:tab w:val="right" w:leader="dot" w:pos="9008"/>
        </w:tabs>
        <w:spacing w:after="80" w:line="240" w:lineRule="auto"/>
        <w:ind w:left="454" w:right="113"/>
      </w:pPr>
      <w:r>
        <w:t>5.5 The risk-control frontier and its price</w:t>
        <w:tab/>
        <w:t>43</w:t>
      </w:r>
      <w:r/>
    </w:p>
    <w:p w:rsidR="0015244F" w:rsidRDefault="00A565B8">
      <w:pPr>
        <w:tabs>
          <w:tab w:val="right" w:leader="dot" w:pos="9008"/>
        </w:tabs>
        <w:spacing w:after="80" w:line="240" w:lineRule="auto"/>
        <w:ind w:left="454" w:right="113"/>
      </w:pPr>
      <w:r>
        <w:t>5.6 Generalisation across corridors and speed regimes</w:t>
        <w:tab/>
        <w:t>44</w:t>
      </w:r>
      <w:proofErr w:type="spellStart"/>
      <w:r/>
      <w:proofErr w:type="spellEnd"/>
      <w:r/>
      <w:r/>
    </w:p>
    <w:p w:rsidR="0015244F" w:rsidRDefault="00A565B8">
      <w:pPr>
        <w:tabs>
          <w:tab w:val="right" w:leader="dot" w:pos="9008"/>
        </w:tabs>
        <w:spacing w:after="80" w:line="240" w:lineRule="auto"/>
        <w:ind w:left="454" w:right="113"/>
      </w:pPr>
      <w:r>
        <w:t>5.7 An independent collection on the same network</w:t>
        <w:tab/>
        <w:t>45</w:t>
      </w:r>
      <w:r/>
      <w:r/>
    </w:p>
    <w:p w:rsidR="0015244F" w:rsidRDefault="00A565B8">
      <w:pPr>
        <w:tabs>
          <w:tab w:val="right" w:leader="dot" w:pos="9008"/>
        </w:tabs>
        <w:spacing w:after="80" w:line="240" w:lineRule="auto"/>
        <w:ind w:left="454" w:right="113"/>
      </w:pPr>
      <w:r>
        <w:t>5.8 What the model uses, and where it works</w:t>
        <w:tab/>
        <w:t>46</w:t>
      </w:r>
      <w:r/>
    </w:p>
    <w:p w:rsidR="0015244F" w:rsidRDefault="00A565B8">
      <w:pPr>
        <w:tabs>
          <w:tab w:val="right" w:leader="dot" w:pos="9008"/>
        </w:tabs>
        <w:spacing w:after="80" w:line="240" w:lineRule="auto"/>
        <w:ind w:left="454" w:right="113"/>
      </w:pPr>
      <w:r>
        <w:t>5.9 The A3 report-conversion rate and the unit it is counted in</w:t>
        <w:tab/>
        <w:t>48</w:t>
      </w:r>
      <w:r/>
    </w:p>
    <w:p w:rsidR="0015244F" w:rsidRDefault="00A565B8">
      <w:pPr>
        <w:tabs>
          <w:tab w:val="right" w:leader="dot" w:pos="9008"/>
        </w:tabs>
        <w:spacing w:after="80" w:line="240" w:lineRule="auto"/>
        <w:ind w:left="454" w:right="113"/>
      </w:pPr>
      <w:r>
        <w:t>5.10 Ping-pong: definitional instability and its actual source</w:t>
      </w:r>
      <w:r>
        <w:tab/>
        <w:t>50</w:t>
      </w:r>
    </w:p>
    <w:p w:rsidR="0015244F" w:rsidRDefault="00A565B8">
      <w:pPr>
        <w:tabs>
          <w:tab w:val="right" w:leader="dot" w:pos="9008"/>
        </w:tabs>
        <w:spacing w:after="80" w:line="240" w:lineRule="auto"/>
        <w:ind w:left="454" w:right="113"/>
      </w:pPr>
      <w:r>
        <w:t>5.11 Negative results and the cost of the audit</w:t>
        <w:tab/>
        <w:t>54</w:t>
      </w:r>
      <w:r/>
    </w:p>
    <w:p w:rsidR="0015244F" w:rsidRDefault="00A565B8">
      <w:pPr>
        <w:tabs>
          <w:tab w:val="right" w:leader="dot" w:pos="9008"/>
        </w:tabs>
        <w:spacing w:after="80" w:line="240" w:lineRule="auto"/>
        <w:ind w:left="454" w:right="113"/>
      </w:pPr>
      <w:r>
        <w:t>5.12 Discussion against the objectives</w:t>
      </w:r>
      <w:r>
        <w:tab/>
        <w:t>55</w:t>
      </w:r>
    </w:p>
    <w:p w:rsidR="0015244F" w:rsidRDefault="00A565B8">
      <w:pPr>
        <w:tabs>
          <w:tab w:val="right" w:leader="dot" w:pos="9008"/>
        </w:tabs>
        <w:spacing w:after="80" w:line="240" w:lineRule="auto"/>
        <w:ind w:left="454" w:right="113"/>
      </w:pPr>
      <w:r>
        <w:t>5.13 Threats to val</w:t>
      </w:r>
      <w:r>
        <w:t>idity</w:t>
      </w:r>
      <w:r>
        <w:tab/>
        <w:t>56</w:t>
      </w:r>
    </w:p>
    <w:p w:rsidR="0015244F" w:rsidRDefault="00A565B8">
      <w:pPr>
        <w:tabs>
          <w:tab w:val="right" w:leader="dot" w:pos="9008"/>
        </w:tabs>
        <w:spacing w:after="80" w:line="240" w:lineRule="auto"/>
        <w:ind w:right="113"/>
      </w:pPr>
      <w:r>
        <w:rPr>
          <w:b/>
          <w:bCs/>
        </w:rPr>
        <w:t xml:space="preserve">Chapter </w:t>
      </w:r>
      <w:proofErr w:type="gramStart"/>
      <w:r>
        <w:rPr>
          <w:b/>
          <w:bCs/>
        </w:rPr>
        <w:t>6  Demonstration</w:t>
      </w:r>
      <w:proofErr w:type="gramEnd"/>
      <w:r>
        <w:rPr>
          <w:b/>
          <w:bCs/>
        </w:rPr>
        <w:t xml:space="preserve"> of outcome based education</w:t>
      </w:r>
      <w:r>
        <w:rPr>
          <w:b/>
          <w:bCs/>
        </w:rPr>
        <w:tab/>
        <w:t>58</w:t>
      </w:r>
    </w:p>
    <w:p w:rsidR="0015244F" w:rsidRDefault="00A565B8">
      <w:pPr>
        <w:tabs>
          <w:tab w:val="right" w:leader="dot" w:pos="9008"/>
        </w:tabs>
        <w:spacing w:after="80" w:line="240" w:lineRule="auto"/>
        <w:ind w:left="454" w:right="113"/>
      </w:pPr>
      <w:r>
        <w:t>6.1 Introduction</w:t>
      </w:r>
      <w:r>
        <w:tab/>
        <w:t>58</w:t>
      </w:r>
    </w:p>
    <w:p w:rsidR="0015244F" w:rsidRDefault="00A565B8">
      <w:pPr>
        <w:tabs>
          <w:tab w:val="right" w:leader="dot" w:pos="9008"/>
        </w:tabs>
        <w:spacing w:after="80" w:line="240" w:lineRule="auto"/>
        <w:ind w:left="454" w:right="113"/>
      </w:pPr>
      <w:r>
        <w:t>6.2 Course outcomes addressed</w:t>
      </w:r>
      <w:r>
        <w:tab/>
        <w:t>58</w:t>
      </w:r>
    </w:p>
    <w:p w:rsidR="0015244F" w:rsidRDefault="00A565B8">
      <w:pPr>
        <w:tabs>
          <w:tab w:val="right" w:leader="dot" w:pos="9008"/>
        </w:tabs>
        <w:spacing w:after="80" w:line="240" w:lineRule="auto"/>
        <w:ind w:left="454" w:right="113"/>
      </w:pPr>
      <w:r>
        <w:t>6.3 Aspects of program outcomes addressed</w:t>
      </w:r>
      <w:r>
        <w:tab/>
        <w:t>59</w:t>
      </w:r>
    </w:p>
    <w:p w:rsidR="0015244F" w:rsidRDefault="00A565B8">
      <w:pPr>
        <w:tabs>
          <w:tab w:val="right" w:leader="dot" w:pos="9008"/>
        </w:tabs>
        <w:spacing w:after="80" w:line="240" w:lineRule="auto"/>
        <w:ind w:left="454" w:right="113"/>
      </w:pPr>
      <w:r>
        <w:t>6.4 Knowledge profiles addressed</w:t>
      </w:r>
      <w:r>
        <w:tab/>
        <w:t>60</w:t>
      </w:r>
    </w:p>
    <w:p w:rsidR="0015244F" w:rsidRDefault="00A565B8">
      <w:pPr>
        <w:tabs>
          <w:tab w:val="right" w:leader="dot" w:pos="9008"/>
        </w:tabs>
        <w:spacing w:after="80" w:line="240" w:lineRule="auto"/>
        <w:ind w:left="454" w:right="113"/>
      </w:pPr>
      <w:r>
        <w:t>6.5 Use of complex engineering problems</w:t>
      </w:r>
      <w:r>
        <w:tab/>
        <w:t>61</w:t>
      </w:r>
    </w:p>
    <w:p w:rsidR="0015244F" w:rsidRDefault="00A565B8">
      <w:pPr>
        <w:tabs>
          <w:tab w:val="right" w:leader="dot" w:pos="9008"/>
        </w:tabs>
        <w:spacing w:after="80" w:line="240" w:lineRule="auto"/>
        <w:ind w:left="454" w:right="113"/>
      </w:pPr>
      <w:r>
        <w:t>6.6 Socio-cultural, environmental and ethical impact</w:t>
      </w:r>
      <w:r>
        <w:tab/>
        <w:t>61</w:t>
      </w:r>
    </w:p>
    <w:p w:rsidR="0015244F" w:rsidRDefault="00A565B8">
      <w:pPr>
        <w:tabs>
          <w:tab w:val="right" w:leader="dot" w:pos="9008"/>
        </w:tabs>
        <w:spacing w:after="80" w:line="240" w:lineRule="auto"/>
        <w:ind w:left="454" w:right="113"/>
      </w:pPr>
      <w:r>
        <w:t>6.7 Attributes of complex engineering problem solving addressed</w:t>
      </w:r>
      <w:r>
        <w:tab/>
        <w:t>62</w:t>
      </w:r>
    </w:p>
    <w:p w:rsidR="0015244F" w:rsidRDefault="00A565B8">
      <w:pPr>
        <w:tabs>
          <w:tab w:val="right" w:leader="dot" w:pos="9008"/>
        </w:tabs>
        <w:spacing w:after="80" w:line="240" w:lineRule="auto"/>
        <w:ind w:left="454" w:right="113"/>
      </w:pPr>
      <w:r>
        <w:t>6.8 Attributes of complex engineering activities addressed</w:t>
      </w:r>
      <w:r>
        <w:tab/>
        <w:t>63</w:t>
      </w:r>
    </w:p>
    <w:p w:rsidR="0015244F" w:rsidRDefault="00A565B8">
      <w:pPr>
        <w:tabs>
          <w:tab w:val="right" w:leader="dot" w:pos="9008"/>
        </w:tabs>
        <w:spacing w:after="80" w:line="240" w:lineRule="auto"/>
        <w:ind w:left="454" w:right="113"/>
      </w:pPr>
      <w:r>
        <w:lastRenderedPageBreak/>
        <w:t>6.9 Project management, resources and budget</w:t>
      </w:r>
      <w:r>
        <w:tab/>
        <w:t>63</w:t>
      </w:r>
    </w:p>
    <w:p w:rsidR="0015244F" w:rsidRDefault="00A565B8">
      <w:pPr>
        <w:tabs>
          <w:tab w:val="right" w:leader="dot" w:pos="9008"/>
        </w:tabs>
        <w:spacing w:after="80" w:line="240" w:lineRule="auto"/>
        <w:ind w:right="113"/>
      </w:pPr>
      <w:r>
        <w:rPr>
          <w:b/>
          <w:bCs/>
        </w:rPr>
        <w:t xml:space="preserve">Chapter </w:t>
      </w:r>
      <w:proofErr w:type="gramStart"/>
      <w:r>
        <w:rPr>
          <w:b/>
          <w:bCs/>
        </w:rPr>
        <w:t>7  Conclusions</w:t>
      </w:r>
      <w:proofErr w:type="gramEnd"/>
      <w:r>
        <w:rPr>
          <w:b/>
          <w:bCs/>
        </w:rPr>
        <w:tab/>
      </w:r>
      <w:r>
        <w:rPr>
          <w:b/>
          <w:bCs/>
        </w:rPr>
        <w:t>65</w:t>
      </w:r>
    </w:p>
    <w:p w:rsidR="0015244F" w:rsidRDefault="00A565B8">
      <w:pPr>
        <w:tabs>
          <w:tab w:val="right" w:leader="dot" w:pos="9008"/>
        </w:tabs>
        <w:spacing w:after="80" w:line="240" w:lineRule="auto"/>
        <w:ind w:left="454" w:right="113"/>
      </w:pPr>
      <w:r>
        <w:t>7.1 Summary of findings</w:t>
      </w:r>
      <w:r>
        <w:tab/>
        <w:t>65</w:t>
      </w:r>
    </w:p>
    <w:p w:rsidR="0015244F" w:rsidRDefault="00A565B8">
      <w:pPr>
        <w:tabs>
          <w:tab w:val="right" w:leader="dot" w:pos="9008"/>
        </w:tabs>
        <w:spacing w:after="80" w:line="240" w:lineRule="auto"/>
        <w:ind w:left="454" w:right="113"/>
      </w:pPr>
      <w:r>
        <w:t>7.2 Limitations</w:t>
      </w:r>
      <w:r>
        <w:tab/>
        <w:t>66</w:t>
      </w:r>
    </w:p>
    <w:p w:rsidR="0015244F" w:rsidRDefault="00A565B8">
      <w:pPr>
        <w:tabs>
          <w:tab w:val="right" w:leader="dot" w:pos="9008"/>
        </w:tabs>
        <w:spacing w:after="80" w:line="240" w:lineRule="auto"/>
        <w:ind w:left="454" w:right="113"/>
      </w:pPr>
      <w:r>
        <w:t>7.3 Recommendations for future work</w:t>
      </w:r>
      <w:r>
        <w:tab/>
        <w:t>67</w:t>
      </w:r>
    </w:p>
    <w:p w:rsidR="0015244F" w:rsidRDefault="00A565B8">
      <w:pPr>
        <w:tabs>
          <w:tab w:val="right" w:leader="dot" w:pos="9008"/>
        </w:tabs>
        <w:spacing w:after="80" w:line="240" w:lineRule="auto"/>
        <w:ind w:left="454" w:right="113"/>
      </w:pPr>
      <w:r>
        <w:t>7.4 Concluding remark</w:t>
      </w:r>
      <w:r>
        <w:tab/>
        <w:t>67</w:t>
      </w:r>
    </w:p>
    <w:p w:rsidR="0015244F" w:rsidRDefault="00A565B8">
      <w:pPr>
        <w:tabs>
          <w:tab w:val="right" w:leader="dot" w:pos="9008"/>
        </w:tabs>
        <w:spacing w:after="80" w:line="240" w:lineRule="auto"/>
        <w:ind w:right="113"/>
      </w:pPr>
      <w:r>
        <w:rPr>
          <w:b/>
          <w:bCs/>
        </w:rPr>
        <w:t>References</w:t>
      </w:r>
      <w:r>
        <w:rPr>
          <w:b/>
          <w:bCs/>
        </w:rPr>
        <w:tab/>
        <w:t>69</w:t>
      </w:r>
    </w:p>
    <w:p w:rsidR="0015244F" w:rsidRDefault="00A565B8">
      <w:pPr>
        <w:tabs>
          <w:tab w:val="right" w:leader="dot" w:pos="9008"/>
        </w:tabs>
        <w:spacing w:after="80" w:line="240" w:lineRule="auto"/>
        <w:ind w:right="113"/>
      </w:pPr>
      <w:r>
        <w:rPr>
          <w:b/>
          <w:bCs/>
        </w:rPr>
        <w:t xml:space="preserve">Appendix </w:t>
      </w:r>
      <w:proofErr w:type="gramStart"/>
      <w:r>
        <w:rPr>
          <w:b/>
          <w:bCs/>
        </w:rPr>
        <w:t>A  Full</w:t>
      </w:r>
      <w:proofErr w:type="gramEnd"/>
      <w:r>
        <w:rPr>
          <w:b/>
          <w:bCs/>
        </w:rPr>
        <w:t xml:space="preserve"> per-horizon results</w:t>
      </w:r>
      <w:r>
        <w:rPr>
          <w:b/>
          <w:bCs/>
        </w:rPr>
        <w:tab/>
        <w:t>71</w:t>
      </w:r>
    </w:p>
    <w:p w:rsidR="0015244F" w:rsidRDefault="00A565B8">
      <w:pPr>
        <w:tabs>
          <w:tab w:val="right" w:leader="dot" w:pos="9008"/>
        </w:tabs>
        <w:spacing w:after="80" w:line="240" w:lineRule="auto"/>
        <w:ind w:right="113"/>
      </w:pPr>
      <w:r>
        <w:rPr>
          <w:b/>
          <w:bCs/>
        </w:rPr>
        <w:t xml:space="preserve">Appendix </w:t>
      </w:r>
      <w:proofErr w:type="gramStart"/>
      <w:r>
        <w:rPr>
          <w:b/>
          <w:bCs/>
        </w:rPr>
        <w:t>B  Feature</w:t>
      </w:r>
      <w:proofErr w:type="gramEnd"/>
      <w:r>
        <w:rPr>
          <w:b/>
          <w:bCs/>
        </w:rPr>
        <w:t xml:space="preserve"> inventory</w:t>
      </w:r>
      <w:r>
        <w:rPr>
          <w:b/>
          <w:bCs/>
        </w:rPr>
        <w:tab/>
        <w:t>72</w:t>
      </w:r>
    </w:p>
    <w:p w:rsidR="0015244F" w:rsidRDefault="00A565B8">
      <w:pPr>
        <w:tabs>
          <w:tab w:val="right" w:leader="dot" w:pos="9008"/>
        </w:tabs>
        <w:spacing w:after="80" w:line="240" w:lineRule="auto"/>
        <w:ind w:right="113"/>
      </w:pPr>
      <w:r>
        <w:rPr>
          <w:b/>
          <w:bCs/>
        </w:rPr>
        <w:t>Appendix C  Reproduction notes</w:t>
        <w:tab/>
        <w:t>73</w:t>
      </w:r>
      <w:proofErr w:type="gramStart"/>
      <w:r>
        <w:rPr>
          <w:b/>
          <w:bCs/>
        </w:rPr>
      </w:r>
      <w:proofErr w:type="gramEnd"/>
      <w:r>
        <w:rPr>
          <w:b/>
          <w:bCs/>
        </w:rPr>
      </w:r>
      <w:r>
        <w:rPr>
          <w:b/>
          <w:bCs/>
        </w:rPr>
      </w:r>
    </w:p>
    <w:p w:rsidR="0015244F" w:rsidRDefault="00A565B8">
      <w:pPr>
        <w:tabs>
          <w:tab w:val="right" w:leader="dot" w:pos="9008"/>
        </w:tabs>
        <w:spacing w:after="80" w:line="240" w:lineRule="auto"/>
        <w:ind w:right="113"/>
      </w:pPr>
      <w:r>
        <w:rPr>
          <w:b/>
          <w:bCs/>
        </w:rPr>
        <w:t>Appendix D  The 22 audited models</w:t>
        <w:tab/>
        <w:t>74</w:t>
      </w:r>
      <w:proofErr w:type="gramStart"/>
      <w:r>
        <w:rPr>
          <w:b/>
          <w:bCs/>
        </w:rPr>
      </w:r>
      <w:proofErr w:type="gramEnd"/>
      <w:r>
        <w:rPr>
          <w:b/>
          <w:bCs/>
        </w:rPr>
      </w:r>
      <w:r>
        <w:rPr>
          <w:b/>
          <w:bCs/>
        </w:rPr>
      </w:r>
    </w:p>
    <w:p w:rsidR="0015244F" w:rsidRDefault="00A565B8">
      <w:pPr>
        <w:pageBreakBefore/>
        <w:spacing w:after="360"/>
        <w:jc w:val="center"/>
      </w:pPr>
      <w:r>
        <w:rPr>
          <w:b/>
          <w:bCs/>
          <w:sz w:val="32"/>
          <w:szCs w:val="32"/>
        </w:rPr>
        <w:lastRenderedPageBreak/>
        <w:t>LIST OF FIGURES</w:t>
      </w:r>
    </w:p>
    <w:p w:rsidR="0015244F" w:rsidRDefault="00A565B8">
      <w:pPr>
        <w:tabs>
          <w:tab w:val="right" w:leader="dot" w:pos="9008"/>
        </w:tabs>
        <w:spacing w:after="80" w:line="240" w:lineRule="auto"/>
        <w:ind w:right="113"/>
      </w:pPr>
      <w:r>
        <w:t>Figure 1.1 Event A3 fires only after the neighbour has been better than the serving cell by a configured offset for a full time-to-trigger. The profile that produces most of the handovers measured here is a +1 dB offset with a 320 ms time-to-trigger and 1 dB hysteresis.</w:t>
      </w:r>
      <w:proofErr w:type="spellStart"/>
      <w:r/>
      <w:proofErr w:type="spellEnd"/>
      <w:r/>
      <w:proofErr w:type="spellStart"/>
      <w:r/>
      <w:proofErr w:type="spellEnd"/>
      <w:r/>
      <w:r/>
    </w:p>
    <w:p w:rsidR="0015244F" w:rsidRDefault="00A565B8">
      <w:pPr>
        <w:tabs>
          <w:tab w:val="right" w:leader="dot" w:pos="9008"/>
        </w:tabs>
        <w:spacing w:after="80" w:line="240" w:lineRule="auto"/>
        <w:ind w:right="113"/>
      </w:pPr>
      <w:r>
        <w:t>Figure 2.1 The methodology in five stages. Stage 2 supplies the ground truth; Stage 4 is the formulation that keeps the five horizons mutually consistent; Stage 5 is the evaluation protocol whose unit is a whole campaign.</w:t>
      </w:r>
      <w:proofErr w:type="gramStart"/>
      <w:r/>
      <w:r/>
      <w:proofErr w:type="gramEnd"/>
      <w:r/>
      <w:r/>
    </w:p>
    <w:p w:rsidR="0015244F" w:rsidRDefault="00A565B8">
      <w:pPr>
        <w:tabs>
          <w:tab w:val="right" w:leader="dot" w:pos="9008"/>
        </w:tabs>
        <w:spacing w:after="80" w:line="240" w:lineRule="auto"/>
        <w:ind w:right="113"/>
      </w:pPr>
      <w:r>
        <w:t>Figure 3.1 The three Dhaka campaigns on an OpenStreetMap background. Events cluster at particular junctions rather than distributing uniformly along the route. The 15 September highway campaign lies outside this extent. Map data © OpenStreetMap contributors.</w:t>
      </w:r>
      <w:proofErr w:type="gramStart"/>
      <w:r/>
      <w:proofErr w:type="gramEnd"/>
      <w:r/>
      <w:proofErr w:type="spellStart"/>
      <w:r/>
      <w:proofErr w:type="spellEnd"/>
      <w:r/>
      <w:r/>
      <w:proofErr w:type="spellStart"/>
      <w:r/>
      <w:proofErr w:type="spellEnd"/>
      <w:r/>
      <w:proofErr w:type="spellStart"/>
      <w:r/>
      <w:proofErr w:type="spellEnd"/>
      <w:r/>
      <w:r/>
      <w:r/>
    </w:p>
    <w:p w:rsidR="0015244F" w:rsidRDefault="00A565B8">
      <w:pPr>
        <w:tabs>
          <w:tab w:val="right" w:leader="dot" w:pos="9008"/>
        </w:tabs>
        <w:spacing w:after="80" w:line="240" w:lineRule="auto"/>
        <w:ind w:right="113"/>
      </w:pPr>
      <w:r>
        <w:t>Figure 3.2 Measurement identifiers persist in VarMeasConfig until they are modified or removed. A flat parse resolves every report against the union of all configuration fragments; the timeline replays additions, modifications and removals in order and resolves each report against the configuration in force at its own timestamp.</w:t>
      </w:r>
      <w:r/>
      <w:r/>
    </w:p>
    <w:p w:rsidR="0015244F" w:rsidRDefault="00A565B8">
      <w:pPr>
        <w:tabs>
          <w:tab w:val="right" w:leader="dot" w:pos="9008"/>
        </w:tabs>
        <w:spacing w:after="80" w:line="240" w:lineRule="auto"/>
        <w:ind w:right="113"/>
      </w:pPr>
      <w:r>
        <w:t>Figure 3.3 Handovers attributed to each configuration profile, weighted by the handovers each actually produced rather than by the number of configurations present. Blue bars are positive-offset A3 profiles, red bars negative-offset A3 profiles, grey bars other events.</w:t>
      </w:r>
      <w:r/>
    </w:p>
    <w:p w:rsidR="0015244F" w:rsidRDefault="00A565B8">
      <w:pPr>
        <w:tabs>
          <w:tab w:val="right" w:leader="dot" w:pos="9008"/>
        </w:tabs>
        <w:spacing w:after="80" w:line="240" w:lineRule="auto"/>
        <w:ind w:right="113"/>
      </w:pPr>
      <w:r>
        <w:t>Figure 3.4 Composition of the pooled dataset. The four campaigns differ in duration and in event density; the highway campaign contributes the fewest handovers per minute and the highest mean speed.</w:t>
      </w:r>
      <w:r/>
      <w:r/>
    </w:p>
    <w:p w:rsidR="0015244F" w:rsidRDefault="00A565B8">
      <w:pPr>
        <w:tabs>
          <w:tab w:val="right" w:leader="dot" w:pos="9008"/>
        </w:tabs>
        <w:spacing w:after="80" w:line="240" w:lineRule="auto"/>
        <w:ind w:right="113"/>
      </w:pPr>
      <w:r>
        <w:t>Figure 4.1 Independent per-horizon classifiers against the hazard formulation, drawn on simulated rows with the measured violation rate. Independent fits cross; the product of hazards cannot.</w:t>
      </w:r>
      <w:r/>
      <w:r/>
    </w:p>
    <w:p w:rsidR="0015244F" w:rsidRDefault="00A565B8">
      <w:pPr>
        <w:tabs>
          <w:tab w:val="right" w:leader="dot" w:pos="9008"/>
        </w:tabs>
        <w:spacing w:after="80" w:line="240" w:lineRule="auto"/>
        <w:ind w:right="113"/>
      </w:pPr>
      <w:r>
        <w:t>Figure 4.2 The splitting ladder. Leave-one-campaign-out holds out a whole continuous session; blocked cross-validation holds out a contiguous stretch of each session with a 60-second purge on either side; the two leaky protocols draw 180-second blocks, or rows, at random.</w:t>
      </w:r>
      <w:proofErr w:type="gramStart"/>
      <w:r/>
      <w:proofErr w:type="gramEnd"/>
      <w:r/>
      <w:r/>
      <w:r/>
    </w:p>
    <w:p w:rsidR="0015244F" w:rsidRDefault="00A565B8">
      <w:pPr>
        <w:tabs>
          <w:tab w:val="right" w:leader="dot" w:pos="9008"/>
        </w:tabs>
        <w:spacing w:after="80" w:line="240" w:lineRule="auto"/>
        <w:ind w:right="113"/>
      </w:pPr>
      <w:r>
        <w:t>Figure 5.1 The alignment audit and its mechanism. (a) A handover command at tau inside the second [t, t+1) is carried by the row stamped t whenever the serving-cell register updates before the second closes, that is whenever the margin m = 1 - delta - x is positive. (b) The audit on our captures: rows around the command. (c) The same quantity on three datasets; the two aggregated exports are contaminated and the sampled log is not. (d) The falsification test: no handover whose execution crosses the second boundary contaminates its row. (e) Contamination against where the command falls inside the second, in both XCAL corpora. (f) In the last fifth of the second the contamination share becomes an estimator of the serving-cell update delay, which sits near 60 ms.</w:t>
      </w:r>
      <w:r/>
      <w:r/>
    </w:p>
    <w:p w:rsidR="0015244F" w:rsidRDefault="00A565B8">
      <w:pPr>
        <w:tabs>
          <w:tab w:val="right" w:leader="dot" w:pos="9008"/>
        </w:tabs>
        <w:spacing w:after="80" w:line="240" w:lineRule="auto"/>
        <w:ind w:right="113"/>
      </w:pPr>
      <w:r>
        <w:t>Figure 5.2 Event-level cost of the warning at the 5 % false-positive operating point: share of handover commands detected against the 1 Hz grid ceiling, with the false-alarm episode rate per hour on the right axis.</w:t>
      </w:r>
      <w:proofErr w:type="gramStart"/>
      <w:r/>
      <w:proofErr w:type="gramEnd"/>
      <w:r/>
      <w:r/>
      <w:r/>
    </w:p>
    <w:p w:rsidR="0015244F" w:rsidRDefault="00A565B8">
      <w:pPr>
        <w:tabs>
          <w:tab w:val="right" w:leader="dot" w:pos="9008"/>
        </w:tabs>
        <w:spacing w:after="80" w:line="240" w:lineRule="auto"/>
        <w:ind w:right="113"/>
      </w:pPr>
      <w:r>
        <w:t>Figure 5.3 AUPRC lift over the prevalence floor by horizon for every learner, out of fold under leave-one-campaign-out. A lift of one is the floor itself.</w:t>
      </w:r>
      <w:proofErr w:type="spellStart"/>
      <w:r/>
      <w:proofErr w:type="spellEnd"/>
      <w:r/>
      <w:r/>
      <w:r/>
    </w:p>
    <w:p w:rsidR="0015244F" w:rsidRDefault="00A565B8">
      <w:pPr>
        <w:tabs>
          <w:tab w:val="right" w:leader="dot" w:pos="9008"/>
        </w:tabs>
        <w:spacing w:after="80" w:line="240" w:lineRule="auto"/>
        <w:ind w:right="113"/>
      </w:pPr>
      <w:r>
        <w:t>Figure 5.4 One-second AUPRC lift by learner, with each held-out campaign drawn separately. The spread across campaigns is wider than the spread across learners.</w:t>
      </w:r>
      <w:r/>
      <w:r/>
    </w:p>
    <w:p w:rsidR="0015244F" w:rsidRDefault="00A565B8">
      <w:pPr>
        <w:tabs>
          <w:tab w:val="right" w:leader="dot" w:pos="9008"/>
        </w:tabs>
        <w:spacing w:after="80" w:line="240" w:lineRule="auto"/>
        <w:ind w:right="113"/>
      </w:pPr>
      <w:r>
        <w:t>Figure 5.5 The splitting ladder, at one and five seconds. Every learner rises as the protocol weakens, and the learners rise by different amounts, so the ranking changes with the protocol.</w:t>
      </w:r>
      <w:r/>
      <w:r/>
    </w:p>
    <w:p w:rsidR="0015244F" w:rsidRDefault="00A565B8">
      <w:pPr>
        <w:tabs>
          <w:tab w:val="right" w:leader="dot" w:pos="9008"/>
        </w:tabs>
        <w:spacing w:after="80" w:line="240" w:lineRule="auto"/>
        <w:ind w:right="113"/>
      </w:pPr>
      <w:r>
        <w:t>Figure 5.6 Calibration error at one second, one line per held-out campaign, for independent classifiers against the hazard formulation.</w:t>
      </w:r>
      <w:r/>
    </w:p>
    <w:p w:rsidR="0015244F" w:rsidRDefault="00A565B8">
      <w:pPr>
        <w:tabs>
          <w:tab w:val="right" w:leader="dot" w:pos="9008"/>
        </w:tabs>
        <w:spacing w:after="80" w:line="240" w:lineRule="auto"/>
        <w:ind w:right="113"/>
      </w:pPr>
      <w:r>
        <w:t>Figure 5.7 Calibration error against the horizon for every coherence arm (left) and the share of rows violating horizon ordering (right).</w:t>
      </w:r>
      <w:r/>
      <w:r/>
    </w:p>
    <w:p w:rsidR="0015244F" w:rsidRDefault="00A565B8">
      <w:pPr>
        <w:tabs>
          <w:tab w:val="right" w:leader="dot" w:pos="9008"/>
        </w:tabs>
        <w:spacing w:after="80" w:line="240" w:lineRule="auto"/>
        <w:ind w:right="113"/>
      </w:pPr>
      <w:r>
        <w:t>Figure 5.8 Where the model earns its advantage: rows with no handover in the previous ten seconds against rows inside a burst.</w:t>
      </w:r>
      <w:r/>
    </w:p>
    <w:p w:rsidR="0015244F" w:rsidRDefault="00A565B8">
      <w:pPr>
        <w:tabs>
          <w:tab w:val="right" w:leader="dot" w:pos="9008"/>
        </w:tabs>
        <w:spacing w:after="80" w:line="240" w:lineRule="auto"/>
        <w:ind w:right="113"/>
      </w:pPr>
      <w:r>
        <w:t>Figure 5.9 Conformal risk control in both regimes. Left: realised mean per-unit miss rate against the target, with the guarantee boundary as the diagonal. Right: the alarm rate that compliance costs.</w:t>
      </w:r>
      <w:proofErr w:type="spellStart"/>
      <w:r/>
      <w:proofErr w:type="spellEnd"/>
      <w:r/>
      <w:r/>
      <w:r/>
    </w:p>
    <w:p w:rsidR="0015244F" w:rsidRDefault="00A565B8">
      <w:pPr>
        <w:tabs>
          <w:tab w:val="right" w:leader="dot" w:pos="9008"/>
        </w:tabs>
        <w:spacing w:after="80" w:line="240" w:lineRule="auto"/>
        <w:ind w:right="113"/>
      </w:pPr>
      <w:r>
        <w:t>Figure 5.10 Leave-one-campaign-out on four metrics. Each bar holds one campaign out entirely and trains on the other three; the dashed line is the pooled out-of-fold value. The highway campaign is in red.</w:t>
      </w:r>
      <w:r/>
      <w:r/>
    </w:p>
    <w:p w:rsidR="0015244F" w:rsidRDefault="00A565B8">
      <w:pPr>
        <w:tabs>
          <w:tab w:val="right" w:leader="dot" w:pos="9008"/>
        </w:tabs>
        <w:spacing w:after="80" w:line="240" w:lineRule="auto"/>
        <w:ind w:right="113"/>
      </w:pPr>
      <w:r>
        <w:t>Figure 5.11 Transfer to an independently collected dataset on the same network, with both domains built from L3 signalling alone. Bars are 95 % bootstrap intervals over runs.</w:t>
      </w:r>
      <w:r/>
      <w:r/>
      <w:r/>
    </w:p>
    <w:p w:rsidR="0015244F" w:rsidRDefault="00A565B8">
      <w:pPr>
        <w:tabs>
          <w:tab w:val="right" w:leader="dot" w:pos="9008"/>
        </w:tabs>
        <w:spacing w:after="80" w:line="240" w:lineRule="auto"/>
        <w:ind w:right="113"/>
      </w:pPr>
      <w:r>
        <w:t>Figure 5.12 Single-feature discriminative power at one second on the lagged export. No single feature approaches the full model.</w:t>
      </w:r>
      <w:proofErr w:type="spellStart"/>
      <w:r/>
      <w:proofErr w:type="spellEnd"/>
      <w:r/>
      <w:r/>
      <w:r/>
    </w:p>
    <w:p w:rsidR="0015244F" w:rsidRDefault="00A565B8">
      <w:pPr>
        <w:tabs>
          <w:tab w:val="right" w:leader="dot" w:pos="9008"/>
        </w:tabs>
        <w:spacing w:after="80" w:line="240" w:lineRule="auto"/>
        <w:ind w:right="113"/>
      </w:pPr>
      <w:r>
        <w:t>Figure 5.13 Probability of a handover command within one and five seconds against the time since the previous command, computed from signalling timestamps.</w:t>
      </w:r>
      <w:proofErr w:type="spellStart"/>
      <w:r/>
      <w:proofErr w:type="spellEnd"/>
      <w:r/>
      <w:r/>
      <w:r/>
    </w:p>
    <w:p w:rsidR="0015244F" w:rsidRDefault="00A565B8">
      <w:pPr>
        <w:tabs>
          <w:tab w:val="right" w:leader="dot" w:pos="9008"/>
        </w:tabs>
        <w:spacing w:after="80" w:line="240" w:lineRule="auto"/>
        <w:ind w:right="113"/>
      </w:pPr>
      <w:r>
        <w:t>Figure 5.14 A3 report conversion under three units. Counting transmitted reports counts periodic re-reports of one trigger; counting trigger episodes loosely lets several overlapping episodes claim the same command; the one-to-one unit matches each command to exactly one episode.</w:t>
      </w:r>
      <w:r/>
    </w:p>
    <w:p w:rsidR="0015244F" w:rsidRDefault="00A565B8">
      <w:pPr>
        <w:tabs>
          <w:tab w:val="right" w:leader="dot" w:pos="9008"/>
        </w:tabs>
        <w:spacing w:after="80" w:line="240" w:lineRule="auto"/>
        <w:ind w:right="113"/>
      </w:pPr>
      <w:r>
        <w:t>Figure 5.15 The ping-pong rate over the full definitional grid: three return windows against three conventions for cell identity and return, computed on one unchanging set of handover commands.</w:t>
      </w:r>
      <w:proofErr w:type="gramStart"/>
      <w:r/>
      <w:proofErr w:type="gramEnd"/>
      <w:r/>
      <w:r/>
      <w:r/>
    </w:p>
    <w:p w:rsidR="0015244F" w:rsidRDefault="00A565B8">
      <w:pPr>
        <w:tabs>
          <w:tab w:val="right" w:leader="dot" w:pos="9008"/>
        </w:tabs>
        <w:spacing w:after="80" w:line="240" w:lineRule="auto"/>
        <w:ind w:right="113"/>
      </w:pPr>
      <w:r>
        <w:t>Figure 5.16 Where ping-pong concentrates. The dominant axis is the carrier relationship, not the mobility regime.</w:t>
      </w:r>
      <w:proofErr w:type="gramStart"/>
      <w:r/>
      <w:proofErr w:type="gramEnd"/>
      <w:r/>
      <w:r/>
    </w:p>
    <w:p w:rsidR="0015244F" w:rsidRDefault="00A565B8">
      <w:pPr>
        <w:tabs>
          <w:tab w:val="right" w:leader="dot" w:pos="9008"/>
        </w:tabs>
        <w:spacing w:after="80" w:line="240" w:lineRule="auto"/>
        <w:ind w:right="113"/>
      </w:pPr>
      <w:r>
        <w:t>Figure 5.17 Hawkes branching ratio estimated on each campaign separately and on the pooled stream, with bootstrap intervals.</w:t>
      </w:r>
      <w:r/>
      <w:r/>
      <w:r/>
    </w:p>
    <w:p w:rsidR="0015244F" w:rsidRDefault="00A565B8">
      <w:pPr>
        <w:tabs>
          <w:tab w:val="right" w:leader="dot" w:pos="9008"/>
        </w:tabs>
        <w:spacing w:after="80" w:line="240" w:lineRule="auto"/>
        <w:ind w:right="113"/>
      </w:pPr>
      <w:r>
        <w:t>Figure 5.18 Self-excitation in the handover arrival stream. The clustering is real; the Ogata residual test rejects the exponential kernel, so its temporal shape is not exponential.</w:t>
      </w:r>
      <w:r/>
    </w:p>
    <w:p w:rsidR="0015244F" w:rsidRDefault="00A565B8">
      <w:pPr>
        <w:tabs>
          <w:tab w:val="right" w:leader="dot" w:pos="9008"/>
        </w:tabs>
        <w:spacing w:after="80" w:line="240" w:lineRule="auto"/>
        <w:ind w:right="113"/>
      </w:pPr>
      <w:r>
        <w:t>Figure 5.19 Feature-block, alignment and censoring ablations at one and five seconds, out of fold under leave-one-campaign-out, with the spread over three seeds.</w:t>
      </w:r>
      <w:r/>
      <w:r/>
    </w:p>
    <w:p w:rsidR="0015244F" w:rsidRDefault="00A565B8">
      <w:pPr>
        <w:pageBreakBefore/>
        <w:spacing w:after="360"/>
        <w:jc w:val="center"/>
      </w:pPr>
      <w:r>
        <w:rPr>
          <w:b/>
          <w:bCs/>
          <w:sz w:val="32"/>
          <w:szCs w:val="32"/>
        </w:rPr>
        <w:lastRenderedPageBreak/>
        <w:t>LIST OF TABLES</w:t>
      </w:r>
    </w:p>
    <w:p w:rsidR="0015244F" w:rsidRDefault="00A565B8">
      <w:pPr>
        <w:tabs>
          <w:tab w:val="right" w:leader="dot" w:pos="9008"/>
        </w:tabs>
        <w:spacing w:after="80" w:line="240" w:lineRule="auto"/>
        <w:ind w:right="113"/>
      </w:pPr>
      <w:r>
        <w:t>Table 2.1 Protocol audit of the 22 most comparable prediction models, contrasted with the protocol adopted here. Appendix D lists the models.</w:t>
      </w:r>
      <w:r/>
    </w:p>
    <w:p w:rsidR="0015244F" w:rsidRDefault="00A565B8">
      <w:pPr>
        <w:tabs>
          <w:tab w:val="right" w:leader="dot" w:pos="9008"/>
        </w:tabs>
        <w:spacing w:after="80" w:line="240" w:lineRule="auto"/>
        <w:ind w:right="113"/>
      </w:pPr>
      <w:r>
        <w:t>Table 3.1 Deployed Event A3 configuration recovered from RRC signalling, weighted by the handovers each profile produced.</w:t>
      </w:r>
      <w:r/>
      <w:proofErr w:type="spellStart"/>
      <w:r/>
      <w:proofErr w:type="spellEnd"/>
      <w:r/>
      <w:r/>
    </w:p>
    <w:p w:rsidR="0015244F" w:rsidRDefault="00A565B8">
      <w:pPr>
        <w:tabs>
          <w:tab w:val="right" w:leader="dot" w:pos="9008"/>
        </w:tabs>
        <w:spacing w:after="80" w:line="240" w:lineRule="auto"/>
        <w:ind w:right="113"/>
      </w:pPr>
      <w:r>
        <w:t>Table 3.2 The four measurement campaigns after quality control.</w:t>
      </w:r>
      <w:r/>
    </w:p>
    <w:p w:rsidR="0015244F" w:rsidRDefault="00A565B8">
      <w:pPr>
        <w:tabs>
          <w:tab w:val="right" w:leader="dot" w:pos="9008"/>
        </w:tabs>
        <w:spacing w:after="80" w:line="240" w:lineRule="auto"/>
        <w:ind w:right="113"/>
      </w:pPr>
      <w:r>
        <w:t>Table 4.1 Positive-class prevalence by horizon on the common row set, and the accuracy obtained by a constant negative prediction.</w:t>
      </w:r>
      <w:r/>
    </w:p>
    <w:p w:rsidR="0015244F" w:rsidRDefault="00A565B8">
      <w:pPr>
        <w:tabs>
          <w:tab w:val="right" w:leader="dot" w:pos="9008"/>
        </w:tabs>
        <w:spacing w:after="80" w:line="240" w:lineRule="auto"/>
        <w:ind w:right="113"/>
      </w:pPr>
      <w:r>
        <w:t>Table 4.2 Measured discrete-time hazard by bin, and the cumulative incidence it implies, against the prevalence of Table 4.1. The two agree exactly by construction.</w:t>
      </w:r>
      <w:r/>
      <w:r/>
    </w:p>
    <w:p w:rsidR="0015244F" w:rsidRDefault="00A565B8">
      <w:pPr>
        <w:tabs>
          <w:tab w:val="right" w:leader="dot" w:pos="9008"/>
        </w:tabs>
        <w:spacing w:after="80" w:line="240" w:lineRule="auto"/>
        <w:ind w:right="113"/>
      </w:pPr>
      <w:r>
        <w:t>Table 4.3 Feature blocks, their source and their alignment.</w:t>
      </w:r>
      <w:r/>
    </w:p>
    <w:p w:rsidR="0015244F" w:rsidRDefault="00A565B8">
      <w:pPr>
        <w:tabs>
          <w:tab w:val="right" w:leader="dot" w:pos="9008"/>
        </w:tabs>
        <w:spacing w:after="80" w:line="240" w:lineRule="auto"/>
        <w:ind w:right="113"/>
      </w:pPr>
      <w:r>
        <w:t>Table 5.1 The alignment audit: share of handovers whose target cell already serves in export rows around the command.</w:t>
      </w:r>
      <w:proofErr w:type="spellStart"/>
      <w:r/>
      <w:proofErr w:type="spellEnd"/>
      <w:r/>
      <w:r/>
      <w:r/>
    </w:p>
    <w:p w:rsidR="0015244F" w:rsidRDefault="00A565B8">
      <w:pPr>
        <w:tabs>
          <w:tab w:val="right" w:leader="dot" w:pos="9008"/>
        </w:tabs>
        <w:spacing w:after="80" w:line="240" w:lineRule="auto"/>
        <w:ind w:right="113"/>
      </w:pPr>
      <w:r>
        <w:t>Table 5.2 What the one-row lag costs, with everything else held fixed.</w:t>
      </w:r>
      <w:r/>
    </w:p>
    <w:p w:rsidR="0015244F" w:rsidRDefault="00A565B8">
      <w:pPr>
        <w:tabs>
          <w:tab w:val="right" w:leader="dot" w:pos="9008"/>
        </w:tabs>
        <w:spacing w:after="80" w:line="240" w:lineRule="auto"/>
        <w:ind w:right="113"/>
      </w:pPr>
      <w:r>
        <w:t>Table 5.3 Out-of-fold performance of LightGBM under the hazard formulation, leave-one-campaign-out. ARM A (tuned): nested random search of twenty trials per outer fold, averaged over three seeds. Tables 5.3, 5.4, 5.8 and A.1 are this arm, and every headline number in the abstract and Chapter 7 comes from it. Intervals are block-bootstrapped over 180 s blocks and are conditional on these four sessions.</w:t>
      </w:r>
      <w:r/>
      <w:r/>
    </w:p>
    <w:p w:rsidR="0015244F" w:rsidRDefault="00A565B8">
      <w:pPr>
        <w:tabs>
          <w:tab w:val="right" w:leader="dot" w:pos="9008"/>
        </w:tabs>
        <w:spacing w:after="80" w:line="240" w:lineRule="auto"/>
        <w:ind w:right="113"/>
      </w:pPr>
      <w:r>
        <w:t>Table 5.4 Every learner under identical folds, features, formulation and tuning budget. ARM A (tuned): nested random search of twenty trials per outer fold, averaged over three seeds. Tables 5.3, 5.4, 5.8 and A.1 are this arm, and every headline number in the abstract and Chapter 7 comes from it.</w:t>
      </w:r>
      <w:r/>
    </w:p>
    <w:p w:rsidR="0015244F" w:rsidRDefault="00A565B8">
      <w:pPr>
        <w:tabs>
          <w:tab w:val="right" w:leader="dot" w:pos="9008"/>
        </w:tabs>
        <w:spacing w:after="80" w:line="240" w:lineRule="auto"/>
        <w:ind w:right="113"/>
      </w:pPr>
      <w:r>
        <w:t>Table 5.5 One-second AUPRC under four splitting protocols. ARM B (fixed hyper-parameters): one configuration per learner, held fixed across all four protocols so that the splitting rule is the only thing that varies. Because the learners are untuned, the levels in the leave-one-campaign-out column are NOT comparable with Tables 5.3, 5.4 and A.1, which report arm A; every percentage quoted from this table is a ratio within the table.</w:t>
      </w:r>
      <w:r/>
    </w:p>
    <w:p w:rsidR="0015244F" w:rsidRDefault="00A565B8">
      <w:pPr>
        <w:tabs>
          <w:tab w:val="right" w:leader="dot" w:pos="9008"/>
        </w:tabs>
        <w:spacing w:after="80" w:line="240" w:lineRule="auto"/>
        <w:ind w:right="113"/>
      </w:pPr>
      <w:r>
        <w:t>Table 5.6 Horizon coherence and calibration for the hazard formulation and its four controls. ARM C (coherence): fixed hyper-parameters, with an extra calibration block held out of every fold so the isotonic arms can be fitted; its AUPRC levels are therefore not comparable with arm A either, and only the comparison between arms within this table is meaningful. Violation rates are given for a single fitted system, which is what a deployment meets, and for the three-seed ensemble beside it; averaging predictions over seeds lowers the rate without removing its cause. Every violation figure quoted in the text is the single-fit rate.</w:t>
      </w:r>
      <w:r/>
    </w:p>
    <w:p w:rsidR="0015244F" w:rsidRDefault="00A565B8">
      <w:pPr>
        <w:tabs>
          <w:tab w:val="right" w:leader="dot" w:pos="9008"/>
        </w:tabs>
        <w:spacing w:after="80" w:line="240" w:lineRule="auto"/>
        <w:ind w:right="113"/>
      </w:pPr>
      <w:r>
        <w:t>Table 5.7 Conformal risk control at the one-second horizon, in the exchangeable regime and across campaigns.</w:t>
      </w:r>
      <w:r/>
    </w:p>
    <w:p w:rsidR="0015244F" w:rsidRDefault="00A565B8">
      <w:pPr>
        <w:tabs>
          <w:tab w:val="right" w:leader="dot" w:pos="9008"/>
        </w:tabs>
        <w:spacing w:after="80" w:line="240" w:lineRule="auto"/>
        <w:ind w:right="113"/>
      </w:pPr>
      <w:r>
        <w:t>Table 5.8 Leave-one-campaign-out performance at the one-second horizon.</w:t>
      </w:r>
      <w:r/>
    </w:p>
    <w:p w:rsidR="0015244F" w:rsidRDefault="00A565B8">
      <w:pPr>
        <w:tabs>
          <w:tab w:val="right" w:leader="dot" w:pos="9008"/>
        </w:tabs>
        <w:spacing w:after="80" w:line="240" w:lineRule="auto"/>
        <w:ind w:right="113"/>
      </w:pPr>
      <w:r>
        <w:t>Table 5.9 Transfer between our campaigns and an independently collected public dataset on the same network, both built from L3 signalling alone.</w:t>
      </w:r>
      <w:r/>
    </w:p>
    <w:p w:rsidR="0015244F" w:rsidRDefault="00A565B8">
      <w:pPr>
        <w:tabs>
          <w:tab w:val="right" w:leader="dot" w:pos="9008"/>
        </w:tabs>
        <w:spacing w:after="80" w:line="240" w:lineRule="auto"/>
        <w:ind w:right="113"/>
      </w:pPr>
      <w:r>
        <w:t>Table 5.10 Single-feature AUROC at the one-second horizon on the lagged export.</w:t>
      </w:r>
      <w:r/>
    </w:p>
    <w:p w:rsidR="0015244F" w:rsidRDefault="00A565B8">
      <w:pPr>
        <w:tabs>
          <w:tab w:val="right" w:leader="dot" w:pos="9008"/>
        </w:tabs>
        <w:spacing w:after="80" w:line="240" w:lineRule="auto"/>
        <w:ind w:right="113"/>
      </w:pPr>
      <w:r>
        <w:t>Table 5.11 Performance inside and outside handover bursts.</w:t>
      </w:r>
      <w:r/>
    </w:p>
    <w:p w:rsidR="0015244F" w:rsidRDefault="00A565B8">
      <w:pPr>
        <w:tabs>
          <w:tab w:val="right" w:leader="dot" w:pos="9008"/>
        </w:tabs>
        <w:spacing w:after="80" w:line="240" w:lineRule="auto"/>
        <w:ind w:right="113"/>
      </w:pPr>
      <w:r>
        <w:t>Table 5.12 Event A3 report conversion, counted per transmitted report and per trigger episode.</w:t>
      </w:r>
      <w:r/>
    </w:p>
    <w:p w:rsidR="0015244F" w:rsidRDefault="00A565B8">
      <w:pPr>
        <w:tabs>
          <w:tab w:val="right" w:leader="dot" w:pos="9008"/>
        </w:tabs>
        <w:spacing w:after="80" w:line="240" w:lineRule="auto"/>
        <w:ind w:right="113"/>
      </w:pPr>
      <w:r>
        <w:t>Table 5.13 The ping-pong rate on one fixed set of handover commands under four definitions.</w:t>
      </w:r>
      <w:r/>
    </w:p>
    <w:p w:rsidR="0015244F" w:rsidRDefault="00A565B8">
      <w:pPr>
        <w:tabs>
          <w:tab w:val="right" w:leader="dot" w:pos="9008"/>
        </w:tabs>
        <w:spacing w:after="80" w:line="240" w:lineRule="auto"/>
        <w:ind w:right="113"/>
      </w:pPr>
      <w:r>
        <w:t>Table 5.14 Ping-pong rate by carrier relationship and mobility regime.</w:t>
      </w:r>
      <w:r/>
    </w:p>
    <w:p w:rsidR="0015244F" w:rsidRDefault="00A565B8">
      <w:pPr>
        <w:tabs>
          <w:tab w:val="right" w:leader="dot" w:pos="9008"/>
        </w:tabs>
        <w:spacing w:after="80" w:line="240" w:lineRule="auto"/>
        <w:ind w:right="113"/>
      </w:pPr>
      <w:r>
        <w:t>Table 5.15 Approaches implemented and measured that produced no improvement.</w:t>
      </w:r>
      <w:r/>
    </w:p>
    <w:p w:rsidR="0015244F" w:rsidRDefault="00A565B8">
      <w:pPr>
        <w:tabs>
          <w:tab w:val="right" w:leader="dot" w:pos="9008"/>
        </w:tabs>
        <w:spacing w:after="80" w:line="240" w:lineRule="auto"/>
        <w:ind w:right="113"/>
      </w:pPr>
      <w:r>
        <w:t>Table 5.5 Conformal risk-control frontier. The certified target is the bound on the expected per-drive miss rate; the alar</w:t>
      </w:r>
      <w:r>
        <w:t xml:space="preserve">m rate and </w:t>
      </w:r>
      <w:proofErr w:type="spellStart"/>
      <w:r>
        <w:t>realised</w:t>
      </w:r>
      <w:proofErr w:type="spellEnd"/>
      <w:r>
        <w:t xml:space="preserve"> miss rate are measured on held-out drives.</w:t>
      </w:r>
      <w:r>
        <w:tab/>
        <w:t>43</w:t>
      </w:r>
    </w:p>
    <w:p w:rsidR="0015244F" w:rsidRDefault="00A565B8">
      <w:pPr>
        <w:tabs>
          <w:tab w:val="right" w:leader="dot" w:pos="9008"/>
        </w:tabs>
        <w:spacing w:after="80" w:line="240" w:lineRule="auto"/>
        <w:ind w:right="113"/>
      </w:pPr>
      <w:r>
        <w:t>Table 5.6 Leave-one-campaign-out performance at the one-second horizon. Each row is trained on the other three campaigns and tested on the campaign named.</w:t>
      </w:r>
      <w:r>
        <w:tab/>
        <w:t>44</w:t>
      </w:r>
    </w:p>
    <w:p w:rsidR="0015244F" w:rsidRDefault="00A565B8">
      <w:pPr>
        <w:tabs>
          <w:tab w:val="right" w:leader="dot" w:pos="9008"/>
        </w:tabs>
        <w:spacing w:after="80" w:line="240" w:lineRule="auto"/>
        <w:ind w:right="113"/>
      </w:pPr>
      <w:r>
        <w:t>Table 5.7 External validation at</w:t>
      </w:r>
      <w:r>
        <w:t xml:space="preserve"> the one-second horizon on an independently collected public drive-test dataset.</w:t>
      </w:r>
      <w:r>
        <w:tab/>
        <w:t>45</w:t>
      </w:r>
    </w:p>
    <w:p w:rsidR="0015244F" w:rsidRDefault="00A565B8">
      <w:pPr>
        <w:tabs>
          <w:tab w:val="right" w:leader="dot" w:pos="9008"/>
        </w:tabs>
        <w:spacing w:after="80" w:line="240" w:lineRule="auto"/>
        <w:ind w:right="113"/>
      </w:pPr>
      <w:r>
        <w:t>Table 5.8 Single-feature AUROC at the one-second horizon. Each feature is evaluated on its own.</w:t>
      </w:r>
      <w:r>
        <w:tab/>
        <w:t>46</w:t>
      </w:r>
    </w:p>
    <w:p w:rsidR="0015244F" w:rsidRDefault="00A565B8">
      <w:pPr>
        <w:tabs>
          <w:tab w:val="right" w:leader="dot" w:pos="9008"/>
        </w:tabs>
        <w:spacing w:after="80" w:line="240" w:lineRule="auto"/>
        <w:ind w:right="113"/>
      </w:pPr>
      <w:r>
        <w:t>Table 5.9 Event A3 report-conversion rate by campaign. The figure reported is the fraction of A3 reports not followed by a handover command within two seconds.</w:t>
      </w:r>
      <w:r>
        <w:tab/>
        <w:t>48</w:t>
      </w:r>
    </w:p>
    <w:p w:rsidR="0015244F" w:rsidRDefault="00A565B8">
      <w:pPr>
        <w:tabs>
          <w:tab w:val="right" w:leader="dot" w:pos="9008"/>
        </w:tabs>
        <w:spacing w:after="80" w:line="240" w:lineRule="auto"/>
        <w:ind w:right="113"/>
      </w:pPr>
      <w:r>
        <w:t xml:space="preserve">Table 5.10 </w:t>
      </w:r>
      <w:proofErr w:type="gramStart"/>
      <w:r>
        <w:t>The</w:t>
      </w:r>
      <w:proofErr w:type="gramEnd"/>
      <w:r>
        <w:t xml:space="preserve"> ping-pong rate on one fixed set of handovers under four definitions.</w:t>
      </w:r>
      <w:r>
        <w:tab/>
        <w:t>50</w:t>
      </w:r>
    </w:p>
    <w:p w:rsidR="0015244F" w:rsidRDefault="00A565B8">
      <w:pPr>
        <w:tabs>
          <w:tab w:val="right" w:leader="dot" w:pos="9008"/>
        </w:tabs>
        <w:spacing w:after="80" w:line="240" w:lineRule="auto"/>
        <w:ind w:right="113"/>
      </w:pPr>
      <w:r>
        <w:t xml:space="preserve">Table </w:t>
      </w:r>
      <w:r>
        <w:t>5.11 Ping-pong rate by carrier relationship, configuration profile and mobility regime.</w:t>
      </w:r>
      <w:r>
        <w:tab/>
        <w:t>51</w:t>
      </w:r>
    </w:p>
    <w:p w:rsidR="0015244F" w:rsidRDefault="00A565B8">
      <w:pPr>
        <w:tabs>
          <w:tab w:val="right" w:leader="dot" w:pos="9008"/>
        </w:tabs>
        <w:spacing w:after="80" w:line="240" w:lineRule="auto"/>
        <w:ind w:right="113"/>
      </w:pPr>
      <w:r>
        <w:t>Table 5.12 Approaches implemented and measured that produced no improvement.</w:t>
      </w:r>
      <w:r>
        <w:tab/>
        <w:t>54</w:t>
      </w:r>
    </w:p>
    <w:p w:rsidR="0015244F" w:rsidRDefault="00A565B8">
      <w:pPr>
        <w:tabs>
          <w:tab w:val="right" w:leader="dot" w:pos="9008"/>
        </w:tabs>
        <w:spacing w:after="80" w:line="240" w:lineRule="auto"/>
        <w:ind w:right="113"/>
      </w:pPr>
      <w:r>
        <w:t>Table 6.1 Course outcomes addressed in this project.</w:t>
      </w:r>
      <w:r>
        <w:tab/>
        <w:t>58</w:t>
      </w:r>
    </w:p>
    <w:p w:rsidR="0015244F" w:rsidRDefault="00A565B8">
      <w:pPr>
        <w:tabs>
          <w:tab w:val="right" w:leader="dot" w:pos="9008"/>
        </w:tabs>
        <w:spacing w:after="80" w:line="240" w:lineRule="auto"/>
        <w:ind w:right="113"/>
      </w:pPr>
      <w:r>
        <w:t xml:space="preserve">Table 6.2 Aspects of program </w:t>
      </w:r>
      <w:r>
        <w:t>outcomes addressed, with the evidencing section.</w:t>
      </w:r>
      <w:r>
        <w:tab/>
        <w:t>59</w:t>
      </w:r>
    </w:p>
    <w:p w:rsidR="0015244F" w:rsidRDefault="00A565B8">
      <w:pPr>
        <w:tabs>
          <w:tab w:val="right" w:leader="dot" w:pos="9008"/>
        </w:tabs>
        <w:spacing w:after="80" w:line="240" w:lineRule="auto"/>
        <w:ind w:right="113"/>
      </w:pPr>
      <w:r>
        <w:t>Table 6.3 Knowledge profiles addressed, with justification.</w:t>
      </w:r>
      <w:r>
        <w:tab/>
        <w:t>60</w:t>
      </w:r>
    </w:p>
    <w:p w:rsidR="0015244F" w:rsidRDefault="00A565B8">
      <w:pPr>
        <w:tabs>
          <w:tab w:val="right" w:leader="dot" w:pos="9008"/>
        </w:tabs>
        <w:spacing w:after="80" w:line="240" w:lineRule="auto"/>
        <w:ind w:right="113"/>
      </w:pPr>
      <w:r>
        <w:t xml:space="preserve">Table 6.4 </w:t>
      </w:r>
      <w:proofErr w:type="gramStart"/>
      <w:r>
        <w:t>Attributes</w:t>
      </w:r>
      <w:proofErr w:type="gramEnd"/>
      <w:r>
        <w:t xml:space="preserve"> of complex engineering problem solving addressed.</w:t>
      </w:r>
      <w:r>
        <w:tab/>
        <w:t>62</w:t>
      </w:r>
    </w:p>
    <w:p w:rsidR="0015244F" w:rsidRDefault="00A565B8">
      <w:pPr>
        <w:tabs>
          <w:tab w:val="right" w:leader="dot" w:pos="9008"/>
        </w:tabs>
        <w:spacing w:after="80" w:line="240" w:lineRule="auto"/>
        <w:ind w:right="113"/>
      </w:pPr>
      <w:r>
        <w:t xml:space="preserve">Table 6.5 </w:t>
      </w:r>
      <w:proofErr w:type="gramStart"/>
      <w:r>
        <w:t>Attributes</w:t>
      </w:r>
      <w:proofErr w:type="gramEnd"/>
      <w:r>
        <w:t xml:space="preserve"> of complex engineering activities addressed.</w:t>
      </w:r>
      <w:r>
        <w:tab/>
        <w:t>6</w:t>
      </w:r>
      <w:r>
        <w:t>3</w:t>
      </w:r>
    </w:p>
    <w:p w:rsidR="0015244F" w:rsidRDefault="00A565B8">
      <w:pPr>
        <w:tabs>
          <w:tab w:val="right" w:leader="dot" w:pos="9008"/>
        </w:tabs>
        <w:spacing w:after="80" w:line="240" w:lineRule="auto"/>
        <w:ind w:right="113"/>
      </w:pPr>
      <w:r>
        <w:t>Table 6.6 Resource and cost summary for the project.</w:t>
      </w:r>
      <w:r>
        <w:tab/>
        <w:t>64</w:t>
      </w:r>
    </w:p>
    <w:p w:rsidR="0015244F" w:rsidRDefault="00A565B8">
      <w:pPr>
        <w:tabs>
          <w:tab w:val="right" w:leader="dot" w:pos="9008"/>
        </w:tabs>
        <w:spacing w:after="80" w:line="240" w:lineRule="auto"/>
        <w:ind w:right="113"/>
      </w:pPr>
      <w:r>
        <w:lastRenderedPageBreak/>
        <w:t>Table A.1 Complete per-horizon results for all seven learners under the grouped-drive rotation. AUPRC is reported with its prevalence floor; lift is AUPRC divided by prevalence.</w:t>
      </w:r>
      <w:r>
        <w:tab/>
        <w:t>71</w:t>
      </w:r>
    </w:p>
    <w:p w:rsidR="0015244F" w:rsidRDefault="00A565B8">
      <w:pPr>
        <w:tabs>
          <w:tab w:val="right" w:leader="dot" w:pos="9008"/>
        </w:tabs>
        <w:spacing w:after="80" w:line="240" w:lineRule="auto"/>
        <w:ind w:right="113"/>
      </w:pPr>
      <w:r>
        <w:t>Table A.2 Event-l</w:t>
      </w:r>
      <w:r>
        <w:t>evel operating characteristics of the primary model at the certified operating point of Section 5.5.</w:t>
      </w:r>
      <w:r>
        <w:tab/>
        <w:t>71</w:t>
      </w:r>
    </w:p>
    <w:p w:rsidR="0015244F" w:rsidRDefault="00A565B8">
      <w:pPr>
        <w:pageBreakBefore/>
        <w:spacing w:after="360"/>
        <w:jc w:val="center"/>
      </w:pPr>
      <w:r>
        <w:rPr>
          <w:b/>
          <w:bCs/>
          <w:sz w:val="32"/>
          <w:szCs w:val="32"/>
        </w:rPr>
        <w:lastRenderedPageBreak/>
        <w:t>LIST OF ACRONYMS</w:t>
      </w:r>
    </w:p>
    <w:tbl>
      <w:tblPr>
        <w:tblW w:w="9121" w:type="dxa"/>
        <w:tblCellMar>
          <w:left w:w="10" w:type="dxa"/>
          <w:right w:w="10" w:type="dxa"/>
        </w:tblCellMar>
        <w:tblLook w:val="04A0" w:firstRow="1" w:lastRow="0" w:firstColumn="1" w:lastColumn="0" w:noHBand="0" w:noVBand="1"/>
      </w:tblPr>
      <w:tblGrid>
        <w:gridCol w:w="2200"/>
        <w:gridCol w:w="6921"/>
      </w:tblGrid>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3GPP</w:t>
            </w:r>
          </w:p>
        </w:tc>
        <w:tc>
          <w:tcPr>
            <w:tcW w:w="6921" w:type="dxa"/>
            <w:tcMar>
              <w:top w:w="20" w:type="dxa"/>
              <w:bottom w:w="20" w:type="dxa"/>
            </w:tcMar>
          </w:tcPr>
          <w:p w:rsidR="0015244F" w:rsidRDefault="00A565B8">
            <w:pPr>
              <w:spacing w:line="240" w:lineRule="auto"/>
            </w:pPr>
            <w:r>
              <w:t>Third Generation Partnership Project</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A3</w:t>
            </w:r>
          </w:p>
        </w:tc>
        <w:tc>
          <w:tcPr>
            <w:tcW w:w="6921" w:type="dxa"/>
            <w:tcMar>
              <w:top w:w="20" w:type="dxa"/>
              <w:bottom w:w="20" w:type="dxa"/>
            </w:tcMar>
          </w:tcPr>
          <w:p w:rsidR="0015244F" w:rsidRDefault="00A565B8">
            <w:pPr>
              <w:spacing w:line="240" w:lineRule="auto"/>
            </w:pPr>
            <w:r>
              <w:t>Event A3 (</w:t>
            </w:r>
            <w:proofErr w:type="spellStart"/>
            <w:r>
              <w:t>neighbour</w:t>
            </w:r>
            <w:proofErr w:type="spellEnd"/>
            <w:r>
              <w:t xml:space="preserve"> becomes offset better than serving)</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AUPRC</w:t>
            </w:r>
          </w:p>
        </w:tc>
        <w:tc>
          <w:tcPr>
            <w:tcW w:w="6921" w:type="dxa"/>
            <w:tcMar>
              <w:top w:w="20" w:type="dxa"/>
              <w:bottom w:w="20" w:type="dxa"/>
            </w:tcMar>
          </w:tcPr>
          <w:p w:rsidR="0015244F" w:rsidRDefault="00A565B8">
            <w:pPr>
              <w:spacing w:line="240" w:lineRule="auto"/>
            </w:pPr>
            <w:r>
              <w:t>Area Under the Precision–Recall Curve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AUROC</w:t>
            </w:r>
          </w:p>
        </w:tc>
        <w:tc>
          <w:tcPr>
            <w:tcW w:w="6921" w:type="dxa"/>
            <w:tcMar>
              <w:top w:w="20" w:type="dxa"/>
              <w:bottom w:w="20" w:type="dxa"/>
            </w:tcMar>
          </w:tcPr>
          <w:p w:rsidR="0015244F" w:rsidRDefault="00A565B8">
            <w:pPr>
              <w:spacing w:line="240" w:lineRule="auto"/>
            </w:pPr>
            <w:r>
              <w:t>Area Under the Receiver Operating Characteristic Curve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CHO</w:t>
            </w:r>
          </w:p>
        </w:tc>
        <w:tc>
          <w:tcPr>
            <w:tcW w:w="6921" w:type="dxa"/>
            <w:tcMar>
              <w:top w:w="20" w:type="dxa"/>
              <w:bottom w:w="20" w:type="dxa"/>
            </w:tcMar>
          </w:tcPr>
          <w:p w:rsidR="0015244F" w:rsidRDefault="00A565B8">
            <w:pPr>
              <w:spacing w:line="240" w:lineRule="auto"/>
            </w:pPr>
            <w:r>
              <w:t>Conditional Handover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CO</w:t>
            </w:r>
          </w:p>
        </w:tc>
        <w:tc>
          <w:tcPr>
            <w:tcW w:w="6921" w:type="dxa"/>
            <w:tcMar>
              <w:top w:w="20" w:type="dxa"/>
              <w:bottom w:w="20" w:type="dxa"/>
            </w:tcMar>
          </w:tcPr>
          <w:p w:rsidR="0015244F" w:rsidRDefault="00A565B8">
            <w:pPr>
              <w:spacing w:line="240" w:lineRule="auto"/>
            </w:pPr>
            <w:r>
              <w:t>Course Outcome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CORAL</w:t>
            </w:r>
          </w:p>
        </w:tc>
        <w:tc>
          <w:tcPr>
            <w:tcW w:w="6921" w:type="dxa"/>
            <w:tcMar>
              <w:top w:w="20" w:type="dxa"/>
              <w:bottom w:w="20" w:type="dxa"/>
            </w:tcMar>
          </w:tcPr>
          <w:p w:rsidR="0015244F" w:rsidRDefault="00A565B8">
            <w:pPr>
              <w:spacing w:line="240" w:lineRule="auto"/>
            </w:pPr>
            <w:r>
              <w:t>Correlation Alignment</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CRC</w:t>
            </w:r>
          </w:p>
        </w:tc>
        <w:tc>
          <w:tcPr>
            <w:tcW w:w="6921" w:type="dxa"/>
            <w:tcMar>
              <w:top w:w="20" w:type="dxa"/>
              <w:bottom w:w="20" w:type="dxa"/>
            </w:tcMar>
          </w:tcPr>
          <w:p w:rsidR="0015244F" w:rsidRDefault="00A565B8">
            <w:pPr>
              <w:spacing w:line="240" w:lineRule="auto"/>
            </w:pPr>
            <w:r>
              <w:t>Conformal Risk Control</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E-UTRAN</w:t>
            </w:r>
          </w:p>
        </w:tc>
        <w:tc>
          <w:tcPr>
            <w:tcW w:w="6921" w:type="dxa"/>
            <w:tcMar>
              <w:top w:w="20" w:type="dxa"/>
              <w:bottom w:w="20" w:type="dxa"/>
            </w:tcMar>
          </w:tcPr>
          <w:p w:rsidR="0015244F" w:rsidRDefault="00A565B8">
            <w:pPr>
              <w:spacing w:line="240" w:lineRule="auto"/>
            </w:pPr>
            <w:r>
              <w:t>Evolved Universal Terrestrial Radio Access Network</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EARFCN</w:t>
            </w:r>
          </w:p>
        </w:tc>
        <w:tc>
          <w:tcPr>
            <w:tcW w:w="6921" w:type="dxa"/>
            <w:tcMar>
              <w:top w:w="20" w:type="dxa"/>
              <w:bottom w:w="20" w:type="dxa"/>
            </w:tcMar>
          </w:tcPr>
          <w:p w:rsidR="0015244F" w:rsidRDefault="00A565B8">
            <w:pPr>
              <w:spacing w:line="240" w:lineRule="auto"/>
            </w:pPr>
            <w:r>
              <w:t>E-UTRA Absolute Radio Frequency Channel Number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ECE</w:t>
            </w:r>
          </w:p>
        </w:tc>
        <w:tc>
          <w:tcPr>
            <w:tcW w:w="6921" w:type="dxa"/>
            <w:tcMar>
              <w:top w:w="20" w:type="dxa"/>
              <w:bottom w:w="20" w:type="dxa"/>
            </w:tcMar>
          </w:tcPr>
          <w:p w:rsidR="0015244F" w:rsidRDefault="00A565B8">
            <w:pPr>
              <w:spacing w:line="240" w:lineRule="auto"/>
            </w:pPr>
            <w:r>
              <w:t>Expected Calibration Error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GRU</w:t>
            </w:r>
          </w:p>
        </w:tc>
        <w:tc>
          <w:tcPr>
            <w:tcW w:w="6921" w:type="dxa"/>
            <w:tcMar>
              <w:top w:w="20" w:type="dxa"/>
              <w:bottom w:w="20" w:type="dxa"/>
            </w:tcMar>
          </w:tcPr>
          <w:p w:rsidR="0015244F" w:rsidRDefault="00A565B8">
            <w:pPr>
              <w:spacing w:line="240" w:lineRule="auto"/>
            </w:pPr>
            <w:r>
              <w:t>Gated Recurrent Unit</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GPS</w:t>
            </w:r>
          </w:p>
        </w:tc>
        <w:tc>
          <w:tcPr>
            <w:tcW w:w="6921" w:type="dxa"/>
            <w:tcMar>
              <w:top w:w="20" w:type="dxa"/>
              <w:bottom w:w="20" w:type="dxa"/>
            </w:tcMar>
          </w:tcPr>
          <w:p w:rsidR="0015244F" w:rsidRDefault="00A565B8">
            <w:pPr>
              <w:spacing w:line="240" w:lineRule="auto"/>
            </w:pPr>
            <w:r>
              <w:t>Global Positioning System</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HOM</w:t>
            </w:r>
          </w:p>
        </w:tc>
        <w:tc>
          <w:tcPr>
            <w:tcW w:w="6921" w:type="dxa"/>
            <w:tcMar>
              <w:top w:w="20" w:type="dxa"/>
              <w:bottom w:w="20" w:type="dxa"/>
            </w:tcMar>
          </w:tcPr>
          <w:p w:rsidR="0015244F" w:rsidRDefault="00A565B8">
            <w:pPr>
              <w:spacing w:line="240" w:lineRule="auto"/>
            </w:pPr>
            <w:r>
              <w:t>Handover Margin</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KPI</w:t>
            </w:r>
          </w:p>
        </w:tc>
        <w:tc>
          <w:tcPr>
            <w:tcW w:w="6921" w:type="dxa"/>
            <w:tcMar>
              <w:top w:w="20" w:type="dxa"/>
              <w:bottom w:w="20" w:type="dxa"/>
            </w:tcMar>
          </w:tcPr>
          <w:p w:rsidR="0015244F" w:rsidRDefault="00A565B8">
            <w:pPr>
              <w:spacing w:line="240" w:lineRule="auto"/>
            </w:pPr>
            <w:r>
              <w:t>Key Performance Indicator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LTE</w:t>
            </w:r>
          </w:p>
        </w:tc>
        <w:tc>
          <w:tcPr>
            <w:tcW w:w="6921" w:type="dxa"/>
            <w:tcMar>
              <w:top w:w="20" w:type="dxa"/>
              <w:bottom w:w="20" w:type="dxa"/>
            </w:tcMar>
          </w:tcPr>
          <w:p w:rsidR="0015244F" w:rsidRDefault="00A565B8">
            <w:pPr>
              <w:spacing w:line="240" w:lineRule="auto"/>
            </w:pPr>
            <w:r>
              <w:t>Long Term Evolution</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MLP</w:t>
            </w:r>
          </w:p>
        </w:tc>
        <w:tc>
          <w:tcPr>
            <w:tcW w:w="6921" w:type="dxa"/>
            <w:tcMar>
              <w:top w:w="20" w:type="dxa"/>
              <w:bottom w:w="20" w:type="dxa"/>
            </w:tcMar>
          </w:tcPr>
          <w:p w:rsidR="0015244F" w:rsidRDefault="00A565B8">
            <w:pPr>
              <w:spacing w:line="240" w:lineRule="auto"/>
            </w:pPr>
            <w:r>
              <w:t>Multi-Layer Perceptron</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PCI</w:t>
            </w:r>
          </w:p>
        </w:tc>
        <w:tc>
          <w:tcPr>
            <w:tcW w:w="6921" w:type="dxa"/>
            <w:tcMar>
              <w:top w:w="20" w:type="dxa"/>
              <w:bottom w:w="20" w:type="dxa"/>
            </w:tcMar>
          </w:tcPr>
          <w:p w:rsidR="0015244F" w:rsidRDefault="00A565B8">
            <w:pPr>
              <w:spacing w:line="240" w:lineRule="auto"/>
            </w:pPr>
            <w:r>
              <w:t>Physical Cell Identity</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PO</w:t>
            </w:r>
          </w:p>
        </w:tc>
        <w:tc>
          <w:tcPr>
            <w:tcW w:w="6921" w:type="dxa"/>
            <w:tcMar>
              <w:top w:w="20" w:type="dxa"/>
              <w:bottom w:w="20" w:type="dxa"/>
            </w:tcMar>
          </w:tcPr>
          <w:p w:rsidR="0015244F" w:rsidRDefault="00A565B8">
            <w:pPr>
              <w:spacing w:line="240" w:lineRule="auto"/>
            </w:pPr>
            <w:r>
              <w:t>Program Outcome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proofErr w:type="spellStart"/>
            <w:r>
              <w:rPr>
                <w:b/>
                <w:bCs/>
              </w:rPr>
              <w:t>QoE</w:t>
            </w:r>
            <w:proofErr w:type="spellEnd"/>
          </w:p>
        </w:tc>
        <w:tc>
          <w:tcPr>
            <w:tcW w:w="6921" w:type="dxa"/>
            <w:tcMar>
              <w:top w:w="20" w:type="dxa"/>
              <w:bottom w:w="20" w:type="dxa"/>
            </w:tcMar>
          </w:tcPr>
          <w:p w:rsidR="0015244F" w:rsidRDefault="00A565B8">
            <w:pPr>
              <w:spacing w:line="240" w:lineRule="auto"/>
            </w:pPr>
            <w:r>
              <w:t>Quality of Experience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RLF</w:t>
            </w:r>
          </w:p>
        </w:tc>
        <w:tc>
          <w:tcPr>
            <w:tcW w:w="6921" w:type="dxa"/>
            <w:tcMar>
              <w:top w:w="20" w:type="dxa"/>
              <w:bottom w:w="20" w:type="dxa"/>
            </w:tcMar>
          </w:tcPr>
          <w:p w:rsidR="0015244F" w:rsidRDefault="00A565B8">
            <w:pPr>
              <w:spacing w:line="240" w:lineRule="auto"/>
            </w:pPr>
            <w:r>
              <w:t>Radio Link Failure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RRC</w:t>
            </w:r>
          </w:p>
        </w:tc>
        <w:tc>
          <w:tcPr>
            <w:tcW w:w="6921" w:type="dxa"/>
            <w:tcMar>
              <w:top w:w="20" w:type="dxa"/>
              <w:bottom w:w="20" w:type="dxa"/>
            </w:tcMar>
          </w:tcPr>
          <w:p w:rsidR="0015244F" w:rsidRDefault="00A565B8">
            <w:pPr>
              <w:spacing w:line="240" w:lineRule="auto"/>
            </w:pPr>
            <w:r>
              <w:t>Radio Resource Control</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RSRP</w:t>
            </w:r>
          </w:p>
        </w:tc>
        <w:tc>
          <w:tcPr>
            <w:tcW w:w="6921" w:type="dxa"/>
            <w:tcMar>
              <w:top w:w="20" w:type="dxa"/>
              <w:bottom w:w="20" w:type="dxa"/>
            </w:tcMar>
          </w:tcPr>
          <w:p w:rsidR="0015244F" w:rsidRDefault="00A565B8">
            <w:pPr>
              <w:spacing w:line="240" w:lineRule="auto"/>
            </w:pPr>
            <w:r>
              <w:t>Reference Signal Received Power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RSRQ</w:t>
            </w:r>
          </w:p>
        </w:tc>
        <w:tc>
          <w:tcPr>
            <w:tcW w:w="6921" w:type="dxa"/>
            <w:tcMar>
              <w:top w:w="20" w:type="dxa"/>
              <w:bottom w:w="20" w:type="dxa"/>
            </w:tcMar>
          </w:tcPr>
          <w:p w:rsidR="0015244F" w:rsidRDefault="00A565B8">
            <w:pPr>
              <w:spacing w:line="240" w:lineRule="auto"/>
            </w:pPr>
            <w:r>
              <w:t>Reference Signal Received Quality</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SINR</w:t>
            </w:r>
          </w:p>
        </w:tc>
        <w:tc>
          <w:tcPr>
            <w:tcW w:w="6921" w:type="dxa"/>
            <w:tcMar>
              <w:top w:w="20" w:type="dxa"/>
              <w:bottom w:w="20" w:type="dxa"/>
            </w:tcMar>
          </w:tcPr>
          <w:p w:rsidR="0015244F" w:rsidRDefault="00A565B8">
            <w:pPr>
              <w:spacing w:line="240" w:lineRule="auto"/>
            </w:pPr>
            <w:r>
              <w:t>Signal-to-Interference-plus-Noise Ratio</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TCN</w:t>
            </w:r>
          </w:p>
        </w:tc>
        <w:tc>
          <w:tcPr>
            <w:tcW w:w="6921" w:type="dxa"/>
            <w:tcMar>
              <w:top w:w="20" w:type="dxa"/>
              <w:bottom w:w="20" w:type="dxa"/>
            </w:tcMar>
          </w:tcPr>
          <w:p w:rsidR="0015244F" w:rsidRDefault="00A565B8">
            <w:pPr>
              <w:spacing w:line="240" w:lineRule="auto"/>
            </w:pPr>
            <w:r>
              <w:t>Temporal Convolutional Network</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TTT</w:t>
            </w:r>
          </w:p>
        </w:tc>
        <w:tc>
          <w:tcPr>
            <w:tcW w:w="6921" w:type="dxa"/>
            <w:tcMar>
              <w:top w:w="20" w:type="dxa"/>
              <w:bottom w:w="20" w:type="dxa"/>
            </w:tcMar>
          </w:tcPr>
          <w:p w:rsidR="0015244F" w:rsidRDefault="00A565B8">
            <w:pPr>
              <w:spacing w:line="240" w:lineRule="auto"/>
            </w:pPr>
            <w:r>
              <w:t>Time-to-Trigger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UE</w:t>
            </w:r>
          </w:p>
        </w:tc>
        <w:tc>
          <w:tcPr>
            <w:tcW w:w="6921" w:type="dxa"/>
            <w:tcMar>
              <w:top w:w="20" w:type="dxa"/>
              <w:bottom w:w="20" w:type="dxa"/>
            </w:tcMar>
          </w:tcPr>
          <w:p w:rsidR="0015244F" w:rsidRDefault="00A565B8">
            <w:pPr>
              <w:spacing w:line="240" w:lineRule="auto"/>
            </w:pPr>
            <w:r>
              <w:t>User Equipment</w:t>
            </w:r>
          </w:p>
        </w:tc>
      </w:tr>
    </w:tbl>
    <w:p w:rsidR="0015244F" w:rsidRDefault="0015244F">
      <w:pPr>
        <w:sectPr w:rsidR="0015244F">
          <w:footerReference w:type="default" r:id="rId8"/>
          <w:footerReference w:type="first" r:id="rId9"/>
          <w:pgSz w:w="12240" w:h="15840"/>
          <w:pgMar w:top="1418" w:right="1418" w:bottom="1418" w:left="1701" w:header="567" w:footer="567" w:gutter="0"/>
          <w:pgNumType w:fmt="lowerRoman" w:start="1"/>
          <w:cols w:space="720"/>
          <w:titlePg/>
          <w:docGrid w:linePitch="360"/>
        </w:sectPr>
      </w:pPr>
    </w:p>
    <w:p w:rsidR="0015244F" w:rsidRDefault="00A565B8">
      <w:pPr>
        <w:jc w:val="center"/>
      </w:pPr>
      <w:r>
        <w:rPr>
          <w:b/>
          <w:bCs/>
          <w:sz w:val="40"/>
          <w:szCs w:val="40"/>
        </w:rPr>
        <w:lastRenderedPageBreak/>
        <w:t>CHAPTER 1</w:t>
      </w:r>
    </w:p>
    <w:p w:rsidR="0015244F" w:rsidRDefault="0015244F"/>
    <w:p w:rsidR="0015244F" w:rsidRDefault="00A565B8">
      <w:pPr>
        <w:pStyle w:val="Heading1"/>
        <w:jc w:val="center"/>
      </w:pPr>
      <w:r>
        <w:t>INTRODUCTION</w:t>
      </w:r>
    </w:p>
    <w:p w:rsidR="0015244F" w:rsidRDefault="0015244F"/>
    <w:p w:rsidR="0015244F" w:rsidRDefault="0015244F"/>
    <w:p w:rsidR="0015244F" w:rsidRDefault="00A565B8">
      <w:pPr>
        <w:ind w:firstLine="567"/>
        <w:jc w:val="both"/>
      </w:pPr>
      <w:r>
        <w:t>Mobility is the property that distinguishes a cellular network from every other access technology, and the handover is the mechanism that delivers it. Each time a user equipment moves beyond the useful coverage of its serving cell, the network must transfer the connection to a neighbour without interrupting the service carried on it. On a dense urban network this happens constantly: across the campaigns reported here a handover command was issued on average once every 11 seconds of driving. Every one of those events is a brief window in which throughput drops and latency rises.</w:t>
      </w:r>
      <w:r/>
      <w:proofErr w:type="spellStart"/>
      <w:r/>
      <w:proofErr w:type="spellEnd"/>
      <w:r/>
      <w:r/>
    </w:p>
    <w:p w:rsidR="0015244F" w:rsidRDefault="00A565B8">
      <w:pPr>
        <w:ind w:firstLine="567"/>
        <w:jc w:val="both"/>
      </w:pPr>
      <w:r>
        <w:t>This chapter states the problem the thesis addresses, the reason it is worth addressing, and the objectives against whic</w:t>
      </w:r>
      <w:r>
        <w:t>h the work should be judged. Section 1.1 describes how handover is triggered in Long Term Evolution (LTE) and why the triggering rule is structurally incapable of providing advance warning. Section 1.2 quantifies the cost of that limitation on measured dat</w:t>
      </w:r>
      <w:r>
        <w:t xml:space="preserve">a. Section 1.3 states the problem formally, Section 1.4 lists the objectives, Section 1.5 bounds the scope, Section 1.6 </w:t>
      </w:r>
      <w:proofErr w:type="spellStart"/>
      <w:r>
        <w:t>summarises</w:t>
      </w:r>
      <w:proofErr w:type="spellEnd"/>
      <w:r>
        <w:t xml:space="preserve"> the contributions, and Section 1.7 describes the </w:t>
      </w:r>
      <w:proofErr w:type="spellStart"/>
      <w:r>
        <w:t>organisation</w:t>
      </w:r>
      <w:proofErr w:type="spellEnd"/>
      <w:r>
        <w:t xml:space="preserve"> of the remainder of the report.</w:t>
      </w:r>
    </w:p>
    <w:p w:rsidR="0015244F" w:rsidRDefault="00A565B8">
      <w:pPr>
        <w:pStyle w:val="Heading2"/>
        <w:spacing w:before="360" w:after="140"/>
      </w:pPr>
      <w:r>
        <w:t>1.1 Background</w:t>
      </w:r>
    </w:p>
    <w:p w:rsidR="0015244F" w:rsidRDefault="00A565B8">
      <w:pPr>
        <w:ind w:firstLine="567"/>
        <w:jc w:val="both"/>
      </w:pPr>
      <w:r>
        <w:t>In an LTE networ</w:t>
      </w:r>
      <w:r>
        <w:t xml:space="preserve">k the user equipment (UE) continuously measures the Reference Signal Received Power (RSRP) and Reference Signal Received Quality (RSRQ) of its serving cell and of the </w:t>
      </w:r>
      <w:proofErr w:type="spellStart"/>
      <w:r>
        <w:t>neighbour</w:t>
      </w:r>
      <w:proofErr w:type="spellEnd"/>
      <w:r>
        <w:t xml:space="preserve"> cells it can detect, and reports those measurements to the network when a condi</w:t>
      </w:r>
      <w:r>
        <w:t xml:space="preserve">tion configured by the network is satisfied [1]. The dominant condition governing intra-frequency mobility is Event A3, which is defined in 3GPP TS 36.331 as the condition that a </w:t>
      </w:r>
      <w:proofErr w:type="spellStart"/>
      <w:r>
        <w:t>neighbour</w:t>
      </w:r>
      <w:proofErr w:type="spellEnd"/>
      <w:r>
        <w:t xml:space="preserve"> cell becomes better than the serving cell by a configured offset, a</w:t>
      </w:r>
      <w:r>
        <w:t>nd that this relation persists for a configured time-to-trigger (TTT) before the report is sent [1].</w:t>
      </w:r>
    </w:p>
    <w:p w:rsidR="0015244F" w:rsidRDefault="00A565B8">
      <w:pPr>
        <w:ind w:firstLine="567"/>
        <w:jc w:val="both"/>
      </w:pPr>
      <w:r>
        <w:t xml:space="preserve">Two properties of that definition matter for this thesis. First, the condition is written on a comparison that must already hold: the </w:t>
      </w:r>
      <w:proofErr w:type="spellStart"/>
      <w:r>
        <w:t>neighbour</w:t>
      </w:r>
      <w:proofErr w:type="spellEnd"/>
      <w:r>
        <w:t xml:space="preserve"> must have </w:t>
      </w:r>
      <w:r>
        <w:rPr>
          <w:i/>
          <w:iCs/>
        </w:rPr>
        <w:t>b</w:t>
      </w:r>
      <w:r>
        <w:rPr>
          <w:i/>
          <w:iCs/>
        </w:rPr>
        <w:t>ecome</w:t>
      </w:r>
      <w:r>
        <w:t xml:space="preserve"> better before anything </w:t>
      </w:r>
      <w:r>
        <w:lastRenderedPageBreak/>
        <w:t>happens. Second, the TTT imposes an additional delay whose purpose is to suppress spurious triggering caused by fast fading. Together they guarantee that by the time a measurement report leaves the handset, the radio environmen</w:t>
      </w:r>
      <w:r>
        <w:t xml:space="preserve">t has already changed. The network then evaluates the report and, if it decides to proceed, issues an </w:t>
      </w:r>
      <w:proofErr w:type="spellStart"/>
      <w:r>
        <w:t>RRCConnectionReconfiguration</w:t>
      </w:r>
      <w:proofErr w:type="spellEnd"/>
      <w:r>
        <w:t xml:space="preserve"> message carrying </w:t>
      </w:r>
      <w:proofErr w:type="spellStart"/>
      <w:r>
        <w:t>mobilityControlInfo</w:t>
      </w:r>
      <w:proofErr w:type="spellEnd"/>
      <w:r>
        <w:t>, which is the handover command itself.</w:t>
      </w:r>
    </w:p>
    <w:p w:rsidR="0015244F" w:rsidRDefault="00A565B8">
      <w:pPr>
        <w:ind w:firstLine="567"/>
        <w:jc w:val="both"/>
      </w:pPr>
      <w:r>
        <w:t>Figure 1.1 draws that sequence against a measured</w:t>
      </w:r>
      <w:r>
        <w:t xml:space="preserve"> pair of serving and </w:t>
      </w:r>
      <w:proofErr w:type="spellStart"/>
      <w:r>
        <w:t>neighbour</w:t>
      </w:r>
      <w:proofErr w:type="spellEnd"/>
      <w:r>
        <w:t xml:space="preserve"> traces. Event A3 is therefore a reaction rule and not a prediction rule, and this is not a deficiency of the standard. The rule was designed to decide reliably, not early, and it performs that function well. What the standard</w:t>
      </w:r>
      <w:r>
        <w:t xml:space="preserve"> does not provide, and what an increasingly latency-sensitive service mix increasingly wants, is advance notice: an indication, one or two seconds before the fact, that a handover is imminent, so that the target cell can be prepared, the transmission sched</w:t>
      </w:r>
      <w:r>
        <w:t>ule adjusted, or an unnecessary transfer suppressed.</w:t>
      </w:r>
    </w:p>
    <w:p w:rsidR="0015244F" w:rsidRDefault="00A565B8">
      <w:pPr>
        <w:keepNext/>
        <w:spacing w:before="240" w:after="120" w:line="240" w:lineRule="auto"/>
        <w:jc w:val="center"/>
      </w:pPr>
      <w:r>
        <w:rPr>
          <w:noProof/>
        </w:rPr>
        <w:drawing>
          <wp:inline distT="0" distB="0" distL="0" distR="0">
            <wp:extent cx="5762625" cy="3609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609975"/>
                    </a:xfrm>
                    <a:prstGeom prst="rect">
                      <a:avLst/>
                    </a:prstGeom>
                  </pic:spPr>
                </pic:pic>
              </a:graphicData>
            </a:graphic>
          </wp:inline>
        </w:drawing>
      </w:r>
    </w:p>
    <w:p w:rsidR="0015244F" w:rsidRDefault="00A565B8">
      <w:pPr>
        <w:pStyle w:val="FigureCaption"/>
        <w:spacing w:after="240" w:line="240" w:lineRule="auto"/>
        <w:jc w:val="center"/>
      </w:pPr>
      <w:r>
        <w:t>Figure 1.1 Event A3 fires only after the neighbour has been better than the serving cell by a configured offset for a full time-to-trigger. The profile that produces most of the handovers measured here is a +1 dB offset with a 320 ms time-to-trigger and 1 dB hysteresis.</w:t>
      </w:r>
      <w:proofErr w:type="spellStart"/>
      <w:r/>
      <w:proofErr w:type="spellEnd"/>
      <w:r/>
      <w:r/>
      <w:proofErr w:type="spellStart"/>
      <w:r/>
      <w:proofErr w:type="spellEnd"/>
      <w:r/>
    </w:p>
    <w:p w:rsidR="0015244F" w:rsidRDefault="00A565B8">
      <w:pPr>
        <w:pStyle w:val="Heading2"/>
        <w:spacing w:before="360" w:after="140"/>
      </w:pPr>
      <w:r>
        <w:t>1.2 Motivation</w:t>
      </w:r>
    </w:p>
    <w:p w:rsidR="0015244F" w:rsidRDefault="00A565B8">
      <w:pPr>
        <w:ind w:firstLine="567"/>
        <w:jc w:val="both"/>
      </w:pPr>
      <w:r>
        <w:t>The cost of reacting rather than anticipating is measurable, and it was measured on the data collected for this thesis rather than assumed from the literature. Across four campaigns totalling 2.9 hours of logging, 957 signalling-confirmed handover commands were observed, a mean interval of 11 seconds with a median gap of 3.7 seconds between consecutive commands. Of those handovers, 26.3% returned to the cell just vacated within fifteen seconds; each such pair is two signalling exchanges and two service interruptions that produce no net change of serving cell. The signalling log also records 341 RRC connection re-establishment procedures, of which 321 carry the cause reconfigurationFailure and only 3 carry handoverFailure; Section 3.6 treats them accordingly, and they are not described here as radio link failures. Measurement reporting is likewise abundant: 8,136 Event A3 reports were transmitted, which resolve into 2,361 distinct trigger episodes, of which 635 own a handover command once each command is matched to a single episode (Section 5.9).</w:t>
      </w:r>
      <w:proofErr w:type="spellStart"/>
      <w:r/>
      <w:proofErr w:type="spellEnd"/>
      <w:r/>
      <w:proofErr w:type="spellStart"/>
      <w:r/>
      <w:proofErr w:type="spellEnd"/>
      <w:r/>
      <w:r/>
      <w:proofErr w:type="spellStart"/>
      <w:r/>
      <w:proofErr w:type="spellEnd"/>
      <w:r/>
      <w:r/>
      <w:r/>
    </w:p>
    <w:p w:rsidR="0015244F" w:rsidRDefault="00A565B8">
      <w:pPr>
        <w:ind w:firstLine="567"/>
        <w:jc w:val="both"/>
      </w:pPr>
      <w:r>
        <w:t xml:space="preserve">These are not pathological numbers for a dense urban deployment; they are what the deployed configuration produces. They do, however, establish </w:t>
      </w:r>
      <w:r>
        <w:t>that even a short prediction horizon has something to act on. A warning one second ahead of a handover command is sufficient time for the network to complete target-cell preparation, and a warning that a handover is likely to be reversed within fifteen sec</w:t>
      </w:r>
      <w:r>
        <w:t>onds is sufficient information to consider not performing it.</w:t>
      </w:r>
    </w:p>
    <w:p w:rsidR="0015244F" w:rsidRDefault="00A565B8">
      <w:pPr>
        <w:ind w:firstLine="567"/>
        <w:jc w:val="both"/>
      </w:pPr>
      <w:r>
        <w:t>The natural question is whether such a predictor already exists. A screening of 108 publications, of which 22 were audited in detail in Chapter 2 and listed in Appendix D, indicates that it does not exist in a form an operator could act upon. Of those 22 models, none holds out the mobility unit — a whole drive or a whole device session — when evaluating a per-timestep classification task on measured radio data; none reports a calibration curve, an expected calibration error or a Brier score; and none reports how early its warnings arrive or how many false alarms they generate per unit time. Seven report headline accuracy on tasks whose positive-class prevalence lies between 0.86 % and 11 %, where a constant negative prediction already scores between 89 % and 99 %. None of them states how the timestamp of a measurement row relates to the interval it summarises, which Chapter 5 shows to be worth more than any modelling choice made in this thesis.</w:t>
      </w:r>
      <w:r/>
      <w:proofErr w:type="spellStart"/>
      <w:r/>
      <w:proofErr w:type="spellEnd"/>
      <w:r/>
      <w:r/>
      <w:r/>
    </w:p>
    <w:p w:rsidR="0015244F" w:rsidRDefault="00A565B8">
      <w:pPr>
        <w:pStyle w:val="Heading2"/>
        <w:spacing w:before="360" w:after="140"/>
      </w:pPr>
      <w:r>
        <w:t>1.3 Problem statement</w:t>
      </w:r>
    </w:p>
    <w:p w:rsidR="0015244F" w:rsidRDefault="00A565B8">
      <w:pPr>
        <w:ind w:firstLine="567"/>
        <w:jc w:val="both"/>
      </w:pPr>
      <w:r>
        <w:t xml:space="preserve">The problem addressed in this thesis is the following. Given the measurements available to a handset at time </w:t>
      </w:r>
      <w:r>
        <w:rPr>
          <w:i/>
          <w:iCs/>
        </w:rPr>
        <w:t>t</w:t>
      </w:r>
      <w:r>
        <w:t xml:space="preserve"> — serving and </w:t>
      </w:r>
      <w:proofErr w:type="spellStart"/>
      <w:r>
        <w:t>neighbour</w:t>
      </w:r>
      <w:proofErr w:type="spellEnd"/>
      <w:r>
        <w:t xml:space="preserve"> signal levels and qualities, their short-term statistics, mobility state and the recent </w:t>
      </w:r>
      <w:proofErr w:type="spellStart"/>
      <w:r>
        <w:t>signalling</w:t>
      </w:r>
      <w:proofErr w:type="spellEnd"/>
      <w:r>
        <w:t xml:space="preserve"> history — estimate the probability that the </w:t>
      </w:r>
      <w:r>
        <w:lastRenderedPageBreak/>
        <w:t xml:space="preserve">network will issue a handover command within </w:t>
      </w:r>
      <w:r>
        <w:rPr>
          <w:i/>
          <w:iCs/>
        </w:rPr>
        <w:t>h</w:t>
      </w:r>
      <w:r>
        <w:t xml:space="preserve"> seconds, for several values of </w:t>
      </w:r>
      <w:r>
        <w:rPr>
          <w:i/>
          <w:iCs/>
        </w:rPr>
        <w:t>h</w:t>
      </w:r>
      <w:r>
        <w:t xml:space="preserve"> simultan</w:t>
      </w:r>
      <w:r>
        <w:t>eously, such that:</w:t>
      </w:r>
    </w:p>
    <w:p w:rsidR="0015244F" w:rsidRDefault="00A565B8">
      <w:pPr>
        <w:pStyle w:val="ListParagraph"/>
        <w:numPr>
          <w:ilvl w:val="0"/>
          <w:numId w:val="1"/>
        </w:numPr>
        <w:spacing w:after="60"/>
        <w:jc w:val="both"/>
      </w:pPr>
      <w:r>
        <w:t>the estimates are mutually consistent, in the sense that the probability for a longer horizon is never smaller than that for a shorter one;</w:t>
      </w:r>
    </w:p>
    <w:p w:rsidR="0015244F" w:rsidRDefault="00A565B8">
      <w:pPr>
        <w:pStyle w:val="ListParagraph"/>
        <w:numPr>
          <w:ilvl w:val="0"/>
          <w:numId w:val="1"/>
        </w:numPr>
        <w:spacing w:after="60"/>
        <w:jc w:val="both"/>
      </w:pPr>
      <w:r>
        <w:t xml:space="preserve">the estimates are calibrated, in the sense that an asserted probability of </w:t>
      </w:r>
      <w:r>
        <w:rPr>
          <w:i/>
          <w:iCs/>
        </w:rPr>
        <w:t>p</w:t>
      </w:r>
      <w:r>
        <w:t xml:space="preserve"> corresponds to an em</w:t>
      </w:r>
      <w:r>
        <w:t xml:space="preserve">pirical event frequency near </w:t>
      </w:r>
      <w:r>
        <w:rPr>
          <w:i/>
          <w:iCs/>
        </w:rPr>
        <w:t>p</w:t>
      </w:r>
      <w:r>
        <w:t>;</w:t>
      </w:r>
    </w:p>
    <w:p w:rsidR="0015244F" w:rsidRDefault="00A565B8">
      <w:pPr>
        <w:pStyle w:val="ListParagraph"/>
        <w:numPr>
          <w:ilvl w:val="0"/>
          <w:numId w:val="1"/>
        </w:numPr>
        <w:spacing w:after="60"/>
        <w:jc w:val="both"/>
      </w:pPr>
      <w:r>
        <w:t>the evaluation protocol cannot transfer information from a test drive into training; and</w:t>
      </w:r>
    </w:p>
    <w:p w:rsidR="0015244F" w:rsidRDefault="00A565B8">
      <w:pPr>
        <w:pStyle w:val="ListParagraph"/>
        <w:numPr>
          <w:ilvl w:val="0"/>
          <w:numId w:val="1"/>
        </w:numPr>
        <w:spacing w:after="60"/>
        <w:jc w:val="both"/>
      </w:pPr>
      <w:proofErr w:type="gramStart"/>
      <w:r>
        <w:t>the warning derived from the estimates carries a stated bound on the fraction it will miss on future units, and the unit of that fraction — a row of the measurement grid, or a handover command — is stated rather than left to the reader; and</w:t>
      </w:r>
      <w:proofErr w:type="gramEnd"/>
      <w:r/>
    </w:p>
    <w:p w:rsidR="0015244F" w:rsidRDefault="00A565B8">
      <w:pPr>
        <w:pStyle w:val="ListParagraph"/>
        <w:numPr>
          <w:ilvl w:val="0"/>
          <w:numId w:val="1"/>
        </w:numPr>
        <w:spacing w:after="60"/>
        <w:jc w:val="both"/>
      </w:pPr>
      <w:proofErr w:type="gramStart"/>
      <w:r>
        <w:t>the information available to the model at time t is demonstrably available at time t — that is, the alignment between the measurement grid and the event clock is verified rather than assumed.</w:t>
      </w:r>
      <w:proofErr w:type="gramEnd"/>
      <w:r/>
    </w:p>
    <w:p w:rsidR="0015244F" w:rsidRDefault="00A565B8">
      <w:pPr>
        <w:ind w:firstLine="567"/>
        <w:jc w:val="both"/>
      </w:pPr>
      <w:r>
        <w:t>None of these five requirements is satisfied jointly anywhere in the audited literature, and the fourth and fifth are not satisfied anywhere at all in the handover-prediction setting.</w:t>
      </w:r>
      <w:r/>
    </w:p>
    <w:p w:rsidR="0015244F" w:rsidRDefault="00A565B8">
      <w:pPr>
        <w:pStyle w:val="Heading2"/>
        <w:spacing w:before="360" w:after="140"/>
      </w:pPr>
      <w:r>
        <w:t>1.4 Objectives</w:t>
      </w:r>
    </w:p>
    <w:p w:rsidR="0015244F" w:rsidRDefault="00A565B8">
      <w:pPr>
        <w:ind w:firstLine="567"/>
        <w:jc w:val="both"/>
      </w:pPr>
      <w:r>
        <w:t>The specific objectives of this thesis are as follows.</w:t>
      </w:r>
    </w:p>
    <w:p w:rsidR="0015244F" w:rsidRDefault="00A565B8">
      <w:pPr>
        <w:ind w:firstLine="567"/>
        <w:jc w:val="both"/>
      </w:pPr>
      <w:r>
        <w:rPr>
          <w:b/>
          <w:bCs/>
        </w:rPr>
        <w:t>O1.</w:t>
      </w:r>
      <w:r>
        <w:t xml:space="preserve"> To predict </w:t>
      </w:r>
      <w:r>
        <w:t>the next handover at five look-ahead times — 0.5, 1, 2, 3 and 5 seconds — using only quantities observable at the handset at the instant of prediction.</w:t>
      </w:r>
    </w:p>
    <w:p w:rsidR="0015244F" w:rsidRDefault="00A565B8">
      <w:pPr>
        <w:ind w:firstLine="567"/>
        <w:jc w:val="both"/>
      </w:pPr>
      <w:r>
        <w:rPr>
          <w:b/>
          <w:bCs/>
        </w:rPr>
        <w:t>O2.</w:t>
      </w:r>
      <w:r>
        <w:t xml:space="preserve"> To establish an evaluation protocol that cannot leak information between training and test, by group</w:t>
      </w:r>
      <w:r>
        <w:t>ing every split at the level of the whole drive, and to measure how much that protocol is worth relative to the random-row splitting that is standard in the comparator literature.</w:t>
      </w:r>
    </w:p>
    <w:p w:rsidR="0015244F" w:rsidRDefault="00A565B8">
      <w:pPr>
        <w:ind w:firstLine="567"/>
        <w:jc w:val="both"/>
      </w:pPr>
      <w:r>
        <w:rPr>
          <w:b/>
          <w:bCs/>
        </w:rPr>
        <w:t>O3.</w:t>
      </w:r>
      <w:r>
        <w:t xml:space="preserve"> To make the resulting probabilities usable by an operator: mutually cohe</w:t>
      </w:r>
      <w:r>
        <w:t>rent across horizons, calibrated in value, and accompanied by a distribution-free bound on the per-drive miss rate.</w:t>
      </w:r>
    </w:p>
    <w:p w:rsidR="0015244F" w:rsidRDefault="00A565B8">
      <w:pPr>
        <w:ind w:firstLine="567"/>
        <w:jc w:val="both"/>
      </w:pPr>
      <w:r>
        <w:rPr>
          <w:b/>
          <w:bCs/>
        </w:rPr>
        <w:t>O4.</w:t>
      </w:r>
      <w:r>
        <w:t xml:space="preserve"> To test whether the result </w:t>
      </w:r>
      <w:proofErr w:type="spellStart"/>
      <w:r>
        <w:t>generalises</w:t>
      </w:r>
      <w:proofErr w:type="spellEnd"/>
      <w:r>
        <w:t xml:space="preserve"> beyond the campaign on which it was developed, both to a corridor and speed regime held out entir</w:t>
      </w:r>
      <w:r>
        <w:t>ely and to an independently collected public dataset.</w:t>
      </w:r>
    </w:p>
    <w:p w:rsidR="0015244F" w:rsidRDefault="00A565B8">
      <w:pPr>
        <w:ind w:firstLine="567"/>
        <w:jc w:val="both"/>
      </w:pPr>
      <w:r>
        <w:rPr>
          <w:b/>
          <w:bCs/>
        </w:rPr>
        <w:t>O5.</w:t>
      </w:r>
      <w:r>
        <w:t xml:space="preserve"> To explain the mechanism underlying the prediction, rather than reporting accuracy alone, and in doing so to </w:t>
      </w:r>
      <w:proofErr w:type="spellStart"/>
      <w:r>
        <w:t>characterise</w:t>
      </w:r>
      <w:proofErr w:type="spellEnd"/>
      <w:r>
        <w:t xml:space="preserve"> the </w:t>
      </w:r>
      <w:proofErr w:type="spellStart"/>
      <w:r>
        <w:t>behaviour</w:t>
      </w:r>
      <w:proofErr w:type="spellEnd"/>
      <w:r>
        <w:t xml:space="preserve"> of the deployed mobility configuration on this network.</w:t>
      </w:r>
    </w:p>
    <w:p w:rsidR="0015244F" w:rsidRDefault="00A565B8">
      <w:pPr>
        <w:pStyle w:val="Heading2"/>
        <w:spacing w:before="360" w:after="140"/>
      </w:pPr>
      <w:r>
        <w:t>1.5 Sc</w:t>
      </w:r>
      <w:r>
        <w:t>ope and limitations</w:t>
      </w:r>
    </w:p>
    <w:p w:rsidR="0015244F" w:rsidRDefault="00A565B8">
      <w:pPr>
        <w:ind w:firstLine="567"/>
        <w:jc w:val="both"/>
      </w:pPr>
      <w:r>
        <w:lastRenderedPageBreak/>
        <w:t>The scope of this work is deliberately bounded, and the bounds are stated here rather than deferred to the conclusion.</w:t>
      </w:r>
    </w:p>
    <w:p w:rsidR="0015244F" w:rsidRDefault="00A565B8">
      <w:pPr>
        <w:ind w:firstLine="567"/>
        <w:jc w:val="both"/>
      </w:pPr>
      <w:r>
        <w:t xml:space="preserve">The study covers one commercial LTE operator, four measurement days, two mobility regimes and 57 drives. It does not </w:t>
      </w:r>
      <w:r>
        <w:t>claim that the numerical results transfer to another operator or another radio access technology, although Chapter 5 reports an external validation that bears on that question. The measurement export is sampled at one hertz, which caps the fraction of hand</w:t>
      </w:r>
      <w:r>
        <w:t>over events that can in principle be resolved at 90.5 %; this is a property of the instrument and not of the models.</w:t>
      </w:r>
    </w:p>
    <w:p w:rsidR="0015244F" w:rsidRDefault="00A565B8">
      <w:pPr>
        <w:ind w:firstLine="567"/>
        <w:jc w:val="both"/>
      </w:pPr>
      <w:r>
        <w:t>The system developed here is an offline predictor evaluated on recorded data. It is not integrated into a network, and no claim is made tha</w:t>
      </w:r>
      <w:r>
        <w:t xml:space="preserve">t deploying it would improve any network key performance indicator. In particular, no causal claim is made about the benefit of acting on the warning, for the reason given in Chapter 5: the logging policy is deterministic, so the propensities required for </w:t>
      </w:r>
      <w:r>
        <w:t xml:space="preserve">off-policy evaluation are zero or one and the causal </w:t>
      </w:r>
      <w:proofErr w:type="spellStart"/>
      <w:r>
        <w:t>estimand</w:t>
      </w:r>
      <w:proofErr w:type="spellEnd"/>
      <w:r>
        <w:t xml:space="preserve"> is not identified on observational data of this kind. Only a counting upper bound is reported.</w:t>
      </w:r>
    </w:p>
    <w:p w:rsidR="0015244F" w:rsidRDefault="00A565B8">
      <w:pPr>
        <w:ind w:firstLine="567"/>
        <w:jc w:val="both"/>
      </w:pPr>
      <w:r>
        <w:t>Finally, the thesis makes no claim relating to human health. No human subjects were involved, no ex</w:t>
      </w:r>
      <w:r>
        <w:t>posure measurements were taken, and the impact analysis in Chapter 6 is confined to what the measurements support.</w:t>
      </w:r>
    </w:p>
    <w:p w:rsidR="0015244F" w:rsidRDefault="00A565B8">
      <w:pPr>
        <w:pStyle w:val="Heading2"/>
        <w:spacing w:before="360" w:after="140"/>
      </w:pPr>
      <w:r>
        <w:t>1.6 Contributions</w:t>
      </w:r>
    </w:p>
    <w:p w:rsidR="0015244F" w:rsidRDefault="00A565B8">
      <w:pPr>
        <w:ind w:firstLine="567"/>
        <w:jc w:val="both"/>
      </w:pPr>
      <w:r>
        <w:t>The contributions of this thesis are the following six, each supported by a specific result in Chapter 5. They are stated as they stand after the alignment audit of Section 5.1, which revised two of them downwards from an earlier draft of this work.</w:t>
      </w:r>
    </w:p>
    <w:p w:rsidR="0015244F" w:rsidRDefault="00A565B8">
      <w:pPr>
        <w:ind w:firstLine="567"/>
        <w:jc w:val="both"/>
      </w:pPr>
      <w:r>
        <w:t>1. A timestamp-alignment audit for drive-test prediction studies, a measurement of what it is worth, and an identification of the columns that carry it. In 76% of handovers the one-hertz export row stamped before the handover command already carries the post-handover serving cell; removing that information by lagging every export feature one row moves the one-second AUPRC from 0.600 to 0.179 and single-feature dwell AUROC from 0.873 to 0.664. The repair is not conservative: lagging the mobility block as well as the radio costs nothing measurable (Table 5.2b), so that figure is the size of the leak rather than the price of the remedy. The leak is carried by the serving-cell radio scalars, which account for 96% of it against 2% for the neighbour and gap columns, because a column such as serving_rsrp reports whichever cell the export treats as serving and therefore changes its referent at the flip. The audit is three lines of code and is reproducible on any export that carries a serving-cell column.</w:t>
      </w:r>
      <w:r>
        <w:rPr>
          <w:b/>
          <w:bCs/>
        </w:rPr>
      </w:r>
      <w:r>
        <w:rPr>
          <w:b/>
          <w:bCs/>
        </w:rPr>
      </w:r>
      <w:r/>
      <w:r/>
    </w:p>
    <w:p w:rsidR="0015244F" w:rsidRDefault="00A565B8">
      <w:pPr>
        <w:ind w:firstLine="567"/>
        <w:jc w:val="both"/>
      </w:pPr>
      <w:r>
        <w:t>2. An account of why that happens, tested against the two predictions it makes. A row written at the end of its second carries the post-handover cell exactly when the handover completes before the second closes. The prediction holds without exception on our own captures, where the signalling stream times the execution: none of the 15 handovers whose execution crosses the boundary contaminates its row. It holds again across instruments: the defect appears on 4,712 handovers from 3 operators in an independent XCAL corpus when that corpus is downsampled to the end of each second (93%) and disappears from the same handovers when it is downsampled to the start (4%), and it is absent from a public log whose rows are instantaneous samples. The alignment error is therefore a property of the aggregation rule, not of a vendor or a network — and, read the other way, the contamination curve near the end of the second estimates the serving-cell update delay at roughly 60 ms without any sub-second logging.</w:t>
      </w:r>
      <w:r>
        <w:rPr>
          <w:b/>
          <w:bCs/>
        </w:rPr>
      </w:r>
      <w:r>
        <w:rPr>
          <w:b/>
          <w:bCs/>
        </w:rPr>
      </w:r>
      <w:r/>
      <w:r/>
    </w:p>
    <w:p w:rsidR="0015244F" w:rsidRDefault="00A565B8">
      <w:pPr>
        <w:ind w:firstLine="567"/>
        <w:jc w:val="both"/>
      </w:pPr>
      <w:r>
        <w:t>3. A measurement of what the unit of splitting is worth on drive-test radio data, on a ladder of four protocols rather than the usual two. Against leave-one-campaign-out, splitting by random 180-second chunks of the same continuous session inflates the one-second AUPRC by 13 % and splitting rows at random by 48 %; the inflation is architecture-dependent, so the protocol determines the ranking of models and not only their level.</w:t>
      </w:r>
      <w:r>
        <w:rPr>
          <w:b/>
          <w:bCs/>
        </w:rPr>
      </w:r>
      <w:r/>
      <w:r/>
    </w:p>
    <w:p w:rsidR="0015244F" w:rsidRDefault="00A565B8">
      <w:pPr>
        <w:ind w:firstLine="567"/>
        <w:jc w:val="both"/>
      </w:pPr>
      <w:r>
        <w:t>4. A discrete-time hazard formulation of handover prediction that renders five look-ahead horizons mutually consistent from a single model fit, for any learner, without a held-out calibration split and without post-hoc correction. Independent per-horizon classifiers violate ordering on 40.2% of rows; the hazard model cannot. The comparison is reported against the repairs a reviewer would ask for — a cumulative-maximum projection, and isotonic calibration composed with it — which also reach zero violations, so the argument for the formulation rests on reaching coherence and competitive calibration from one fit and with no held-out calibration split.</w:t>
      </w:r>
      <w:r>
        <w:rPr>
          <w:b/>
          <w:bCs/>
        </w:rPr>
      </w:r>
      <w:r/>
    </w:p>
    <w:p w:rsidR="0015244F" w:rsidRDefault="00A565B8">
      <w:pPr>
        <w:ind w:firstLine="567"/>
        <w:jc w:val="both"/>
      </w:pPr>
      <w:r>
        <w:t>5. A distribution-free risk guarantee whose exchangeable unit and whose estimand are both stated and tested. The unit is tested in the regime where exchangeability holds and the regime where it does not: calibration and test units drawn from the same pool of chunks, and calibration on one campaign with the guarantee claimed for another. The estimand is carried through in two forms — a bound over rows and a bound over handover commands — because they differ, and the difference produces the more useful result: at the one-second horizon 36% of commands have no usable row in their lead window and are missed at every threshold, so no per-handover bound is expressible on a one-hertz grid at that horizon, and a study that certifies rows and reports handovers is certifying the wrong thing. Two floors therefore bind: the number of calibration units, which is a direct corollary of the conformal risk control bound [21] rather than a new result, and the sampling rate of the instrument, which is not.</w:t>
      </w:r>
      <w:r>
        <w:rPr>
          <w:b/>
          <w:bCs/>
        </w:rPr>
      </w:r>
      <w:proofErr w:type="spellStart"/>
      <w:r>
        <w:rPr>
          <w:b/>
          <w:bCs/>
        </w:rPr>
      </w:r>
      <w:proofErr w:type="spellEnd"/>
      <w:r>
        <w:rPr>
          <w:b/>
          <w:bCs/>
        </w:rPr>
      </w:r>
      <w:r/>
      <w:r/>
    </w:p>
    <w:p w:rsidR="0015244F" w:rsidRDefault="00A565B8">
      <w:pPr>
        <w:ind w:firstLine="567"/>
        <w:jc w:val="both"/>
      </w:pPr>
      <w:r>
        <w:t>6. Two corrected characterisations of the deployed network that the prediction literature has not modelled. The first is that the A3 report-conversion rate has no unit-free value: it reads 63% declined per transmitted report, 30% per trigger episode when overlapping episodes may claim the same command, and 73% once each command is matched to exactly one episode. The loose episode rule records 1,647 episode-to-command claims over a corpus containing only 957 commands, an over-counting factor of 2.6. What survives every unit, and sharpens under the strictest, is the separation between the mobility configuration and the monitoring configurations (37% declined against 95%). The second is the deployed offset distribution weighted by handovers rather than by configurations (75% of A3-triggered handovers fire under a positive offset).</w:t>
      </w:r>
      <w:r>
        <w:rPr>
          <w:b/>
          <w:bCs/>
        </w:rPr>
      </w:r>
      <w:proofErr w:type="spellStart"/>
      <w:r>
        <w:rPr>
          <w:b/>
          <w:bCs/>
        </w:rPr>
      </w:r>
      <w:proofErr w:type="spellEnd"/>
      <w:r>
        <w:rPr>
          <w:b/>
          <w:bCs/>
        </w:rPr>
      </w:r>
      <w:proofErr w:type="spellStart"/>
      <w:r>
        <w:rPr>
          <w:b/>
          <w:bCs/>
        </w:rPr>
      </w:r>
      <w:proofErr w:type="spellEnd"/>
      <w:r>
        <w:rPr>
          <w:b/>
          <w:bCs/>
        </w:rPr>
      </w:r>
      <w:r>
        <w:rPr>
          <w:b/>
          <w:bCs/>
        </w:rPr>
      </w:r>
      <w:r/>
    </w:p>
    <w:p w:rsidR="0015244F" w:rsidRDefault="00A565B8">
      <w:pPr>
        <w:pStyle w:val="Heading2"/>
        <w:spacing w:before="360" w:after="140"/>
      </w:pPr>
      <w:r>
        <w:t xml:space="preserve">1.7 </w:t>
      </w:r>
      <w:proofErr w:type="spellStart"/>
      <w:r>
        <w:t>Organisation</w:t>
      </w:r>
      <w:proofErr w:type="spellEnd"/>
      <w:r>
        <w:t xml:space="preserve"> of the report</w:t>
      </w:r>
    </w:p>
    <w:p w:rsidR="0015244F" w:rsidRDefault="00A565B8">
      <w:pPr>
        <w:ind w:firstLine="567"/>
        <w:jc w:val="both"/>
      </w:pPr>
      <w:r>
        <w:t>The r</w:t>
      </w:r>
      <w:r>
        <w:t xml:space="preserve">emainder of this report is </w:t>
      </w:r>
      <w:proofErr w:type="spellStart"/>
      <w:r>
        <w:t>organised</w:t>
      </w:r>
      <w:proofErr w:type="spellEnd"/>
      <w:r>
        <w:t xml:space="preserve"> as follows. Chapter 2 reviews the four literatures that bear on this problem — cellular measurement studies, handover prediction, survival analysis and distribution-free uncertainty quantification — presents a protocol </w:t>
      </w:r>
      <w:r>
        <w:t xml:space="preserve">audit of the 22 most comparable prediction models, and sets out the methodology adopted, including the approaches that were considered and rejected. Chapter 3 describes the measurement campaign, the </w:t>
      </w:r>
      <w:proofErr w:type="spellStart"/>
      <w:r>
        <w:t>signalling</w:t>
      </w:r>
      <w:proofErr w:type="spellEnd"/>
      <w:r>
        <w:t>-decoding procedure and the construction of the</w:t>
      </w:r>
      <w:r>
        <w:t xml:space="preserve"> dataset. Chapter 4 develops the predictive formulation, the feature construction, the models compared, the evaluation protocol and the risk-control procedure. Chapter 5 reports and discusses the results against the objectives of Section 1.4. Chapter 6 dem</w:t>
      </w:r>
      <w:r>
        <w:t>onstrates how the work addresses the course outcomes, program outcomes, knowledge profiles and complex engineering problem and activity attributes required of a capstone project. Chapter 7 concludes and identifies the work that follows from the limits of t</w:t>
      </w:r>
      <w:r>
        <w:t>he present study.</w:t>
      </w:r>
    </w:p>
    <w:p w:rsidR="0015244F" w:rsidRDefault="00A565B8">
      <w:pPr>
        <w:pageBreakBefore/>
        <w:jc w:val="center"/>
      </w:pPr>
      <w:r>
        <w:rPr>
          <w:b/>
          <w:bCs/>
          <w:sz w:val="40"/>
          <w:szCs w:val="40"/>
        </w:rPr>
        <w:lastRenderedPageBreak/>
        <w:t>CHAPTER 2</w:t>
      </w:r>
    </w:p>
    <w:p w:rsidR="0015244F" w:rsidRDefault="0015244F"/>
    <w:p w:rsidR="0015244F" w:rsidRDefault="00A565B8">
      <w:pPr>
        <w:pStyle w:val="Heading1"/>
        <w:jc w:val="center"/>
      </w:pPr>
      <w:r>
        <w:t>LITERATURE REVIEW AND METHODOLOGY</w:t>
      </w:r>
    </w:p>
    <w:p w:rsidR="0015244F" w:rsidRDefault="0015244F"/>
    <w:p w:rsidR="0015244F" w:rsidRDefault="0015244F"/>
    <w:p w:rsidR="0015244F" w:rsidRDefault="00A565B8">
      <w:pPr>
        <w:ind w:firstLine="567"/>
        <w:jc w:val="both"/>
      </w:pPr>
      <w:r>
        <w:t>Four bodies of work bear on the problem stated in Chapter 1, and they nearly meet without quite touching. The cellular measurement literature establishes what handovers look like in deployed networks but does not build predictors. The handover-prediction l</w:t>
      </w:r>
      <w:r>
        <w:t>iterature builds predictors, but predominantly on simulated data and predominantly without an evaluation protocol that would survive scrutiny. The survival-analysis and point-process literatures supply exactly the right mathematical objects — a discrete-ti</w:t>
      </w:r>
      <w:r>
        <w:t xml:space="preserve">me hazard and a self-exciting process validated by time rescaling — but have not been directed at mobility data. The distribution-free uncertainty literature supplies guarantees, but for signal-processing tasks whose exchangeability structure differs from </w:t>
      </w:r>
      <w:r>
        <w:t>that of an event stream recorded along a drive.</w:t>
      </w:r>
    </w:p>
    <w:p w:rsidR="0015244F" w:rsidRDefault="00A565B8">
      <w:pPr>
        <w:ind w:firstLine="567"/>
        <w:jc w:val="both"/>
      </w:pPr>
      <w:r>
        <w:t xml:space="preserve">This chapter reviews each in turn, then presents a quantitative audit of the 22 most comparable prediction models, states the research gap that the audit establishes, and describes the methodology adopted in </w:t>
      </w:r>
      <w:r>
        <w:t>response, including the alternatives that were considered and rejected.</w:t>
      </w:r>
    </w:p>
    <w:p w:rsidR="0015244F" w:rsidRDefault="00A565B8">
      <w:pPr>
        <w:pStyle w:val="Heading2"/>
        <w:spacing w:before="360" w:after="140"/>
      </w:pPr>
      <w:r>
        <w:t>2.1 LTE mobility and the Event A3 trigger</w:t>
      </w:r>
    </w:p>
    <w:p w:rsidR="0015244F" w:rsidRDefault="00A565B8">
      <w:pPr>
        <w:ind w:firstLine="567"/>
        <w:jc w:val="both"/>
      </w:pPr>
      <w:r>
        <w:t>The mobility procedure in E-UTRAN is specified in 3GPP TS 36.331 [1] and described at system level in TS 36.300 [2]. The network configures th</w:t>
      </w:r>
      <w:r>
        <w:t xml:space="preserve">e UE with measurement objects, report configurations and measurement identities that bind the two; the UE evaluates the configured entry condition against its filtered measurements and transmits a </w:t>
      </w:r>
      <w:proofErr w:type="spellStart"/>
      <w:r>
        <w:t>MeasurementReport</w:t>
      </w:r>
      <w:proofErr w:type="spellEnd"/>
      <w:r>
        <w:t xml:space="preserve"> when the condition has held for the confi</w:t>
      </w:r>
      <w:r>
        <w:t>gured time-to-trigger.</w:t>
      </w:r>
    </w:p>
    <w:p w:rsidR="0015244F" w:rsidRDefault="00A565B8">
      <w:pPr>
        <w:ind w:firstLine="567"/>
        <w:jc w:val="both"/>
      </w:pPr>
      <w:r>
        <w:t xml:space="preserve">For intra-frequency mobility the governing condition is Event A3. Writing </w:t>
      </w:r>
      <w:proofErr w:type="spellStart"/>
      <w:r>
        <w:rPr>
          <w:i/>
          <w:iCs/>
        </w:rPr>
        <w:t>M</w:t>
      </w:r>
      <w:r>
        <w:rPr>
          <w:vertAlign w:val="subscript"/>
        </w:rPr>
        <w:t>n</w:t>
      </w:r>
      <w:proofErr w:type="spellEnd"/>
      <w:r>
        <w:t xml:space="preserve"> for the measured </w:t>
      </w:r>
      <w:proofErr w:type="spellStart"/>
      <w:r>
        <w:t>neighbour</w:t>
      </w:r>
      <w:proofErr w:type="spellEnd"/>
      <w:r>
        <w:t xml:space="preserve"> quantity, </w:t>
      </w:r>
      <w:proofErr w:type="spellStart"/>
      <w:r>
        <w:rPr>
          <w:i/>
          <w:iCs/>
        </w:rPr>
        <w:t>M</w:t>
      </w:r>
      <w:r>
        <w:rPr>
          <w:vertAlign w:val="subscript"/>
        </w:rPr>
        <w:t>s</w:t>
      </w:r>
      <w:proofErr w:type="spellEnd"/>
      <w:r>
        <w:t xml:space="preserve"> for the serving quantity, </w:t>
      </w:r>
      <w:proofErr w:type="gramStart"/>
      <w:r>
        <w:rPr>
          <w:i/>
          <w:iCs/>
        </w:rPr>
        <w:t>Off</w:t>
      </w:r>
      <w:proofErr w:type="gramEnd"/>
      <w:r>
        <w:t xml:space="preserve"> for the configured offset, </w:t>
      </w:r>
      <w:proofErr w:type="spellStart"/>
      <w:r>
        <w:rPr>
          <w:i/>
          <w:iCs/>
        </w:rPr>
        <w:t>Ocn</w:t>
      </w:r>
      <w:proofErr w:type="spellEnd"/>
      <w:r>
        <w:t xml:space="preserve"> and </w:t>
      </w:r>
      <w:proofErr w:type="spellStart"/>
      <w:r>
        <w:rPr>
          <w:i/>
          <w:iCs/>
        </w:rPr>
        <w:t>Ocs</w:t>
      </w:r>
      <w:proofErr w:type="spellEnd"/>
      <w:r>
        <w:t xml:space="preserve"> for cell-individual offsets and </w:t>
      </w:r>
      <w:proofErr w:type="spellStart"/>
      <w:r>
        <w:rPr>
          <w:i/>
          <w:iCs/>
        </w:rPr>
        <w:t>Hys</w:t>
      </w:r>
      <w:proofErr w:type="spellEnd"/>
      <w:r>
        <w:t xml:space="preserve"> for hystere</w:t>
      </w:r>
      <w:r>
        <w:t>sis, the entry condition of TS 36.331 is</w:t>
      </w:r>
    </w:p>
    <w:p w:rsidR="0015244F" w:rsidRDefault="00A565B8">
      <w:pPr>
        <w:tabs>
          <w:tab w:val="right" w:pos="9121"/>
        </w:tabs>
        <w:spacing w:before="180" w:after="180"/>
        <w:jc w:val="center"/>
      </w:pPr>
      <w:proofErr w:type="spellStart"/>
      <w:r>
        <w:rPr>
          <w:i/>
          <w:iCs/>
        </w:rPr>
        <w:t>M_n</w:t>
      </w:r>
      <w:proofErr w:type="spellEnd"/>
      <w:r>
        <w:rPr>
          <w:i/>
          <w:iCs/>
        </w:rPr>
        <w:t xml:space="preserve"> + </w:t>
      </w:r>
      <w:proofErr w:type="spellStart"/>
      <w:r>
        <w:rPr>
          <w:i/>
          <w:iCs/>
        </w:rPr>
        <w:t>Ocn</w:t>
      </w:r>
      <w:proofErr w:type="spellEnd"/>
      <w:r>
        <w:rPr>
          <w:i/>
          <w:iCs/>
        </w:rPr>
        <w:t xml:space="preserve"> − </w:t>
      </w:r>
      <w:proofErr w:type="spellStart"/>
      <w:proofErr w:type="gramStart"/>
      <w:r>
        <w:rPr>
          <w:i/>
          <w:iCs/>
        </w:rPr>
        <w:t>Hys</w:t>
      </w:r>
      <w:proofErr w:type="spellEnd"/>
      <w:r>
        <w:rPr>
          <w:i/>
          <w:iCs/>
        </w:rPr>
        <w:t xml:space="preserve">  &gt;</w:t>
      </w:r>
      <w:proofErr w:type="gramEnd"/>
      <w:r>
        <w:rPr>
          <w:i/>
          <w:iCs/>
        </w:rPr>
        <w:t xml:space="preserve">  M_s + </w:t>
      </w:r>
      <w:proofErr w:type="spellStart"/>
      <w:r>
        <w:rPr>
          <w:i/>
          <w:iCs/>
        </w:rPr>
        <w:t>Ocs</w:t>
      </w:r>
      <w:proofErr w:type="spellEnd"/>
      <w:r>
        <w:rPr>
          <w:i/>
          <w:iCs/>
        </w:rPr>
        <w:t xml:space="preserve"> + Off</w:t>
      </w:r>
      <w:r>
        <w:tab/>
        <w:t>(2.1)</w:t>
      </w:r>
    </w:p>
    <w:p w:rsidR="0015244F" w:rsidRDefault="00A565B8">
      <w:pPr>
        <w:ind w:firstLine="567"/>
        <w:jc w:val="both"/>
      </w:pPr>
      <w:proofErr w:type="gramStart"/>
      <w:r>
        <w:lastRenderedPageBreak/>
        <w:t>and</w:t>
      </w:r>
      <w:proofErr w:type="gramEnd"/>
      <w:r>
        <w:t xml:space="preserve"> the condition must remain satisfied throughout the time-to-trigger interval before the report is sent. The decision to hand over is then taken by the network, not the UE</w:t>
      </w:r>
      <w:r>
        <w:t xml:space="preserve">, and is communicated by an </w:t>
      </w:r>
      <w:proofErr w:type="spellStart"/>
      <w:r>
        <w:t>RRCConnectionReconfiguration</w:t>
      </w:r>
      <w:proofErr w:type="spellEnd"/>
      <w:r>
        <w:t xml:space="preserve"> message carrying </w:t>
      </w:r>
      <w:proofErr w:type="spellStart"/>
      <w:r>
        <w:t>mobilityControlInfo</w:t>
      </w:r>
      <w:proofErr w:type="spellEnd"/>
      <w:r>
        <w:t>.</w:t>
      </w:r>
    </w:p>
    <w:p w:rsidR="0015244F" w:rsidRDefault="00A565B8">
      <w:pPr>
        <w:ind w:firstLine="567"/>
        <w:jc w:val="both"/>
      </w:pPr>
      <w:r>
        <w:t xml:space="preserve">Three consequences follow, and all three are used later in this thesis. First, the report is evidence that the network </w:t>
      </w:r>
      <w:r>
        <w:rPr>
          <w:i/>
          <w:iCs/>
        </w:rPr>
        <w:t>may</w:t>
      </w:r>
      <w:r>
        <w:t xml:space="preserve"> hand over, not that it will; the conve</w:t>
      </w:r>
      <w:r>
        <w:t xml:space="preserve">rsion rate from report to command is an empirical quantity and is measured in Chapter 5. Second, the parameters </w:t>
      </w:r>
      <w:r>
        <w:rPr>
          <w:i/>
          <w:iCs/>
        </w:rPr>
        <w:t>Off</w:t>
      </w:r>
      <w:r>
        <w:t xml:space="preserve">, </w:t>
      </w:r>
      <w:proofErr w:type="spellStart"/>
      <w:r>
        <w:rPr>
          <w:i/>
          <w:iCs/>
        </w:rPr>
        <w:t>Hys</w:t>
      </w:r>
      <w:proofErr w:type="spellEnd"/>
      <w:r>
        <w:t xml:space="preserve"> and the TTT are operator-configured and are not observable without decoding the </w:t>
      </w:r>
      <w:proofErr w:type="spellStart"/>
      <w:r>
        <w:t>signalling</w:t>
      </w:r>
      <w:proofErr w:type="spellEnd"/>
      <w:r>
        <w:t>; the prediction literature that assumes text</w:t>
      </w:r>
      <w:r>
        <w:t>book values is therefore assuming something it has not checked. Third, because the condition is defined on a state that must already obtain and must then persist, the earliest instant at which Event A3 can produce any output is strictly after the radio env</w:t>
      </w:r>
      <w:r>
        <w:t>ironment has changed.</w:t>
      </w:r>
    </w:p>
    <w:p w:rsidR="0015244F" w:rsidRDefault="00A565B8">
      <w:pPr>
        <w:pStyle w:val="Heading2"/>
        <w:spacing w:before="360" w:after="140"/>
      </w:pPr>
      <w:r>
        <w:t>2.2 The measurement literature</w:t>
      </w:r>
    </w:p>
    <w:p w:rsidR="0015244F" w:rsidRDefault="00A565B8">
      <w:pPr>
        <w:ind w:firstLine="567"/>
        <w:jc w:val="both"/>
      </w:pPr>
      <w:r>
        <w:t>A mature line of work in the networking-measurement community recovers operator mobility configurations from control-plane traces on live networks. Deng et al. [3] present the LTE precedent, a measurement study of operational 4G mobility configurations and their consequences. Ghoshal et al. [4] perform the equivalent analysis at large scale on contemporary networks, extracting hysteresis, threshold, offset, time-to-trigger and trigger quantity for events A1–A6, B1 and B2 per operator and band, over more than 15,000 km of driving. Hassan et al. [5] establish the use of commercial diagnostic tooling for RRC extraction as accepted methodology, and their Prognos component is the closest prior system to the one built here: it predicts handovers from XCAL-decoded RRC state on a live network and reports a lead-time gain of roughly 900 ms. Section 2.3 therefore positions this thesis against Prognos explicitly rather than against the simulated literature alone. M2HO [6] reads mobilityControlInfo for mobility analysis without recovering the numerical parameters.</w:t>
      </w:r>
      <w:r/>
      <w:proofErr w:type="spellStart"/>
      <w:r/>
      <w:proofErr w:type="spellEnd"/>
      <w:r/>
      <w:r/>
      <w:proofErr w:type="spellStart"/>
      <w:r/>
      <w:r/>
      <w:proofErr w:type="spellEnd"/>
      <w:r/>
    </w:p>
    <w:p w:rsidR="0015244F" w:rsidRDefault="00A565B8">
      <w:pPr>
        <w:ind w:firstLine="567"/>
        <w:jc w:val="both"/>
      </w:pPr>
      <w:r>
        <w:t>This literature is relevant in two ways. Methodologically, it legitimises the decoding pipeline used in Chapter 3 rather than competing with it: the extraction of deployed A3 parameters from measConfig is established practice and is not claimed as a contribution here. Substantively, it supplies the comparison points against which the configuration measured here is interpreted; Ghoshal et al. report positive A3 offsets of +6 to +10 dB and shortest time-to-trigger values of 256 to 640 ms on the operators they study, whereas the network measured here runs configurations from −15 dB to +5 dB with a shortest time-to-trigger of 160 ms — but, as Section 5.9 shows, 75% of the handovers it actually produces fire under the +1 dB profile, so the two findings are less far apart than a table of configurations suggests.</w:t>
      </w:r>
      <w:proofErr w:type="spellStart"/>
      <w:r/>
      <w:proofErr w:type="spellEnd"/>
      <w:r/>
      <w:r/>
      <w:proofErr w:type="spellStart"/>
      <w:r/>
      <w:proofErr w:type="spellEnd"/>
      <w:r/>
      <w:proofErr w:type="spellStart"/>
      <w:r/>
      <w:proofErr w:type="spellEnd"/>
      <w:r/>
      <w:r/>
      <w:proofErr w:type="spellStart"/>
      <w:r/>
      <w:proofErr w:type="spellEnd"/>
      <w:r/>
      <w:proofErr w:type="spellStart"/>
      <w:r/>
      <w:proofErr w:type="spellEnd"/>
    </w:p>
    <w:p w:rsidR="0015244F" w:rsidRDefault="00A565B8">
      <w:pPr>
        <w:ind w:firstLine="567"/>
        <w:jc w:val="both"/>
      </w:pPr>
      <w:r>
        <w:t xml:space="preserve">What this literature does not do </w:t>
      </w:r>
      <w:r>
        <w:t xml:space="preserve">is predict. </w:t>
      </w:r>
      <w:proofErr w:type="spellStart"/>
      <w:r>
        <w:t>Ghoshal</w:t>
      </w:r>
      <w:proofErr w:type="spellEnd"/>
      <w:r>
        <w:t xml:space="preserve"> et al. state explicitly that they perform no machine-learned prediction, no off-policy evaluation and no counterfactual analysis; the </w:t>
      </w:r>
      <w:r>
        <w:lastRenderedPageBreak/>
        <w:t>work is descriptive by design. The ping-pong rates these studies report are likewise descriptive, and,</w:t>
      </w:r>
      <w:r>
        <w:t xml:space="preserve"> as Section 2.4 discusses, are reported under definitions that differ enough to change the number by a factor of two.</w:t>
      </w:r>
    </w:p>
    <w:p w:rsidR="0015244F" w:rsidRDefault="00A565B8">
      <w:pPr>
        <w:pStyle w:val="Heading2"/>
        <w:spacing w:before="360" w:after="140"/>
      </w:pPr>
      <w:r>
        <w:t>2.3 The prediction literature and a protocol audit</w:t>
      </w:r>
    </w:p>
    <w:p w:rsidR="0015244F" w:rsidRDefault="00A565B8">
      <w:pPr>
        <w:ind w:firstLine="567"/>
        <w:jc w:val="both"/>
      </w:pPr>
      <w:r>
        <w:t>A large body of work predicts handover, radio-link failure or next-cell occupancy using</w:t>
      </w:r>
      <w:r>
        <w:t xml:space="preserve"> learned models. Recent systematic reviews </w:t>
      </w:r>
      <w:proofErr w:type="spellStart"/>
      <w:r>
        <w:t>characterise</w:t>
      </w:r>
      <w:proofErr w:type="spellEnd"/>
      <w:r>
        <w:t xml:space="preserve"> it </w:t>
      </w:r>
      <w:proofErr w:type="spellStart"/>
      <w:r>
        <w:t>unfavourably</w:t>
      </w:r>
      <w:proofErr w:type="spellEnd"/>
      <w:r>
        <w:t xml:space="preserve"> from the outside. </w:t>
      </w:r>
      <w:proofErr w:type="spellStart"/>
      <w:r>
        <w:t>Ankome</w:t>
      </w:r>
      <w:proofErr w:type="spellEnd"/>
      <w:r>
        <w:t xml:space="preserve"> and </w:t>
      </w:r>
      <w:proofErr w:type="spellStart"/>
      <w:r>
        <w:t>Hanada</w:t>
      </w:r>
      <w:proofErr w:type="spellEnd"/>
      <w:r>
        <w:t xml:space="preserve"> [7] screened 429 records under a PRISMA protocol, retained 336 after deduplication and included 49 studies spanning 2010–2025; they were unable to p</w:t>
      </w:r>
      <w:r>
        <w:t>erform a meta-analysis because simulators and outcome definitions were too heterogeneous, they observe that most studies report percentage improvements over baselines of their own choosing rather than absolute performance, and they report that data splitti</w:t>
      </w:r>
      <w:r>
        <w:t xml:space="preserve">ng, class imbalance and calibration receive minimal explicit discussion anywhere in the included set. </w:t>
      </w:r>
      <w:proofErr w:type="spellStart"/>
      <w:r>
        <w:t>Saoud</w:t>
      </w:r>
      <w:proofErr w:type="spellEnd"/>
      <w:r>
        <w:t xml:space="preserve"> et al. [8] find that the field lacks quantitative cross-comparison between strategies, and </w:t>
      </w:r>
      <w:proofErr w:type="spellStart"/>
      <w:r>
        <w:t>Chabira</w:t>
      </w:r>
      <w:proofErr w:type="spellEnd"/>
      <w:r>
        <w:t xml:space="preserve"> et al. [9] enumerate the metric vocabulary actual</w:t>
      </w:r>
      <w:r>
        <w:t>ly in use — handover failure rate, latency, quality of service, energy — in which neither calibration nor any prevalence-aware ranking metric appears.</w:t>
      </w:r>
    </w:p>
    <w:p w:rsidR="0015244F" w:rsidRDefault="00A565B8">
      <w:pPr>
        <w:ind w:firstLine="567"/>
        <w:jc w:val="both"/>
      </w:pPr>
      <w:r>
        <w:t>To convert that general complaint into something specific enough to act on, 108 publications were screened for this thesis and the 22 that present a learned or analytical model predicting handover, radio-link failure or next-cell occupancy were audited on protocol quality rather than on headline performance. Table 2.1 reports the audit in summary; Appendix D lists every audited model with its venue, data type and split protocol, so each row of Table 2.1 can be checked.</w:t>
      </w:r>
      <w:r/>
    </w:p>
    <w:p w:rsidR="0015244F" w:rsidRDefault="00A565B8">
      <w:pPr>
        <w:pStyle w:val="TableCaption"/>
        <w:spacing w:before="240" w:after="120" w:line="240" w:lineRule="auto"/>
        <w:jc w:val="center"/>
      </w:pPr>
      <w:r>
        <w:t>Table 2.1 Protocol audit of the 22 most comparable prediction models, contrasted with the protocol adopted here. Appendix D lists the models.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Protocol property</w:t>
            </w:r>
          </w:p>
        </w:tc>
        <w:tc>
          <w:tcPr>
            <w:tcMar>
              <w:top w:w="60" w:type="dxa"/>
              <w:left w:w="100" w:type="dxa"/>
              <w:bottom w:w="60" w:type="dxa"/>
              <w:right w:w="100" w:type="dxa"/>
            </w:tcMar>
          </w:tcPr>
          <w:p>
            <w:r>
              <w:t>Papers satisfying it</w:t>
            </w:r>
          </w:p>
        </w:tc>
        <w:tc>
          <w:tcPr>
            <w:tcMar>
              <w:top w:w="60" w:type="dxa"/>
              <w:left w:w="100" w:type="dxa"/>
              <w:bottom w:w="60" w:type="dxa"/>
              <w:right w:w="100" w:type="dxa"/>
            </w:tcMar>
          </w:tcPr>
          <w:p>
            <w:r>
              <w:t>This work</w:t>
            </w:r>
          </w:p>
        </w:tc>
      </w:tr>
      <w:tr w:rsidR="0015244F">
        <w:tblPrEx>
          <w:tblCellMar>
            <w:top w:w="0" w:type="dxa"/>
            <w:bottom w:w="0" w:type="dxa"/>
          </w:tblCellMar>
        </w:tblPrEx>
        <w:trPr>
          <w:tblHeader/>
        </w:trPr>
        <w:tc>
          <w:tcPr>
            <w:tcMar>
              <w:top w:w="60" w:type="dxa"/>
              <w:left w:w="100" w:type="dxa"/>
              <w:bottom w:w="60" w:type="dxa"/>
              <w:right w:w="100" w:type="dxa"/>
            </w:tcMar>
          </w:tcPr>
          <w:p>
            <w:r>
              <w:t>Splits by drive, session or route</w:t>
            </w:r>
          </w:p>
        </w:tc>
        <w:tc>
          <w:tcPr>
            <w:tcMar>
              <w:top w:w="60" w:type="dxa"/>
              <w:left w:w="100" w:type="dxa"/>
              <w:bottom w:w="60" w:type="dxa"/>
              <w:right w:w="100" w:type="dxa"/>
            </w:tcMar>
          </w:tcPr>
          <w:p>
            <w:r>
              <w:t>0 / 22</w:t>
            </w:r>
          </w:p>
        </w:tc>
        <w:tc>
          <w:tcPr>
            <w:tcMar>
              <w:top w:w="60" w:type="dxa"/>
              <w:left w:w="100" w:type="dxa"/>
              <w:bottom w:w="60" w:type="dxa"/>
              <w:right w:w="100" w:type="dxa"/>
            </w:tcMar>
          </w:tcPr>
          <w:p>
            <w:r>
              <w:t>Yes; leave-one-campaign-out is primary</w:t>
            </w:r>
          </w:p>
        </w:tc>
      </w:tr>
      <w:tr w:rsidR="0015244F">
        <w:tblPrEx>
          <w:tblCellMar>
            <w:top w:w="0" w:type="dxa"/>
            <w:bottom w:w="0" w:type="dxa"/>
          </w:tblCellMar>
        </w:tblPrEx>
        <w:trPr>
          <w:tblHeader/>
        </w:trPr>
        <w:tc>
          <w:tcPr>
            <w:tcMar>
              <w:top w:w="60" w:type="dxa"/>
              <w:left w:w="100" w:type="dxa"/>
              <w:bottom w:w="60" w:type="dxa"/>
              <w:right w:w="100" w:type="dxa"/>
            </w:tcMar>
          </w:tcPr>
          <w:p>
            <w:r>
              <w:t>Uses any split coarser than a random row</w:t>
            </w:r>
          </w:p>
        </w:tc>
        <w:tc>
          <w:tcPr>
            <w:tcMar>
              <w:top w:w="60" w:type="dxa"/>
              <w:left w:w="100" w:type="dxa"/>
              <w:bottom w:w="60" w:type="dxa"/>
              <w:right w:w="100" w:type="dxa"/>
            </w:tcMar>
          </w:tcPr>
          <w:p>
            <w:r>
              <w:t>5 / 22</w:t>
            </w:r>
          </w:p>
        </w:tc>
        <w:tc>
          <w:tcPr>
            <w:tcMar>
              <w:top w:w="60" w:type="dxa"/>
              <w:left w:w="100" w:type="dxa"/>
              <w:bottom w:w="60" w:type="dxa"/>
              <w:right w:w="100" w:type="dxa"/>
            </w:tcMar>
          </w:tcPr>
          <w:p>
            <w:r>
              <w:t>Yes, four protocols compared</w:t>
            </w:r>
          </w:p>
        </w:tc>
      </w:tr>
      <w:tr w:rsidR="0015244F">
        <w:tblPrEx>
          <w:tblCellMar>
            <w:top w:w="0" w:type="dxa"/>
            <w:bottom w:w="0" w:type="dxa"/>
          </w:tblCellMar>
        </w:tblPrEx>
        <w:trPr>
          <w:tblHeader/>
        </w:trPr>
        <w:tc>
          <w:tcPr>
            <w:tcMar>
              <w:top w:w="60" w:type="dxa"/>
              <w:left w:w="100" w:type="dxa"/>
              <w:bottom w:w="60" w:type="dxa"/>
              <w:right w:w="100" w:type="dxa"/>
            </w:tcMar>
          </w:tcPr>
          <w:p>
            <w:r>
              <w:t>States a split protocol at all</w:t>
            </w:r>
          </w:p>
        </w:tc>
        <w:tc>
          <w:tcPr>
            <w:tcMar>
              <w:top w:w="60" w:type="dxa"/>
              <w:left w:w="100" w:type="dxa"/>
              <w:bottom w:w="60" w:type="dxa"/>
              <w:right w:w="100" w:type="dxa"/>
            </w:tcMar>
          </w:tcPr>
          <w:p>
            <w:r>
              <w:t>12 / 22</w:t>
            </w:r>
          </w:p>
        </w:tc>
        <w:tc>
          <w:tcPr>
            <w:tcMar>
              <w:top w:w="60" w:type="dxa"/>
              <w:left w:w="100" w:type="dxa"/>
              <w:bottom w:w="60" w:type="dxa"/>
              <w:right w:w="100" w:type="dxa"/>
            </w:tcMar>
          </w:tcPr>
          <w:p>
            <w:r>
              <w:t>Yes, with the code released</w:t>
            </w:r>
          </w:p>
        </w:tc>
      </w:tr>
      <w:tr w:rsidR="0015244F">
        <w:tblPrEx>
          <w:tblCellMar>
            <w:top w:w="0" w:type="dxa"/>
            <w:bottom w:w="0" w:type="dxa"/>
          </w:tblCellMar>
        </w:tblPrEx>
        <w:trPr>
          <w:tblHeader/>
        </w:trPr>
        <w:tc>
          <w:tcPr>
            <w:tcMar>
              <w:top w:w="60" w:type="dxa"/>
              <w:left w:w="100" w:type="dxa"/>
              <w:bottom w:w="60" w:type="dxa"/>
              <w:right w:w="100" w:type="dxa"/>
            </w:tcMar>
          </w:tcPr>
          <w:p>
            <w:r>
              <w:t>States the alignment between measurement timestamps and event clock</w:t>
            </w:r>
          </w:p>
        </w:tc>
        <w:tc>
          <w:tcPr>
            <w:tcMar>
              <w:top w:w="60" w:type="dxa"/>
              <w:left w:w="100" w:type="dxa"/>
              <w:bottom w:w="60" w:type="dxa"/>
              <w:right w:w="100" w:type="dxa"/>
            </w:tcMar>
          </w:tcPr>
          <w:p>
            <w:r>
              <w:t>0 / 22</w:t>
            </w:r>
          </w:p>
        </w:tc>
        <w:tc>
          <w:tcPr>
            <w:tcMar>
              <w:top w:w="60" w:type="dxa"/>
              <w:left w:w="100" w:type="dxa"/>
              <w:bottom w:w="60" w:type="dxa"/>
              <w:right w:w="100" w:type="dxa"/>
            </w:tcMar>
          </w:tcPr>
          <w:p>
            <w:r>
              <w:t>Yes, audited in Section 5.1</w:t>
            </w:r>
          </w:p>
        </w:tc>
      </w:tr>
      <w:tr w:rsidR="0015244F">
        <w:tblPrEx>
          <w:tblCellMar>
            <w:top w:w="0" w:type="dxa"/>
            <w:bottom w:w="0" w:type="dxa"/>
          </w:tblCellMar>
        </w:tblPrEx>
        <w:trPr>
          <w:tblHeader/>
        </w:trPr>
        <w:tc>
          <w:tcPr>
            <w:tcMar>
              <w:top w:w="60" w:type="dxa"/>
              <w:left w:w="100" w:type="dxa"/>
              <w:bottom w:w="60" w:type="dxa"/>
              <w:right w:w="100" w:type="dxa"/>
            </w:tcMar>
          </w:tcPr>
          <w:p>
            <w:r>
              <w:t>Reports a prevalence-aware ranking metric</w:t>
            </w:r>
          </w:p>
        </w:tc>
        <w:tc>
          <w:tcPr>
            <w:tcMar>
              <w:top w:w="60" w:type="dxa"/>
              <w:left w:w="100" w:type="dxa"/>
              <w:bottom w:w="60" w:type="dxa"/>
              <w:right w:w="100" w:type="dxa"/>
            </w:tcMar>
          </w:tcPr>
          <w:p>
            <w:r>
              <w:t>2 / 22</w:t>
            </w:r>
          </w:p>
        </w:tc>
        <w:tc>
          <w:tcPr>
            <w:tcMar>
              <w:top w:w="60" w:type="dxa"/>
              <w:left w:w="100" w:type="dxa"/>
              <w:bottom w:w="60" w:type="dxa"/>
              <w:right w:w="100" w:type="dxa"/>
            </w:tcMar>
          </w:tcPr>
          <w:p>
            <w:r>
              <w:t>AUPRC with floor and lift</w:t>
            </w:r>
          </w:p>
        </w:tc>
      </w:tr>
      <w:tr w:rsidR="0015244F">
        <w:tblPrEx>
          <w:tblCellMar>
            <w:top w:w="0" w:type="dxa"/>
            <w:bottom w:w="0" w:type="dxa"/>
          </w:tblCellMar>
        </w:tblPrEx>
        <w:trPr>
          <w:tblHeader/>
        </w:trPr>
        <w:tc>
          <w:tcPr>
            <w:tcMar>
              <w:top w:w="60" w:type="dxa"/>
              <w:left w:w="100" w:type="dxa"/>
              <w:bottom w:w="60" w:type="dxa"/>
              <w:right w:w="100" w:type="dxa"/>
            </w:tcMar>
          </w:tcPr>
          <w:p>
            <w:r>
              <w:t>Reports calibration (curve, ECE or Brier)</w:t>
            </w:r>
          </w:p>
        </w:tc>
        <w:tc>
          <w:tcPr>
            <w:tcMar>
              <w:top w:w="60" w:type="dxa"/>
              <w:left w:w="100" w:type="dxa"/>
              <w:bottom w:w="60" w:type="dxa"/>
              <w:right w:w="100" w:type="dxa"/>
            </w:tcMar>
          </w:tcPr>
          <w:p>
            <w:r>
              <w:t>0 / 22</w:t>
            </w:r>
          </w:p>
        </w:tc>
        <w:tc>
          <w:tcPr>
            <w:tcMar>
              <w:top w:w="60" w:type="dxa"/>
              <w:left w:w="100" w:type="dxa"/>
              <w:bottom w:w="60" w:type="dxa"/>
              <w:right w:w="100" w:type="dxa"/>
            </w:tcMar>
          </w:tcPr>
          <w:p>
            <w:r>
              <w:t>ECE and Brier at every horizon</w:t>
            </w:r>
          </w:p>
        </w:tc>
      </w:tr>
      <w:tr w:rsidR="0015244F">
        <w:tblPrEx>
          <w:tblCellMar>
            <w:top w:w="0" w:type="dxa"/>
            <w:bottom w:w="0" w:type="dxa"/>
          </w:tblCellMar>
        </w:tblPrEx>
        <w:trPr>
          <w:tblHeader/>
        </w:trPr>
        <w:tc>
          <w:tcPr>
            <w:tcMar>
              <w:top w:w="60" w:type="dxa"/>
              <w:left w:w="100" w:type="dxa"/>
              <w:bottom w:w="60" w:type="dxa"/>
              <w:right w:w="100" w:type="dxa"/>
            </w:tcMar>
          </w:tcPr>
          <w:p>
            <w:r>
              <w:t>Reports lead time or false alarms per hour</w:t>
            </w:r>
          </w:p>
        </w:tc>
        <w:tc>
          <w:tcPr>
            <w:tcMar>
              <w:top w:w="60" w:type="dxa"/>
              <w:left w:w="100" w:type="dxa"/>
              <w:bottom w:w="60" w:type="dxa"/>
              <w:right w:w="100" w:type="dxa"/>
            </w:tcMar>
          </w:tcPr>
          <w:p>
            <w:r>
              <w:t>0 / 22</w:t>
            </w:r>
          </w:p>
        </w:tc>
        <w:tc>
          <w:tcPr>
            <w:tcMar>
              <w:top w:w="60" w:type="dxa"/>
              <w:left w:w="100" w:type="dxa"/>
              <w:bottom w:w="60" w:type="dxa"/>
              <w:right w:w="100" w:type="dxa"/>
            </w:tcMar>
          </w:tcPr>
          <w:p>
            <w:r>
              <w:t>Both, and per kilometre</w:t>
            </w:r>
          </w:p>
        </w:tc>
      </w:tr>
      <w:tr w:rsidR="0015244F">
        <w:tblPrEx>
          <w:tblCellMar>
            <w:top w:w="0" w:type="dxa"/>
            <w:bottom w:w="0" w:type="dxa"/>
          </w:tblCellMar>
        </w:tblPrEx>
        <w:trPr>
          <w:tblHeader/>
        </w:trPr>
        <w:tc>
          <w:tcPr>
            <w:tcMar>
              <w:top w:w="60" w:type="dxa"/>
              <w:left w:w="100" w:type="dxa"/>
              <w:bottom w:w="60" w:type="dxa"/>
              <w:right w:w="100" w:type="dxa"/>
            </w:tcMar>
          </w:tcPr>
          <w:p>
            <w:r>
              <w:t>Reports headline accuracy on an imbalanced task</w:t>
            </w:r>
          </w:p>
        </w:tc>
        <w:tc>
          <w:tcPr>
            <w:tcMar>
              <w:top w:w="60" w:type="dxa"/>
              <w:left w:w="100" w:type="dxa"/>
              <w:bottom w:w="60" w:type="dxa"/>
              <w:right w:w="100" w:type="dxa"/>
            </w:tcMar>
          </w:tcPr>
          <w:p>
            <w:r>
              <w:t>7 / 22</w:t>
            </w:r>
          </w:p>
        </w:tc>
        <w:tc>
          <w:tcPr>
            <w:tcMar>
              <w:top w:w="60" w:type="dxa"/>
              <w:left w:w="100" w:type="dxa"/>
              <w:bottom w:w="60" w:type="dxa"/>
              <w:right w:w="100" w:type="dxa"/>
            </w:tcMar>
          </w:tcPr>
          <w:p>
            <w:r>
              <w:t>Never</w:t>
            </w:r>
          </w:p>
        </w:tc>
      </w:tr>
      <w:tr w:rsidR="0015244F">
        <w:tblPrEx>
          <w:tblCellMar>
            <w:top w:w="0" w:type="dxa"/>
            <w:bottom w:w="0" w:type="dxa"/>
          </w:tblCellMar>
        </w:tblPrEx>
        <w:trPr>
          <w:tblHeader/>
        </w:trPr>
        <w:tc>
          <w:tcPr>
            <w:tcMar>
              <w:top w:w="60" w:type="dxa"/>
              <w:left w:w="100" w:type="dxa"/>
              <w:bottom w:w="60" w:type="dxa"/>
              <w:right w:w="100" w:type="dxa"/>
            </w:tcMar>
          </w:tcPr>
          <w:p>
            <w:r>
              <w:t>Releases code</w:t>
            </w:r>
          </w:p>
        </w:tc>
        <w:tc>
          <w:tcPr>
            <w:tcMar>
              <w:top w:w="60" w:type="dxa"/>
              <w:left w:w="100" w:type="dxa"/>
              <w:bottom w:w="60" w:type="dxa"/>
              <w:right w:w="100" w:type="dxa"/>
            </w:tcMar>
          </w:tcPr>
          <w:p>
            <w:r>
              <w:t>2 / 22</w:t>
            </w:r>
          </w:p>
        </w:tc>
        <w:tc>
          <w:tcPr>
            <w:tcMar>
              <w:top w:w="60" w:type="dxa"/>
              <w:left w:w="100" w:type="dxa"/>
              <w:bottom w:w="60" w:type="dxa"/>
              <w:right w:w="100" w:type="dxa"/>
            </w:tcMar>
          </w:tcPr>
          <w:p>
            <w:r>
              <w:t>Planned</w:t>
            </w:r>
          </w:p>
        </w:tc>
      </w:tr>
      <w:tr w:rsidR="0015244F">
        <w:tblPrEx>
          <w:tblCellMar>
            <w:top w:w="0" w:type="dxa"/>
            <w:bottom w:w="0" w:type="dxa"/>
          </w:tblCellMar>
        </w:tblPrEx>
        <w:trPr>
          <w:tblHeader/>
        </w:trPr>
        <w:tc>
          <w:tcPr>
            <w:tcMar>
              <w:top w:w="60" w:type="dxa"/>
              <w:left w:w="100" w:type="dxa"/>
              <w:bottom w:w="60" w:type="dxa"/>
              <w:right w:w="100" w:type="dxa"/>
            </w:tcMar>
          </w:tcPr>
          <w:p>
            <w:r>
              <w:t>Releases data</w:t>
            </w:r>
          </w:p>
        </w:tc>
        <w:tc>
          <w:tcPr>
            <w:tcMar>
              <w:top w:w="60" w:type="dxa"/>
              <w:left w:w="100" w:type="dxa"/>
              <w:bottom w:w="60" w:type="dxa"/>
              <w:right w:w="100" w:type="dxa"/>
            </w:tcMar>
          </w:tcPr>
          <w:p>
            <w:r>
              <w:t>1 / 22</w:t>
            </w:r>
          </w:p>
        </w:tc>
        <w:tc>
          <w:tcPr>
            <w:tcMar>
              <w:top w:w="60" w:type="dxa"/>
              <w:left w:w="100" w:type="dxa"/>
              <w:bottom w:w="60" w:type="dxa"/>
              <w:right w:w="100" w:type="dxa"/>
            </w:tcMar>
          </w:tcPr>
          <w:p>
            <w:r>
              <w:t>Planned</w:t>
            </w:r>
          </w:p>
        </w:tc>
      </w:tr>
    </w:tbl>
    <w:p w:rsidR="0015244F" w:rsidRDefault="0015244F">
      <w:pPr>
        <w:spacing w:after="120" w:line="240" w:lineRule="auto"/>
      </w:pPr>
    </w:p>
    <w:p w:rsidR="0015244F" w:rsidRDefault="00A565B8">
      <w:pPr>
        <w:ind w:firstLine="567"/>
        <w:jc w:val="both"/>
      </w:pPr>
      <w:r>
        <w:t>Two observations from the audit are load-bearing for the remainder of this thesis.</w:t>
      </w:r>
    </w:p>
    <w:p w:rsidR="0015244F" w:rsidRDefault="00A565B8">
      <w:pPr>
        <w:ind w:firstLine="567"/>
        <w:jc w:val="both"/>
      </w:pPr>
      <w:r>
        <w:t xml:space="preserve">The first concerns metrics. Seven of the 22 report accuracy on tasks whose positive prevalence lies between 0.86 % and 11 %, at which a constant negative prediction scores between 89 % and 99 %; three of the headline figures so reported are 98.03 %, 99.84 </w:t>
      </w:r>
      <w:r>
        <w:t>% and 94.83 %. A related failure appears in a railway radio-link-failure study that reports area under the ROC curve above 0.95 for all six architectures it compares, on a task with approximately one positive per five hundred samples, and consequently sepa</w:t>
      </w:r>
      <w:r>
        <w:t>rates none of them.</w:t>
      </w:r>
    </w:p>
    <w:p w:rsidR="0015244F" w:rsidRDefault="00A565B8">
      <w:pPr>
        <w:ind w:firstLine="567"/>
        <w:jc w:val="both"/>
      </w:pPr>
      <w:r>
        <w:t xml:space="preserve">The second concerns splitting, and the exceptions are named rather than rounded away. Five of the 22 do split on something coarser than a random row: by spatial zone, by device, by time under a rolling-origin protocol on operator data, </w:t>
      </w:r>
      <w:r>
        <w:t>by travel day [10], and by deployment event [11]. None of the five, however, holds out the mobility unit for a per-</w:t>
      </w:r>
      <w:proofErr w:type="spellStart"/>
      <w:r>
        <w:t>timestep</w:t>
      </w:r>
      <w:proofErr w:type="spellEnd"/>
      <w:r>
        <w:t xml:space="preserve"> classification task on measured radio; the two most recent additions are regression tasks in which prevalence does not arise, and th</w:t>
      </w:r>
      <w:r>
        <w:t>e strongest protocol in the set addresses next-day cell-level radio-link failure rather than a per-sample mobility forecast.</w:t>
      </w:r>
    </w:p>
    <w:p w:rsidR="0015244F" w:rsidRDefault="00A565B8">
      <w:pPr>
        <w:ind w:firstLine="567"/>
        <w:jc w:val="both"/>
      </w:pPr>
      <w:r>
        <w:t>A structural feature of this literature explains the pattern. Protocol quality and measurement quality are anti-correlated within i</w:t>
      </w:r>
      <w:r>
        <w:t>t. The studies with the cleanest splits operate on ray-traced or SUMO-simulated trajectories [10], on aggregated operator key performance indicators, or at cell-and-day granularity [11]; the studies carrying real per-sample drive-test radio, whose data mos</w:t>
      </w:r>
      <w:r>
        <w:t>t resembles that used here, are precisely those whose split protocol is unstated. Recent graph-based models illustrate both halves: TH-GCN [12] builds a dynamic UE–cell graph for dense vehicular scenarios but is simulated, states no split protocol and repo</w:t>
      </w:r>
      <w:r>
        <w:t>rts relative deltas against baselines of its own choosing, while GRIMCELL [11] applies graph learning to radio-planning, configuration-management and performance-management data from a commercial LTE-A Pro network across 55 real deployment events, but pred</w:t>
      </w:r>
      <w:r>
        <w:t xml:space="preserve">icts post-deployment key performance indicators per cell per day and is therefore a planning tool rather </w:t>
      </w:r>
      <w:r>
        <w:lastRenderedPageBreak/>
        <w:t xml:space="preserve">than a per-second warning system. </w:t>
      </w:r>
      <w:proofErr w:type="spellStart"/>
      <w:r>
        <w:t>Graser</w:t>
      </w:r>
      <w:proofErr w:type="spellEnd"/>
      <w:r>
        <w:t xml:space="preserve"> et al. [13] </w:t>
      </w:r>
      <w:proofErr w:type="spellStart"/>
      <w:r>
        <w:t>organise</w:t>
      </w:r>
      <w:proofErr w:type="spellEnd"/>
      <w:r>
        <w:t xml:space="preserve"> the trajectory-learning literature by data density and observe that the dense individual-</w:t>
      </w:r>
      <w:r>
        <w:t>trace regime, in which one-hertz drive data sits, is where the literature is thinnest for event prediction as opposed to location prediction.</w:t>
      </w:r>
    </w:p>
    <w:p w:rsidR="0015244F" w:rsidRDefault="00A565B8">
      <w:pPr>
        <w:ind w:firstLine="567"/>
        <w:jc w:val="both"/>
      </w:pPr>
      <w:r>
        <w:t>The narrow claim the audit supports, and the one made in this thesis, is therefore the following: of twenty-two audited models, ten state no split protocol at all, five split on a unit coarser than a row, and none holds out the mobility unit for a per-timestep classification task on measured radio data; none reports calibration; none reports how early its warnings arrive; and none states the alignment between its measurement timestamps and its event clock. Prognos, inside reference [5], is the strongest system in the neighbourhood of this work and is not part of the audited set because it is a system component rather than a published prediction model with its own protocol; it reports F1 on a per-event task and, like the audited set, neither calibration nor an alignment statement.</w:t>
      </w:r>
      <w:r/>
      <w:proofErr w:type="spellStart"/>
      <w:r/>
      <w:proofErr w:type="spellEnd"/>
      <w:r/>
      <w:r/>
    </w:p>
    <w:p w:rsidR="0015244F" w:rsidRDefault="00A565B8">
      <w:pPr>
        <w:pStyle w:val="Heading2"/>
        <w:spacing w:before="360" w:after="140"/>
      </w:pPr>
      <w:r>
        <w:t>2.4 Ping-pong and its definitional instability</w:t>
      </w:r>
    </w:p>
    <w:p w:rsidR="0015244F" w:rsidRDefault="00A565B8">
      <w:pPr>
        <w:ind w:firstLine="567"/>
        <w:jc w:val="both"/>
      </w:pPr>
      <w:r>
        <w:t xml:space="preserve">Handover ping-pong — a return to a recently vacated cell — is widely reported and inconsistently defined. There is no </w:t>
      </w:r>
      <w:proofErr w:type="spellStart"/>
      <w:r>
        <w:t>standardised</w:t>
      </w:r>
      <w:proofErr w:type="spellEnd"/>
      <w:r>
        <w:t xml:space="preserve"> definition in 3GPP; what exists is a cell return within an autho</w:t>
      </w:r>
      <w:r>
        <w:t xml:space="preserve">r-chosen window, and the window alone moves the reported rate substantially. </w:t>
      </w:r>
      <w:proofErr w:type="spellStart"/>
      <w:r>
        <w:t>Zidic</w:t>
      </w:r>
      <w:proofErr w:type="spellEnd"/>
      <w:r>
        <w:t xml:space="preserve"> et al. [14] report ping-pong measurements on real 4G networks, and </w:t>
      </w:r>
      <w:proofErr w:type="spellStart"/>
      <w:r>
        <w:t>Ghoshal</w:t>
      </w:r>
      <w:proofErr w:type="spellEnd"/>
      <w:r>
        <w:t xml:space="preserve"> et al. [4] report per-operator rates of 15 % to 25 % under a fifteen-second window with a per-hand</w:t>
      </w:r>
      <w:r>
        <w:t>over denominator.</w:t>
      </w:r>
    </w:p>
    <w:p w:rsidR="0015244F" w:rsidRDefault="00A565B8">
      <w:pPr>
        <w:ind w:firstLine="567"/>
        <w:jc w:val="both"/>
      </w:pPr>
      <w:r>
        <w:t xml:space="preserve">Three choices determine the number, and papers rarely state all three: whether a cell is identified by physical cell identity alone or by physical cell identity together with carrier; whether any return within the window counts or only a </w:t>
      </w:r>
      <w:r>
        <w:t xml:space="preserve">return to the immediately preceding cell; and whether the denominator is the set of raw handover events or of quality-controlled ones. The consequences are severe enough to invalidate cross-paper comparison: </w:t>
      </w:r>
      <w:proofErr w:type="spellStart"/>
      <w:r>
        <w:t>Amirova</w:t>
      </w:r>
      <w:proofErr w:type="spellEnd"/>
      <w:r>
        <w:t xml:space="preserve"> et al. [15] report a ping-pong rate of 0</w:t>
      </w:r>
      <w:r>
        <w:t>.13 % because they divide by measurement records rather than by handovers. Chapter 5 reports the full ladder of these choices on a single fixed set of 938 handovers, where the rate moves from 24.5 % to 41.3 % without any change in the underlying data.</w:t>
      </w:r>
    </w:p>
    <w:p w:rsidR="0015244F" w:rsidRDefault="00A565B8">
      <w:pPr>
        <w:pStyle w:val="Heading2"/>
        <w:spacing w:before="360" w:after="140"/>
      </w:pPr>
      <w:r>
        <w:t>2.5 Survival analysis as the appropriate formulation</w:t>
      </w:r>
    </w:p>
    <w:p w:rsidR="0015244F" w:rsidRDefault="00A565B8">
      <w:pPr>
        <w:ind w:firstLine="567"/>
        <w:jc w:val="both"/>
      </w:pPr>
      <w:r>
        <w:t xml:space="preserve">The task posed in Section 1.3 — the probability that an event occurs within </w:t>
      </w:r>
      <w:r>
        <w:rPr>
          <w:i/>
          <w:iCs/>
        </w:rPr>
        <w:t>h</w:t>
      </w:r>
      <w:r>
        <w:t xml:space="preserve"> seconds, for several values of </w:t>
      </w:r>
      <w:r>
        <w:rPr>
          <w:i/>
          <w:iCs/>
        </w:rPr>
        <w:t>h</w:t>
      </w:r>
      <w:r>
        <w:t xml:space="preserve"> — is a time-to-event problem, and the appropriate formulation is therefore a survival model </w:t>
      </w:r>
      <w:r>
        <w:t xml:space="preserve">rather than a set of independent classifiers. </w:t>
      </w:r>
      <w:proofErr w:type="spellStart"/>
      <w:r>
        <w:t>Wiegrebe</w:t>
      </w:r>
      <w:proofErr w:type="spellEnd"/>
      <w:r>
        <w:t xml:space="preserve"> et al. [16] review 61 deep time-to-event methods and place the discrete-time route, in which the time axis is binned and binary indicators per interval are trained as classification, firmly in the main</w:t>
      </w:r>
      <w:r>
        <w:t xml:space="preserve">stream. </w:t>
      </w:r>
      <w:proofErr w:type="spellStart"/>
      <w:r>
        <w:t>Thorsen</w:t>
      </w:r>
      <w:proofErr w:type="spellEnd"/>
      <w:r>
        <w:t>-</w:t>
      </w:r>
      <w:r>
        <w:lastRenderedPageBreak/>
        <w:t xml:space="preserve">Meyer et al. [17] construct structurally the same object for intensive-care outcome prediction, with a censoring-aware log-likelihood over </w:t>
      </w:r>
      <w:proofErr w:type="spellStart"/>
      <w:r>
        <w:t>discretised</w:t>
      </w:r>
      <w:proofErr w:type="spellEnd"/>
      <w:r>
        <w:t xml:space="preserve"> windows.</w:t>
      </w:r>
    </w:p>
    <w:p w:rsidR="0015244F" w:rsidRDefault="00A565B8">
      <w:pPr>
        <w:ind w:firstLine="567"/>
        <w:jc w:val="both"/>
      </w:pPr>
      <w:r>
        <w:t>This literature is used here without any claim of novelty attaching to the formulation itself, and stating that plainly removes an obvious reviewer objection. Conformal prediction has also already been combined with survival analysis by Candès, Lei and Ren [18], who give distribution-free lower bounds on survival times under covariate shift; that work is the correct reference point for anything calling itself conformalised survival analysis, and this thesis does not claim that combination. What is new here is narrower: the application of the discrete-time hazard formulation to mobility events, and a risk bound on an operational miss rate whose exchangeable unit is a driving unit rather than a sample.</w:t>
      </w:r>
      <w:r/>
      <w:r/>
    </w:p>
    <w:p w:rsidR="0015244F" w:rsidRDefault="00A565B8">
      <w:pPr>
        <w:ind w:firstLine="567"/>
        <w:jc w:val="both"/>
      </w:pPr>
      <w:r>
        <w:t>One departure from the survival literature is deliberate. That literature evaluates predominantly with the concordance index and the integrated Brier score, both of which aggregate over the horizon axis. An operator, however, acts at a single horizon. A model that ranks well on average while asserting that a handover is more likely within one second than within three on 40.2% of samples is not deployable whatever its concordance index. Chapter 4 therefore evaluates horizon-wise, reporting AUPRC at each horizon together with a coherence-violation rate.</w:t>
      </w:r>
      <w:r/>
      <w:r/>
    </w:p>
    <w:p w:rsidR="0015244F" w:rsidRDefault="00A565B8">
      <w:pPr>
        <w:pStyle w:val="Heading2"/>
        <w:spacing w:before="360" w:after="140"/>
      </w:pPr>
      <w:r>
        <w:t>2.6 Distribution-free uncertainty quantification</w:t>
      </w:r>
    </w:p>
    <w:p w:rsidR="0015244F" w:rsidRDefault="00A565B8">
      <w:pPr>
        <w:ind w:firstLine="567"/>
        <w:jc w:val="both"/>
      </w:pPr>
      <w:r>
        <w:t>Conformal prediction supplies finite-sample, distribution-free guarantees under an exchangea</w:t>
      </w:r>
      <w:r>
        <w:t xml:space="preserve">bility assumption, and it has already been applied inside wireless communications by a strong group. Cohen, Park, </w:t>
      </w:r>
      <w:proofErr w:type="spellStart"/>
      <w:r>
        <w:t>Simeone</w:t>
      </w:r>
      <w:proofErr w:type="spellEnd"/>
      <w:r>
        <w:t xml:space="preserve"> and </w:t>
      </w:r>
      <w:proofErr w:type="spellStart"/>
      <w:r>
        <w:t>Shamai</w:t>
      </w:r>
      <w:proofErr w:type="spellEnd"/>
      <w:r>
        <w:t xml:space="preserve"> [18] apply split and cross-validation conformal prediction to demodulation, modulation classification and channel predictio</w:t>
      </w:r>
      <w:r>
        <w:t xml:space="preserve">n; </w:t>
      </w:r>
      <w:proofErr w:type="spellStart"/>
      <w:r>
        <w:t>Simeone</w:t>
      </w:r>
      <w:proofErr w:type="spellEnd"/>
      <w:r>
        <w:t xml:space="preserve">, Park and </w:t>
      </w:r>
      <w:proofErr w:type="spellStart"/>
      <w:r>
        <w:t>Zecchin</w:t>
      </w:r>
      <w:proofErr w:type="spellEnd"/>
      <w:r>
        <w:t xml:space="preserve"> [19] </w:t>
      </w:r>
      <w:proofErr w:type="spellStart"/>
      <w:r>
        <w:t>generalise</w:t>
      </w:r>
      <w:proofErr w:type="spellEnd"/>
      <w:r>
        <w:t xml:space="preserve"> the approach into a deployment lifecycle covering pre-deployment calibration and </w:t>
      </w:r>
      <w:proofErr w:type="spellStart"/>
      <w:r>
        <w:t>hyperparameter</w:t>
      </w:r>
      <w:proofErr w:type="spellEnd"/>
      <w:r>
        <w:t xml:space="preserve"> selection, monitoring under distribution shift, and post-deployment counterfactual analysis. Conformal risk control</w:t>
      </w:r>
      <w:r>
        <w:t>, which extends the guarantee from coverage of a prediction set to the expectation of a bounded monotone risk, is due to Angelopoulos et al. [20].</w:t>
      </w:r>
    </w:p>
    <w:p w:rsidR="0015244F" w:rsidRDefault="00A565B8">
      <w:pPr>
        <w:ind w:firstLine="567"/>
        <w:jc w:val="both"/>
      </w:pPr>
      <w:r>
        <w:t>The claim made in this thesis is consequently narrow. The guarantees in [19] and [20] are over prediction sets for tasks that are independent and identically distributed within a frame; conformalised survival analysis [18] gives calibrated lower bounds on event times under covariate shift. What Chapter 4 develops is a risk — an operator key performance indicator, the per-unit miss rate — on a stream that is exchangeable at best at the level of a driving unit. Section 5.5 reports the bound in the regime where that exchangeability is plausible and in the regime where it is not, and the difference between the two is the honest content of the claim.</w:t>
      </w:r>
      <w:r/>
      <w:r>
        <w:rPr>
          <w:i/>
          <w:iCs/>
        </w:rPr>
      </w:r>
      <w:r/>
      <w:r/>
      <w:proofErr w:type="spellStart"/>
      <w:r/>
      <w:proofErr w:type="spellEnd"/>
      <w:r/>
      <w:r/>
      <w:r/>
    </w:p>
    <w:p w:rsidR="0015244F" w:rsidRDefault="00A565B8">
      <w:pPr>
        <w:pStyle w:val="Heading2"/>
        <w:spacing w:before="360" w:after="140"/>
      </w:pPr>
      <w:r>
        <w:t>2.7 Point processes and the self-excitation of handover arrivals</w:t>
      </w:r>
    </w:p>
    <w:p w:rsidR="0015244F" w:rsidRDefault="00A565B8">
      <w:pPr>
        <w:ind w:firstLine="567"/>
        <w:jc w:val="both"/>
      </w:pPr>
      <w:r>
        <w:t>Handover events do not arrive independently. The self-exciting point process introduced by Hawkes [21] is the standard model</w:t>
      </w:r>
      <w:r>
        <w:t xml:space="preserve"> for arrival streams in which each event raises the intensity of subsequent events, and </w:t>
      </w:r>
      <w:proofErr w:type="spellStart"/>
      <w:r>
        <w:t>Laub</w:t>
      </w:r>
      <w:proofErr w:type="spellEnd"/>
      <w:r>
        <w:t xml:space="preserve"> et al. [22] provide the contemporary reference treatment, including the branching-ratio interpretation used in Chapter 5. Fitting such a process is not, by itself,</w:t>
      </w:r>
      <w:r>
        <w:t xml:space="preserve"> evidence that the process is self-exciting; the fit must be checked. The residual analysis of Ogata [23], in which the time axis is rescaled by the fitted compensator and the transformed arrivals tested against a unit-rate Poisson process, is the standard</w:t>
      </w:r>
      <w:r>
        <w:t xml:space="preserve"> check, and Price-Williams and Heard [24] establish the precedent for its use in a networking context, validating a self-exciting fit to campus and laboratory network traffic by time rescaling with Kolmogorov–Smirnov tests on held-out data. Chapter 5 follo</w:t>
      </w:r>
      <w:r>
        <w:t>ws that precedent and reports the test outcome, including where it rejects the fitted kernel.</w:t>
      </w:r>
    </w:p>
    <w:p w:rsidR="0015244F" w:rsidRDefault="00A565B8">
      <w:pPr>
        <w:pStyle w:val="Heading2"/>
        <w:spacing w:before="360" w:after="140"/>
      </w:pPr>
      <w:r>
        <w:t>2.8 Evaluation practice imported from adjacent fields</w:t>
      </w:r>
    </w:p>
    <w:p w:rsidR="0015244F" w:rsidRDefault="00A565B8">
      <w:pPr>
        <w:ind w:firstLine="567"/>
        <w:jc w:val="both"/>
      </w:pPr>
      <w:r>
        <w:t>Two further results from adjacent literatures inform the evaluation design and are cited here because they m</w:t>
      </w:r>
      <w:r>
        <w:t xml:space="preserve">ake the negative results of Chapter 5 interpretable rather than embarrassing. Ismail </w:t>
      </w:r>
      <w:proofErr w:type="spellStart"/>
      <w:r>
        <w:t>Fawaz</w:t>
      </w:r>
      <w:proofErr w:type="spellEnd"/>
      <w:r>
        <w:t xml:space="preserve"> et al. [25] benchmark nine unsupervised domain-adaptation algorithms across twelve time-series datasets and find that several published methods perform worse than so</w:t>
      </w:r>
      <w:r>
        <w:t>urce-only training with no adaptation at all, and that the adaptation technique rather than the backbone drives the outcome; the null result reported for Deep CORAL [26] in Chapter 5 is therefore consistent with a published benchmark rather than evidence o</w:t>
      </w:r>
      <w:r>
        <w:t>f faulty implementation. Shi et al. [27] supply the shift taxonomy that names the shift encountered here as a device-and-day shift rather than a sensor-modality shift. Wagner et al. [28] show formally that the commonly used point-adjusted metrics for time-</w:t>
      </w:r>
      <w:r>
        <w:t xml:space="preserve">series event detection each satisfy only a subset of the desirable properties and that none satisfies all of them, which is the justification for reporting event-level detection rate, lead time and false alarms per hour </w:t>
      </w:r>
      <w:r>
        <w:rPr>
          <w:i/>
          <w:iCs/>
        </w:rPr>
        <w:t>alongside</w:t>
      </w:r>
      <w:r>
        <w:t xml:space="preserve"> row-level AUPRC rather tha</w:t>
      </w:r>
      <w:r>
        <w:t>n in place of it.</w:t>
      </w:r>
    </w:p>
    <w:p w:rsidR="0015244F" w:rsidRDefault="00A565B8">
      <w:pPr>
        <w:ind w:firstLine="567"/>
        <w:jc w:val="both"/>
      </w:pPr>
      <w:r>
        <w:lastRenderedPageBreak/>
        <w:t xml:space="preserve">Finally, the standards track bears on the choice of horizon. Deb et al. [29] model conditional handover as a discrete-time Markov chain over preparation and execution offsets and timers, and their analysis makes explicit that conditional </w:t>
      </w:r>
      <w:r>
        <w:t>handover consumes a lead time rather than a label: a model that identifies the correct target cell two hundred milliseconds before the event buys nothing, because the preparation message must be sent, acknowledged and stored. This is the analytical justifi</w:t>
      </w:r>
      <w:r>
        <w:t>cation for reporting a lead-time distribution rather than a detection rate alone, and for retaining horizons of two, three and five seconds even though the deployed trigger fires within a few hundred milliseconds.</w:t>
      </w:r>
    </w:p>
    <w:p w:rsidR="0015244F" w:rsidRDefault="00A565B8">
      <w:pPr>
        <w:pStyle w:val="Heading2"/>
        <w:spacing w:before="360" w:after="140"/>
      </w:pPr>
      <w:r>
        <w:t>2.9 Research gap</w:t>
      </w:r>
    </w:p>
    <w:p w:rsidR="0015244F" w:rsidRDefault="00A565B8">
      <w:pPr>
        <w:ind w:firstLine="567"/>
        <w:jc w:val="both"/>
      </w:pPr>
      <w:r>
        <w:t xml:space="preserve">Collecting the preceding </w:t>
      </w:r>
      <w:r>
        <w:t xml:space="preserve">sections, the gap this thesis occupies can be stated precisely. Measurement-grade ground truth exists, but is not joined to prediction. Prediction models exist, but not under an evaluation protocol that holds out the mobility unit, and not with calibrated </w:t>
      </w:r>
      <w:r>
        <w:t>outputs or event-level costs. The correct formulation exists in the survival literature, but has not been applied to mobility events. Distribution-free guarantees exist in wireless, but for a different exchangeability structure and not for any mobility-man</w:t>
      </w:r>
      <w:r>
        <w:t>agement task.</w:t>
      </w:r>
    </w:p>
    <w:p w:rsidR="0015244F" w:rsidRDefault="00A565B8">
      <w:pPr>
        <w:ind w:firstLine="567"/>
        <w:jc w:val="both"/>
      </w:pPr>
      <w:r>
        <w:t xml:space="preserve">This work sits in that gap: measurement-grade ground truth obtained from decoded </w:t>
      </w:r>
      <w:proofErr w:type="spellStart"/>
      <w:r>
        <w:t>signalling</w:t>
      </w:r>
      <w:proofErr w:type="spellEnd"/>
      <w:r>
        <w:t>, a borrowed formulation made coherent across horizons, a conformal risk bound whose exchangeability unit is stated and defended, and an evaluation pro</w:t>
      </w:r>
      <w:r>
        <w:t>tocol designed to be acceptable to a reviewer from the machine-learning community rather than only to one from the wireless community.</w:t>
      </w:r>
    </w:p>
    <w:p w:rsidR="0015244F" w:rsidRDefault="00A565B8">
      <w:pPr>
        <w:pStyle w:val="Heading2"/>
        <w:spacing w:before="360" w:after="140"/>
      </w:pPr>
      <w:r>
        <w:t>2.10 Methodology</w:t>
      </w:r>
    </w:p>
    <w:p w:rsidR="0015244F" w:rsidRDefault="00A565B8">
      <w:pPr>
        <w:ind w:firstLine="567"/>
        <w:jc w:val="both"/>
      </w:pPr>
      <w:r>
        <w:t>The methodology adopted follows directly from the gap. It consists of five stages, illustrated in Figure</w:t>
      </w:r>
      <w:r>
        <w:t xml:space="preserve"> 2.1, and each stage is developed in detail in Chapters 3 and 4.</w:t>
      </w:r>
    </w:p>
    <w:p w:rsidR="0015244F" w:rsidRDefault="00A565B8">
      <w:pPr>
        <w:keepNext/>
        <w:spacing w:before="240" w:after="120" w:line="240" w:lineRule="auto"/>
        <w:jc w:val="center"/>
      </w:pPr>
      <w:r>
        <w:rPr>
          <w:noProof/>
        </w:rPr>
        <w:drawing>
          <wp:inline distT="0" distB="0" distL="0" distR="0">
            <wp:extent cx="5762625" cy="628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628650"/>
                    </a:xfrm>
                    <a:prstGeom prst="rect">
                      <a:avLst/>
                    </a:prstGeom>
                  </pic:spPr>
                </pic:pic>
              </a:graphicData>
            </a:graphic>
          </wp:inline>
        </w:drawing>
      </w:r>
    </w:p>
    <w:p w:rsidR="0015244F" w:rsidRDefault="00A565B8">
      <w:pPr>
        <w:pStyle w:val="FigureCaption"/>
        <w:spacing w:after="240" w:line="240" w:lineRule="auto"/>
        <w:jc w:val="center"/>
      </w:pPr>
      <w:r>
        <w:t>Figure 2.1 The methodology in five stages. Stage 2 supplies the ground truth; Stage 4 is the formulation that keeps the five horizons mutually consistent; Stage 5 is the evaluation protocol whose unit is a whole campaign.</w:t>
      </w:r>
      <w:proofErr w:type="gramStart"/>
      <w:r/>
      <w:proofErr w:type="gramEnd"/>
      <w:r/>
    </w:p>
    <w:p w:rsidR="0015244F" w:rsidRDefault="00A565B8">
      <w:pPr>
        <w:ind w:firstLine="567"/>
        <w:jc w:val="both"/>
      </w:pPr>
      <w:r>
        <w:rPr>
          <w:b/>
          <w:bCs/>
        </w:rPr>
        <w:lastRenderedPageBreak/>
        <w:t>Stage 1 — Collection.</w:t>
      </w:r>
      <w:r>
        <w:t xml:space="preserve"> Four drive-test campaigns are condu</w:t>
      </w:r>
      <w:r>
        <w:t xml:space="preserve">cted on a live commercial LTE network using an instrumented handset, recording a one-hertz radio measurement export and, in parallel, a decoded RRC </w:t>
      </w:r>
      <w:proofErr w:type="spellStart"/>
      <w:r>
        <w:t>signalling</w:t>
      </w:r>
      <w:proofErr w:type="spellEnd"/>
      <w:r>
        <w:t xml:space="preserve"> log.</w:t>
      </w:r>
    </w:p>
    <w:p w:rsidR="0015244F" w:rsidRDefault="00A565B8">
      <w:pPr>
        <w:ind w:firstLine="567"/>
        <w:jc w:val="both"/>
      </w:pPr>
      <w:r>
        <w:rPr>
          <w:b/>
          <w:bCs/>
        </w:rPr>
        <w:t>Stage 2 — Ground truth and configuration recovery.</w:t>
      </w:r>
      <w:r>
        <w:t xml:space="preserve"> Handover instants are taken from decoded </w:t>
      </w:r>
      <w:proofErr w:type="spellStart"/>
      <w:r>
        <w:t>RRCConnectionReconfiguration</w:t>
      </w:r>
      <w:proofErr w:type="spellEnd"/>
      <w:r>
        <w:t xml:space="preserve"> messages carrying </w:t>
      </w:r>
      <w:proofErr w:type="spellStart"/>
      <w:r>
        <w:t>mobilityControlInfo</w:t>
      </w:r>
      <w:proofErr w:type="spellEnd"/>
      <w:r>
        <w:t>. Because measurement identifiers are scoped to the message that carries them, a configuration timeline is replayed so that every measurement report resolves against the configuration in for</w:t>
      </w:r>
      <w:r>
        <w:t>ce at its own timestamp.</w:t>
      </w:r>
    </w:p>
    <w:p w:rsidR="0015244F" w:rsidRDefault="00A565B8">
      <w:pPr>
        <w:ind w:firstLine="567"/>
        <w:jc w:val="both"/>
      </w:pPr>
      <w:r>
        <w:rPr>
          <w:b/>
          <w:bCs/>
        </w:rPr>
        <w:t>Stage 3 — Feature construction.</w:t>
      </w:r>
      <w:r>
        <w:t xml:space="preserve"> One hundred and fifty-two candidate features are constructed from radio, mobility, history and </w:t>
      </w:r>
      <w:proofErr w:type="spellStart"/>
      <w:r>
        <w:t>signalling</w:t>
      </w:r>
      <w:proofErr w:type="spellEnd"/>
      <w:r>
        <w:t xml:space="preserve"> sources; all are strictly causal, closing at the prediction instant, and none crosses a drive</w:t>
      </w:r>
      <w:r>
        <w:t xml:space="preserve"> boundary.</w:t>
      </w:r>
    </w:p>
    <w:p w:rsidR="0015244F" w:rsidRDefault="00A565B8">
      <w:pPr>
        <w:ind w:firstLine="567"/>
        <w:jc w:val="both"/>
      </w:pPr>
      <w:r>
        <w:rPr>
          <w:b/>
          <w:bCs/>
        </w:rPr>
        <w:t>Stage 4 — Formulation and modelling.</w:t>
      </w:r>
      <w:r>
        <w:t xml:space="preserve"> The task is posed as discrete-time survival. A single model estimates the per-interval hazard and horizon probabilities are recovered by the product-limit identity, which guarantees ordering. Seven learners a</w:t>
      </w:r>
      <w:r>
        <w:t>re compared under identical conditions.</w:t>
      </w:r>
    </w:p>
    <w:p w:rsidR="0015244F" w:rsidRDefault="00A565B8">
      <w:pPr>
        <w:ind w:firstLine="567"/>
        <w:jc w:val="both"/>
      </w:pPr>
      <w:r>
        <w:rPr>
          <w:b/>
          <w:bCs/>
        </w:rPr>
        <w:t>Stage 5 — Evaluation and risk control.</w:t>
      </w:r>
      <w:r>
        <w:t xml:space="preserve"> Splits are grouped by whole drive under a four-fold rotation repeated over five seeds; confidence intervals are bootstrapped over drives; and a warning threshold is certified by</w:t>
      </w:r>
      <w:r>
        <w:t xml:space="preserve"> conformal risk control whose exchangeable unit is the drive.</w:t>
      </w:r>
    </w:p>
    <w:p w:rsidR="0015244F" w:rsidRDefault="00A565B8">
      <w:pPr>
        <w:pStyle w:val="Heading3"/>
        <w:spacing w:before="280" w:after="120"/>
      </w:pPr>
      <w:r>
        <w:t>2.10.1 Approaches considered and rejected</w:t>
      </w:r>
    </w:p>
    <w:p w:rsidR="0015244F" w:rsidRDefault="00A565B8">
      <w:pPr>
        <w:ind w:firstLine="567"/>
        <w:jc w:val="both"/>
      </w:pPr>
      <w:r>
        <w:t>Four alternatives were considered seriously and rejected, and the reasons are recorded here because they constitute part of the methodological argument.</w:t>
      </w:r>
    </w:p>
    <w:p w:rsidR="0015244F" w:rsidRDefault="00A565B8">
      <w:pPr>
        <w:ind w:firstLine="567"/>
        <w:jc w:val="both"/>
      </w:pPr>
      <w:r>
        <w:rPr>
          <w:b/>
          <w:bCs/>
        </w:rPr>
        <w:t>Independent per-horizon classifiers.</w:t>
      </w:r>
      <w:r>
        <w:t xml:space="preserve"> The obvious approach — one binary classifier per look-ahead time — was implemented and retained as a control arm rather than as the primary method. It is rejected as the primary method because it produces mutually cont</w:t>
      </w:r>
      <w:r>
        <w:t>radictory outputs on a large fraction of samples, as Chapter 5 quantifies, and because repairing that defect after the fact costs both a held-out split and predictive performance.</w:t>
      </w:r>
    </w:p>
    <w:p w:rsidR="0015244F" w:rsidRDefault="00A565B8">
      <w:pPr>
        <w:ind w:firstLine="567"/>
        <w:jc w:val="both"/>
      </w:pPr>
      <w:r>
        <w:rPr>
          <w:b/>
          <w:bCs/>
        </w:rPr>
        <w:t>Random-row cross-validation.</w:t>
      </w:r>
      <w:r>
        <w:t xml:space="preserve"> The splitting protocol used by the majority of </w:t>
      </w:r>
      <w:r>
        <w:t xml:space="preserve">the comparator literature was implemented solely to measure what it is worth. It is rejected because adjacent one-second samples within a drive are near-duplicates, so a random split places nearly </w:t>
      </w:r>
      <w:r>
        <w:lastRenderedPageBreak/>
        <w:t>identical rows on both sides of it; Chapter 5 shows that th</w:t>
      </w:r>
      <w:r>
        <w:t>e resulting inflation is architecture-dependent and therefore alters the ranking of models.</w:t>
      </w:r>
    </w:p>
    <w:p w:rsidR="0015244F" w:rsidRDefault="00A565B8">
      <w:pPr>
        <w:ind w:firstLine="567"/>
        <w:jc w:val="both"/>
      </w:pPr>
      <w:r>
        <w:rPr>
          <w:b/>
          <w:bCs/>
        </w:rPr>
        <w:t>Class reweighting for imbalance.</w:t>
      </w:r>
      <w:r>
        <w:t xml:space="preserve"> The standard reflex on a rare-event task is to reweight the positive class. It is rejected in the hazard arm for a reason specific to the formulation: reweighting transforms the fitted probability monotonically, which leaves ranking metrics unchanged but </w:t>
      </w:r>
      <w:r>
        <w:t xml:space="preserve">destroys the probability scale, and the product-limit identity multiplies </w:t>
      </w:r>
      <w:r>
        <w:rPr>
          <w:i/>
          <w:iCs/>
        </w:rPr>
        <w:t>K</w:t>
      </w:r>
      <w:r>
        <w:t xml:space="preserve"> such probabilities together, so a per-interval multiplicative error compounds with the horizon. Both arms are therefore fitted unweighted, which also keeps the comparison between t</w:t>
      </w:r>
      <w:r>
        <w:t>hem fair.</w:t>
      </w:r>
    </w:p>
    <w:p w:rsidR="0015244F" w:rsidRDefault="00A565B8">
      <w:pPr>
        <w:ind w:firstLine="567"/>
        <w:jc w:val="both"/>
      </w:pPr>
      <w:r>
        <w:rPr>
          <w:b/>
          <w:bCs/>
        </w:rPr>
        <w:t>Reinforcement learning of the handover decision.</w:t>
      </w:r>
      <w:r>
        <w:t xml:space="preserve"> A decision-theoretic formulation, in which an agent learns when to hand over, was considered and is the formulation adopted by the nearest comparator study available on this network. It is rejected</w:t>
      </w:r>
      <w:r>
        <w:t xml:space="preserve"> here because it answers a different question: it </w:t>
      </w:r>
      <w:proofErr w:type="spellStart"/>
      <w:r>
        <w:t>optimises</w:t>
      </w:r>
      <w:proofErr w:type="spellEnd"/>
      <w:r>
        <w:t xml:space="preserve"> a decision the network is entitled to make at its own pace, whereas this thesis forecasts an event. Chapter 5 reports a reimplementation of that comparator scored as a predictor, for completeness.</w:t>
      </w:r>
    </w:p>
    <w:p w:rsidR="0015244F" w:rsidRDefault="00A565B8">
      <w:pPr>
        <w:pageBreakBefore/>
        <w:jc w:val="center"/>
      </w:pPr>
      <w:r>
        <w:rPr>
          <w:b/>
          <w:bCs/>
          <w:sz w:val="40"/>
          <w:szCs w:val="40"/>
        </w:rPr>
        <w:lastRenderedPageBreak/>
        <w:t>CHAPTER 3</w:t>
      </w:r>
    </w:p>
    <w:p w:rsidR="0015244F" w:rsidRDefault="0015244F"/>
    <w:p w:rsidR="0015244F" w:rsidRDefault="00A565B8">
      <w:pPr>
        <w:pStyle w:val="Heading1"/>
        <w:jc w:val="center"/>
      </w:pPr>
      <w:r>
        <w:t>MEASUREMENT CAMPAIGN AND GROUND TRUTH</w:t>
      </w:r>
    </w:p>
    <w:p w:rsidR="0015244F" w:rsidRDefault="0015244F"/>
    <w:p w:rsidR="0015244F" w:rsidRDefault="0015244F"/>
    <w:p w:rsidR="0015244F" w:rsidRDefault="00A565B8">
      <w:pPr>
        <w:ind w:firstLine="567"/>
        <w:jc w:val="both"/>
      </w:pPr>
      <w:r>
        <w:t xml:space="preserve">Every claim made in this thesis rests on the quality of the measurement underneath it, and this chapter describes how that measurement was obtained. Section 3.1 describes the instrumentation. Section 3.2 </w:t>
      </w:r>
      <w:r>
        <w:t xml:space="preserve">describes the four campaigns and the routes they cover. Section 3.3 describes the </w:t>
      </w:r>
      <w:proofErr w:type="spellStart"/>
      <w:r>
        <w:t>signalling</w:t>
      </w:r>
      <w:proofErr w:type="spellEnd"/>
      <w:r>
        <w:t>-decoding procedure and the configuration-timeline correction that it required. Section 3.4 describes how continuous driving is segmented into drives and quality co</w:t>
      </w:r>
      <w:r>
        <w:t xml:space="preserve">ntrolled. Section 3.5 reports the deployed mobility configuration recovered from the </w:t>
      </w:r>
      <w:proofErr w:type="spellStart"/>
      <w:r>
        <w:t>signalling</w:t>
      </w:r>
      <w:proofErr w:type="spellEnd"/>
      <w:r>
        <w:t xml:space="preserve">, and Section 3.6 </w:t>
      </w:r>
      <w:proofErr w:type="spellStart"/>
      <w:r>
        <w:t>summarises</w:t>
      </w:r>
      <w:proofErr w:type="spellEnd"/>
      <w:r>
        <w:t xml:space="preserve"> the resulting dataset.</w:t>
      </w:r>
    </w:p>
    <w:p w:rsidR="0015244F" w:rsidRDefault="00A565B8">
      <w:pPr>
        <w:pStyle w:val="Heading2"/>
        <w:spacing w:before="360" w:after="140"/>
      </w:pPr>
      <w:r>
        <w:t>3.1 Instrumentation</w:t>
      </w:r>
    </w:p>
    <w:p w:rsidR="0015244F" w:rsidRDefault="00A565B8">
      <w:pPr>
        <w:ind w:firstLine="567"/>
        <w:jc w:val="both"/>
      </w:pPr>
      <w:r>
        <w:t xml:space="preserve">Measurements were collected with a commercial drive-test handset running </w:t>
      </w:r>
      <w:proofErr w:type="spellStart"/>
      <w:r>
        <w:t>Accuver</w:t>
      </w:r>
      <w:proofErr w:type="spellEnd"/>
      <w:r>
        <w:t xml:space="preserve"> XCAL, wh</w:t>
      </w:r>
      <w:r>
        <w:t xml:space="preserve">ich exposes the chipset diagnostic interface and produces two </w:t>
      </w:r>
      <w:proofErr w:type="spellStart"/>
      <w:r>
        <w:t>synchronised</w:t>
      </w:r>
      <w:proofErr w:type="spellEnd"/>
      <w:r>
        <w:t xml:space="preserve"> outputs: a tabular radio-measurement export sampled at one hertz, and a decoded control-plane log containing the RRC messages exchanged between the handset and the network. The use </w:t>
      </w:r>
      <w:r>
        <w:t>of this class of instrumentation for RRC extraction on live networks follows established practice in the measurement literature [5], [4].</w:t>
      </w:r>
    </w:p>
    <w:p w:rsidR="0015244F" w:rsidRDefault="00A565B8">
      <w:pPr>
        <w:ind w:firstLine="567"/>
        <w:jc w:val="both"/>
      </w:pPr>
      <w:r>
        <w:t>The radio export carries, per sample, the serving-cell physical cell identity (PCI), E-UTRA absolute radio frequency c</w:t>
      </w:r>
      <w:r>
        <w:t xml:space="preserve">hannel number (EARFCN), RSRP, RSRQ and signal-to-interference-plus-noise ratio (SINR), together with the corresponding quantities for each detected </w:t>
      </w:r>
      <w:proofErr w:type="spellStart"/>
      <w:r>
        <w:t>neighbour</w:t>
      </w:r>
      <w:proofErr w:type="spellEnd"/>
      <w:r>
        <w:t xml:space="preserve"> cell, and a Global Positioning System (GPS) fix with speed and heading. The </w:t>
      </w:r>
      <w:proofErr w:type="spellStart"/>
      <w:r>
        <w:t>signalling</w:t>
      </w:r>
      <w:proofErr w:type="spellEnd"/>
      <w:r>
        <w:t xml:space="preserve"> log carries</w:t>
      </w:r>
      <w:r>
        <w:t xml:space="preserve"> the complete </w:t>
      </w:r>
      <w:proofErr w:type="spellStart"/>
      <w:r>
        <w:t>RRCConnectionReconfiguration</w:t>
      </w:r>
      <w:proofErr w:type="spellEnd"/>
      <w:r>
        <w:t xml:space="preserve">, </w:t>
      </w:r>
      <w:proofErr w:type="spellStart"/>
      <w:r>
        <w:t>MeasurementReport</w:t>
      </w:r>
      <w:proofErr w:type="spellEnd"/>
      <w:r>
        <w:t xml:space="preserve"> and </w:t>
      </w:r>
      <w:proofErr w:type="spellStart"/>
      <w:r>
        <w:t>RRCConnectionReestablishment</w:t>
      </w:r>
      <w:proofErr w:type="spellEnd"/>
      <w:r>
        <w:t xml:space="preserve"> message sequence with millisecond timestamps.</w:t>
      </w:r>
    </w:p>
    <w:p w:rsidR="0015244F" w:rsidRDefault="00A565B8">
      <w:pPr>
        <w:ind w:firstLine="567"/>
        <w:jc w:val="both"/>
      </w:pPr>
      <w:r>
        <w:t xml:space="preserve">Using the </w:t>
      </w:r>
      <w:proofErr w:type="spellStart"/>
      <w:r>
        <w:t>signalling</w:t>
      </w:r>
      <w:proofErr w:type="spellEnd"/>
      <w:r>
        <w:t xml:space="preserve"> log rather than a vendor handover counter is a deliberate design choice and is the foundation </w:t>
      </w:r>
      <w:r>
        <w:t xml:space="preserve">of the ground truth used throughout. A counter reports that the vendor's internal logic considered a handover to have occurred; a decoded </w:t>
      </w:r>
      <w:proofErr w:type="spellStart"/>
      <w:r>
        <w:t>RRCConnectionReconfiguration</w:t>
      </w:r>
      <w:proofErr w:type="spellEnd"/>
      <w:r>
        <w:t xml:space="preserve"> carrying </w:t>
      </w:r>
      <w:proofErr w:type="spellStart"/>
      <w:r>
        <w:t>mobilityControlInfo</w:t>
      </w:r>
      <w:proofErr w:type="spellEnd"/>
      <w:r>
        <w:t xml:space="preserve"> </w:t>
      </w:r>
      <w:r>
        <w:rPr>
          <w:i/>
          <w:iCs/>
        </w:rPr>
        <w:t>is</w:t>
      </w:r>
      <w:r>
        <w:t xml:space="preserve"> the handover command, </w:t>
      </w:r>
      <w:r>
        <w:lastRenderedPageBreak/>
        <w:t>timestamped at the instant it was t</w:t>
      </w:r>
      <w:r>
        <w:t>ransmitted. The difference matters for a prediction task, because the label instant defines what "one second ahead" means.</w:t>
      </w:r>
    </w:p>
    <w:p w:rsidR="0015244F" w:rsidRDefault="00A565B8">
      <w:pPr>
        <w:pStyle w:val="Heading2"/>
        <w:spacing w:before="360" w:after="140"/>
      </w:pPr>
      <w:r>
        <w:t>3.2 The four campaigns</w:t>
      </w:r>
    </w:p>
    <w:p w:rsidR="0015244F" w:rsidRDefault="00A565B8">
      <w:pPr>
        <w:ind w:firstLine="567"/>
        <w:jc w:val="both"/>
      </w:pPr>
      <w:r>
        <w:t>Four campaigns were conducted on a single commercial LTE operator in September 2026, covering two distinct mobility regimes. Three cover urban corridors in Dhaka: an urban arterial road, an urban loop, and a dense urban area. The fourth covers the Uttara–Gazipur highway, at a mean speed of 50.9 km/h, roughly twice the mean urban speed. Each campaign is one continuous logging session, a fact that Section 3.4 and the evaluation protocol of Section 4.9 both depend on. Figure 3.1 shows the routes and the geographical distribution of the handover events for the three Dhaka campaigns; the highway corridor runs north-east beyond the mapped extent and is summarised in Table 3.2 rather than mapped.</w:t>
      </w:r>
      <w:proofErr w:type="spellStart"/>
      <w:r/>
      <w:r/>
      <w:proofErr w:type="spellEnd"/>
      <w:r/>
      <w:r/>
      <w:proofErr w:type="spellStart"/>
      <w:r/>
      <w:proofErr w:type="spellEnd"/>
      <w:r/>
    </w:p>
    <w:p w:rsidR="0015244F" w:rsidRDefault="00A565B8">
      <w:pPr>
        <w:keepNext/>
        <w:spacing w:before="240" w:after="120" w:line="240" w:lineRule="auto"/>
        <w:jc w:val="center"/>
      </w:pPr>
      <w:r>
        <w:rPr>
          <w:noProof/>
        </w:rPr>
        <w:lastRenderedPageBreak/>
        <w:drawing>
          <wp:inline distT="0" distB="0" distL="0" distR="0">
            <wp:extent cx="4095750" cy="5295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5295900"/>
                    </a:xfrm>
                    <a:prstGeom prst="rect">
                      <a:avLst/>
                    </a:prstGeom>
                  </pic:spPr>
                </pic:pic>
              </a:graphicData>
            </a:graphic>
          </wp:inline>
        </w:drawing>
      </w:r>
    </w:p>
    <w:p w:rsidR="0015244F" w:rsidRDefault="00A565B8">
      <w:pPr>
        <w:pStyle w:val="FigureCaption"/>
        <w:spacing w:after="240" w:line="240" w:lineRule="auto"/>
        <w:jc w:val="center"/>
      </w:pPr>
      <w:r>
        <w:t>Figure 3.1 The three Dhaka campaigns on an OpenStreetMap background. Events cluster at particular junctions rather than distributing uniformly along the route. The 15 September highway campaign lies outside this extent. Map data © OpenStreetMap contributors.</w:t>
      </w:r>
      <w:proofErr w:type="gramStart"/>
      <w:r/>
      <w:proofErr w:type="gramEnd"/>
      <w:r/>
      <w:proofErr w:type="spellStart"/>
      <w:r/>
      <w:proofErr w:type="spellEnd"/>
      <w:r/>
      <w:proofErr w:type="spellStart"/>
      <w:r/>
      <w:proofErr w:type="spellEnd"/>
      <w:r/>
      <w:r/>
      <w:proofErr w:type="spellStart"/>
      <w:r/>
      <w:proofErr w:type="spellEnd"/>
      <w:r/>
    </w:p>
    <w:p w:rsidR="0015244F" w:rsidRDefault="00A565B8">
      <w:pPr>
        <w:ind w:firstLine="567"/>
        <w:jc w:val="both"/>
      </w:pPr>
      <w:r>
        <w:t xml:space="preserve">The clustering visible in Figure 3.1 is the first indication that the prediction signal is partly geometric, and </w:t>
      </w:r>
      <w:r>
        <w:t xml:space="preserve">it is also the first argument against random-row splitting: if handovers concentrate at identifiable locations, a random split allows a model to learn those locations from the training rows and </w:t>
      </w:r>
      <w:proofErr w:type="spellStart"/>
      <w:r>
        <w:t>recognise</w:t>
      </w:r>
      <w:proofErr w:type="spellEnd"/>
      <w:r>
        <w:t xml:space="preserve"> them in the test rows of the same drive.</w:t>
      </w:r>
    </w:p>
    <w:p w:rsidR="0015244F" w:rsidRDefault="00A565B8">
      <w:pPr>
        <w:ind w:firstLine="567"/>
        <w:jc w:val="both"/>
      </w:pPr>
      <w:r>
        <w:t>The fourth campaign occupies a particular position in the experimental design. It was driven after the modelling decisions of the first three campaigns had been recorded — the feature set, the formulation, the model family and the evaluation protocol — and it is the only campaign that differs in both corridor and speed regime, so it is reported as a held-out campaign throughout. Two qualifications are stated here rather than left for a reader to find. The freeze was recorded in the project's own version history between 13 and 15 September 2026, not registered with a third party, so it is auditable but not independently timestamped. And the alignment audit of Section 5.1, which is the single largest change in this work, was performed after all four campaigns, so no campaign is out of sample with respect to it.</w:t>
      </w:r>
      <w:r/>
      <w:r>
        <w:rPr>
          <w:b/>
          <w:bCs/>
        </w:rPr>
      </w:r>
      <w:r/>
      <w:proofErr w:type="spellStart"/>
      <w:r/>
      <w:proofErr w:type="spellEnd"/>
      <w:r/>
      <w:r/>
      <w:r/>
    </w:p>
    <w:p w:rsidR="0015244F" w:rsidRDefault="00A565B8">
      <w:pPr>
        <w:pStyle w:val="Heading2"/>
        <w:spacing w:before="360" w:after="140"/>
      </w:pPr>
      <w:r>
        <w:t xml:space="preserve">3.3 </w:t>
      </w:r>
      <w:proofErr w:type="spellStart"/>
      <w:r>
        <w:t>Signalling</w:t>
      </w:r>
      <w:proofErr w:type="spellEnd"/>
      <w:r>
        <w:t xml:space="preserve"> decodi</w:t>
      </w:r>
      <w:r>
        <w:t>ng and the configuration timeline</w:t>
      </w:r>
    </w:p>
    <w:p w:rsidR="0015244F" w:rsidRDefault="00A565B8">
      <w:pPr>
        <w:pStyle w:val="Heading3"/>
        <w:spacing w:before="280" w:after="120"/>
      </w:pPr>
      <w:r>
        <w:t>3.3.1 The attribution chain</w:t>
      </w:r>
    </w:p>
    <w:p w:rsidR="0015244F" w:rsidRDefault="00A565B8">
      <w:pPr>
        <w:ind w:firstLine="567"/>
        <w:jc w:val="both"/>
      </w:pPr>
      <w:r>
        <w:t>Resolving a measurement report to the event that triggered it requires a chain of three objects defined in TS 36.331 [1]. A MeasurementReport carries a measId. The measId binds, through measIdToAddModList, a measurement object — which specifies the carrier frequency being measured — to a report configuration, which specifies the triggering event and its parameters. To determine that a given report is an A3 report, and the offset and time-to-trigger under which it fired, that chain must be followed.</w:t>
      </w:r>
      <w:proofErr w:type="spellStart"/>
      <w:r/>
      <w:proofErr w:type="spellEnd"/>
      <w:r/>
      <w:proofErr w:type="spellStart"/>
      <w:r/>
      <w:proofErr w:type="spellEnd"/>
      <w:r/>
      <w:proofErr w:type="spellStart"/>
      <w:r/>
      <w:proofErr w:type="spellEnd"/>
      <w:r/>
      <w:proofErr w:type="spellStart"/>
      <w:r/>
      <w:r/>
      <w:proofErr w:type="spellEnd"/>
      <w:r/>
      <w:r/>
    </w:p>
    <w:p w:rsidR="0015244F" w:rsidRDefault="00A565B8">
      <w:pPr>
        <w:pStyle w:val="Heading3"/>
        <w:spacing w:before="280" w:after="120"/>
      </w:pPr>
      <w:r>
        <w:t>3.3.2 Why a flat parse is wrong</w:t>
      </w:r>
    </w:p>
    <w:p w:rsidR="0015244F" w:rsidRDefault="00A565B8">
      <w:pPr>
        <w:ind w:firstLine="567"/>
        <w:jc w:val="both"/>
      </w:pPr>
      <w:r>
        <w:t>The difficulty is that the configuration does not arrive as a single object. It is delivered incrementally across many RRCConnectionReconfiguration messages, with entries added, modified and removed over the lifetime of a connection. The bindings are held in the UE's VarMeasConfig and persist until modified or removed; they are not scoped to the message that carries them, as an earlier draft of this work stated. What is scoped to a message is the fragment, and a parser that resolves reports against the union of all fragments inherits every binding a message ever carried.</w:t>
      </w:r>
      <w:proofErr w:type="spellStart"/>
      <w:r/>
      <w:proofErr w:type="spellEnd"/>
      <w:r/>
      <w:r/>
      <w:proofErr w:type="spellStart"/>
      <w:r/>
      <w:proofErr w:type="spellEnd"/>
      <w:r/>
      <w:r/>
    </w:p>
    <w:p w:rsidR="0015244F" w:rsidRDefault="00A565B8">
      <w:pPr>
        <w:ind w:firstLine="567"/>
        <w:jc w:val="both"/>
      </w:pPr>
      <w:r>
        <w:t>Applied to this dataset, such a flat parse classified 99.4 % of all measurement reports as Event A3, including reports transmitted when no neighbour cell was present in the measurement export at all. Since Event A3 is defined on a neighbour quantity, a report attributed to A3 in the absence of any neighbour cannot be correct, and it was this impossible consequence that exposed the error. Correcting it is a bug fix rather than a contribution, and it is reported here as part of the method.</w:t>
      </w:r>
      <w:r/>
      <w:proofErr w:type="spellStart"/>
      <w:r/>
      <w:proofErr w:type="spellEnd"/>
      <w:r/>
      <w:proofErr w:type="spellStart"/>
      <w:r/>
      <w:proofErr w:type="spellEnd"/>
      <w:r/>
      <w:proofErr w:type="spellStart"/>
      <w:r/>
      <w:proofErr w:type="spellEnd"/>
      <w:r/>
      <w:r/>
    </w:p>
    <w:p w:rsidR="0015244F" w:rsidRDefault="00A565B8">
      <w:pPr>
        <w:pStyle w:val="Heading3"/>
        <w:spacing w:before="280" w:after="120"/>
      </w:pPr>
      <w:r>
        <w:t>3.3.3 The timeline</w:t>
      </w:r>
    </w:p>
    <w:p w:rsidR="0015244F" w:rsidRDefault="00A565B8">
      <w:pPr>
        <w:ind w:firstLine="567"/>
        <w:jc w:val="both"/>
      </w:pPr>
      <w:r>
        <w:t>The correction is to replay VarMeasConfig as a timeline: every fragment is timestamped and applied in order, so that for any instant t the exact set of bindings in force at t is available, and each MeasurementReport is resolved against the state at its own timestamp. Three elements of TS 36.331 that a first implementation of this replay omitted are applied here: the removal lists (measIdToRemoveList, reportConfigToRemoveList and measObjectToRemoveList, which account for 15,100 measId removals across the four logs, and where removing a report configuration or a measurement object removes every measId that links to it); the measId swap that clause 5.5.6.1 requires on an inter-frequency handover, which applies 187 times here; and the release of the whole configuration when the UE leaves RRC_CONNECTED, which occurs 56 times. Applying them changes the event type assigned to 18% of reports relative to the earlier replay, and every signalling quantity in Chapter 5 is computed after the correction.</w:t>
      </w:r>
      <w:r/>
      <w:r>
        <w:rPr>
          <w:i/>
          <w:iCs/>
        </w:rPr>
      </w:r>
      <w:r/>
      <w:proofErr w:type="spellStart"/>
      <w:r/>
      <w:proofErr w:type="spellEnd"/>
      <w:r/>
      <w:r/>
      <w:r>
        <w:rPr>
          <w:i/>
          <w:iCs/>
        </w:rPr>
      </w:r>
      <w:r/>
      <w:proofErr w:type="spellStart"/>
      <w:r/>
      <w:proofErr w:type="spellEnd"/>
      <w:r/>
    </w:p>
    <w:p w:rsidR="0015244F" w:rsidRDefault="00A565B8">
      <w:pPr>
        <w:keepNext/>
        <w:spacing w:before="240" w:after="120" w:line="240" w:lineRule="auto"/>
        <w:jc w:val="center"/>
      </w:pPr>
      <w:r>
        <w:rPr>
          <w:noProof/>
        </w:rPr>
        <w:drawing>
          <wp:inline distT="0" distB="0" distL="0" distR="0">
            <wp:extent cx="5762625" cy="2800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800350"/>
                    </a:xfrm>
                    <a:prstGeom prst="rect">
                      <a:avLst/>
                    </a:prstGeom>
                  </pic:spPr>
                </pic:pic>
              </a:graphicData>
            </a:graphic>
          </wp:inline>
        </w:drawing>
      </w:r>
    </w:p>
    <w:p w:rsidR="0015244F" w:rsidRDefault="00A565B8">
      <w:pPr>
        <w:pStyle w:val="FigureCaption"/>
        <w:spacing w:after="240" w:line="240" w:lineRule="auto"/>
        <w:jc w:val="center"/>
      </w:pPr>
      <w:r>
        <w:t>Figure 3.2 Measurement identifiers persist in VarMeasConfig until they are modified or removed. A flat parse resolves every report against the union of all configuration fragments; the timeline replays additions, modifications and removals in order and resolves each report against the configuration in force at its own timestamp.</w:t>
      </w:r>
    </w:p>
    <w:p w:rsidR="0015244F" w:rsidRDefault="00A565B8">
      <w:pPr>
        <w:ind w:firstLine="567"/>
        <w:jc w:val="both"/>
      </w:pPr>
      <w:r>
        <w:t>After the correction, between 39% and 45% of measurement reports resolve to Event A3, depending on the campaign, with the remainder distributed across A1, A2, A4, A5, A6 and periodic reporting. Every quantity reported in this thesis that depends on report classification — most importantly the report-conversion rate of Section 5.9 — is computed after the correction, and no pre-correction figure is quoted anywhere.</w:t>
      </w:r>
      <w:r/>
    </w:p>
    <w:p w:rsidR="0015244F" w:rsidRDefault="00A565B8">
      <w:pPr>
        <w:pStyle w:val="Heading2"/>
        <w:spacing w:before="360" w:after="140"/>
      </w:pPr>
      <w:r>
        <w:t>3.4 Drive segmentation and quality control</w:t>
      </w:r>
    </w:p>
    <w:p w:rsidR="0015244F" w:rsidRDefault="00A565B8">
      <w:pPr>
        <w:ind w:firstLine="567"/>
        <w:jc w:val="both"/>
      </w:pPr>
      <w:r>
        <w:t>Continuous logging produces one long record per campaign. For analysis that record is cut into fixed 180-second blocks, and a block is retained if it carries a valid serving-cell attachment for at least sixty seconds of unbroken sample grid. This is a bookkeeping device and not a mobility unit: adjacent blocks of one campaign are contiguous in time and share cells, traffic and trajectory, so they are not independent of one another. Section 4.9 draws the evaluation consequence, and Section 5.3 measures what treating them as independent is worth. The four campaigns are 4 sessions, which is the number of genuinely independent units in this dataset; the 57 blocks are used for interval estimation within a campaign, never as if they were separate drives.</w:t>
      </w:r>
      <w:r/>
      <w:r>
        <w:rPr>
          <w:i/>
          <w:iCs/>
        </w:rPr>
      </w:r>
      <w:r/>
      <w:r/>
      <w:r/>
    </w:p>
    <w:p w:rsidR="0015244F" w:rsidRDefault="00A565B8">
      <w:pPr>
        <w:ind w:firstLine="567"/>
        <w:jc w:val="both"/>
      </w:pPr>
      <w:r>
        <w:t>Segmentation and quality control reduce the raw handover count from 957 commands to 938 that fall inside a retained block. Both counts are reported wherever a handover count appears: the event-level analyses of Sections 5.9 and 5.10 use all 957 commands, since the event stream does not depend on whether a sample row survived quality control, and the modelling of Sections 5.2 to 5.8 uses the 8,586 sample rows that carry a full five-second follow-up window and lie outside the two-second post-handover blank.</w:t>
      </w:r>
      <w:r/>
    </w:p>
    <w:p w:rsidR="0015244F" w:rsidRDefault="00A565B8">
      <w:pPr>
        <w:ind w:firstLine="567"/>
        <w:jc w:val="both"/>
      </w:pPr>
      <w:r>
        <w:t xml:space="preserve">Both counts are reported here because both are correct under their own definitions, and the distinction is stated explicitly wherever a handover count appears in this thesis. </w:t>
      </w:r>
      <w:r>
        <w:rPr>
          <w:b/>
          <w:bCs/>
        </w:rPr>
        <w:t>Every model reported in Chapter 5 is trained and scored against the 93</w:t>
      </w:r>
      <w:r>
        <w:rPr>
          <w:b/>
          <w:bCs/>
        </w:rPr>
        <w:t>8 events that fall inside quality-controlled drives.</w:t>
      </w:r>
      <w:r>
        <w:t xml:space="preserve"> The 957 figure is used only where the raw event stream is the appropriate object, which in this thesis occurs in exactly one place: the ungrouped variant of the ping-pong definition ladder in Section 5.9</w:t>
      </w:r>
      <w:r>
        <w:t>.</w:t>
      </w:r>
    </w:p>
    <w:p w:rsidR="0015244F" w:rsidRDefault="00A565B8">
      <w:pPr>
        <w:pStyle w:val="Heading2"/>
        <w:spacing w:before="360" w:after="140"/>
      </w:pPr>
      <w:r>
        <w:t>3.5 The deployed configuration</w:t>
      </w:r>
    </w:p>
    <w:p w:rsidR="0015244F" w:rsidRDefault="00A565B8">
      <w:pPr>
        <w:ind w:firstLine="567"/>
        <w:jc w:val="both"/>
      </w:pPr>
      <w:r>
        <w:t>Replaying the configuration timeline across all four campaigns recovers the operator's deployed mobility parameters. Table 3.1 reports them in two ways: as the set of configurations present in the signalling, and weighted by the handovers each actually produced.</w:t>
      </w:r>
    </w:p>
    <w:p w:rsidR="0015244F" w:rsidRDefault="00A565B8">
      <w:pPr>
        <w:pStyle w:val="TableCaption"/>
        <w:spacing w:before="240" w:after="120" w:line="240" w:lineRule="auto"/>
        <w:jc w:val="center"/>
      </w:pPr>
      <w:r>
        <w:t>Table 3.1 Deployed Event A3 configuration recovered from RRC signalling, weighted by the handovers each profile produced.</w:t>
      </w:r>
      <w:proofErr w:type="spellStart"/>
      <w:r/>
      <w:proofErr w:type="spellEnd"/>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Event A3 profile (offset, hysteresis, time-to-trigger)</w:t>
            </w:r>
          </w:p>
        </w:tc>
        <w:tc>
          <w:tcPr>
            <w:tcMar>
              <w:top w:w="60" w:type="dxa"/>
              <w:left w:w="100" w:type="dxa"/>
              <w:bottom w:w="60" w:type="dxa"/>
              <w:right w:w="100" w:type="dxa"/>
            </w:tcMar>
          </w:tcPr>
          <w:p>
            <w:r>
              <w:t>Handovers attributed</w:t>
            </w:r>
          </w:p>
        </w:tc>
        <w:tc>
          <w:tcPr>
            <w:tcMar>
              <w:top w:w="60" w:type="dxa"/>
              <w:left w:w="100" w:type="dxa"/>
              <w:bottom w:w="60" w:type="dxa"/>
              <w:right w:w="100" w:type="dxa"/>
            </w:tcMar>
          </w:tcPr>
          <w:p>
            <w:r>
              <w:t>Share of all handovers</w:t>
            </w:r>
          </w:p>
        </w:tc>
      </w:tr>
      <w:tr w:rsidR="0015244F">
        <w:tblPrEx>
          <w:tblCellMar>
            <w:top w:w="0" w:type="dxa"/>
            <w:bottom w:w="0" w:type="dxa"/>
          </w:tblCellMar>
        </w:tblPrEx>
        <w:trPr>
          <w:tblHeader/>
        </w:trPr>
        <w:tc>
          <w:tcPr>
            <w:tcMar>
              <w:top w:w="60" w:type="dxa"/>
              <w:left w:w="100" w:type="dxa"/>
              <w:bottom w:w="60" w:type="dxa"/>
              <w:right w:w="100" w:type="dxa"/>
            </w:tcMar>
          </w:tcPr>
          <w:p>
            <w:r>
              <w:t>+1 dB, Hys 1 dB, TTT 320 ms</w:t>
            </w:r>
          </w:p>
        </w:tc>
        <w:tc>
          <w:tcPr>
            <w:tcMar>
              <w:top w:w="60" w:type="dxa"/>
              <w:left w:w="100" w:type="dxa"/>
              <w:bottom w:w="60" w:type="dxa"/>
              <w:right w:w="100" w:type="dxa"/>
            </w:tcMar>
          </w:tcPr>
          <w:p>
            <w:r>
              <w:t>472</w:t>
            </w:r>
          </w:p>
        </w:tc>
        <w:tc>
          <w:tcPr>
            <w:tcMar>
              <w:top w:w="60" w:type="dxa"/>
              <w:left w:w="100" w:type="dxa"/>
              <w:bottom w:w="60" w:type="dxa"/>
              <w:right w:w="100" w:type="dxa"/>
            </w:tcMar>
          </w:tcPr>
          <w:p>
            <w:r>
              <w:t>49.3 %</w:t>
            </w:r>
          </w:p>
        </w:tc>
      </w:tr>
      <w:tr w:rsidR="0015244F">
        <w:tblPrEx>
          <w:tblCellMar>
            <w:top w:w="0" w:type="dxa"/>
            <w:bottom w:w="0" w:type="dxa"/>
          </w:tblCellMar>
        </w:tblPrEx>
        <w:trPr>
          <w:tblHeader/>
        </w:trPr>
        <w:tc>
          <w:tcPr>
            <w:tcMar>
              <w:top w:w="60" w:type="dxa"/>
              <w:left w:w="100" w:type="dxa"/>
              <w:bottom w:w="60" w:type="dxa"/>
              <w:right w:w="100" w:type="dxa"/>
            </w:tcMar>
          </w:tcPr>
          <w:p>
            <w:r>
              <w:t>-10 dB, Hys 2 dB, TTT 640 ms</w:t>
            </w:r>
          </w:p>
        </w:tc>
        <w:tc>
          <w:tcPr>
            <w:tcMar>
              <w:top w:w="60" w:type="dxa"/>
              <w:left w:w="100" w:type="dxa"/>
              <w:bottom w:w="60" w:type="dxa"/>
              <w:right w:w="100" w:type="dxa"/>
            </w:tcMar>
          </w:tcPr>
          <w:p>
            <w:r>
              <w:t>108</w:t>
            </w:r>
          </w:p>
        </w:tc>
        <w:tc>
          <w:tcPr>
            <w:tcMar>
              <w:top w:w="60" w:type="dxa"/>
              <w:left w:w="100" w:type="dxa"/>
              <w:bottom w:w="60" w:type="dxa"/>
              <w:right w:w="100" w:type="dxa"/>
            </w:tcMar>
          </w:tcPr>
          <w:p>
            <w:r>
              <w:t>11.3 %</w:t>
            </w:r>
          </w:p>
        </w:tc>
      </w:tr>
      <w:tr w:rsidR="0015244F">
        <w:tblPrEx>
          <w:tblCellMar>
            <w:top w:w="0" w:type="dxa"/>
            <w:bottom w:w="0" w:type="dxa"/>
          </w:tblCellMar>
        </w:tblPrEx>
        <w:trPr>
          <w:tblHeader/>
        </w:trPr>
        <w:tc>
          <w:tcPr>
            <w:tcMar>
              <w:top w:w="60" w:type="dxa"/>
              <w:left w:w="100" w:type="dxa"/>
              <w:bottom w:w="60" w:type="dxa"/>
              <w:right w:w="100" w:type="dxa"/>
            </w:tcMar>
          </w:tcPr>
          <w:p>
            <w:r>
              <w:t>-15 dB, Hys 1 dB, TTT 160 ms</w:t>
            </w:r>
          </w:p>
        </w:tc>
        <w:tc>
          <w:tcPr>
            <w:tcMar>
              <w:top w:w="60" w:type="dxa"/>
              <w:left w:w="100" w:type="dxa"/>
              <w:bottom w:w="60" w:type="dxa"/>
              <w:right w:w="100" w:type="dxa"/>
            </w:tcMar>
          </w:tcPr>
          <w:p>
            <w:r>
              <w:t>45</w:t>
            </w:r>
          </w:p>
        </w:tc>
        <w:tc>
          <w:tcPr>
            <w:tcMar>
              <w:top w:w="60" w:type="dxa"/>
              <w:left w:w="100" w:type="dxa"/>
              <w:bottom w:w="60" w:type="dxa"/>
              <w:right w:w="100" w:type="dxa"/>
            </w:tcMar>
          </w:tcPr>
          <w:p>
            <w:r>
              <w:t>4.7 %</w:t>
            </w:r>
          </w:p>
        </w:tc>
      </w:tr>
      <w:tr w:rsidR="0015244F">
        <w:tblPrEx>
          <w:tblCellMar>
            <w:top w:w="0" w:type="dxa"/>
            <w:bottom w:w="0" w:type="dxa"/>
          </w:tblCellMar>
        </w:tblPrEx>
        <w:trPr>
          <w:tblHeader/>
        </w:trPr>
        <w:tc>
          <w:tcPr>
            <w:tcMar>
              <w:top w:w="60" w:type="dxa"/>
              <w:left w:w="100" w:type="dxa"/>
              <w:bottom w:w="60" w:type="dxa"/>
              <w:right w:w="100" w:type="dxa"/>
            </w:tcMar>
          </w:tcPr>
          <w:p>
            <w:r>
              <w:t>+2 dB, Hys 1 dB, TTT 320 ms</w:t>
            </w:r>
          </w:p>
        </w:tc>
        <w:tc>
          <w:tcPr>
            <w:tcMar>
              <w:top w:w="60" w:type="dxa"/>
              <w:left w:w="100" w:type="dxa"/>
              <w:bottom w:w="60" w:type="dxa"/>
              <w:right w:w="100" w:type="dxa"/>
            </w:tcMar>
          </w:tcPr>
          <w:p>
            <w:r>
              <w:t>12</w:t>
            </w:r>
          </w:p>
        </w:tc>
        <w:tc>
          <w:tcPr>
            <w:tcMar>
              <w:top w:w="60" w:type="dxa"/>
              <w:left w:w="100" w:type="dxa"/>
              <w:bottom w:w="60" w:type="dxa"/>
              <w:right w:w="100" w:type="dxa"/>
            </w:tcMar>
          </w:tcPr>
          <w:p>
            <w:r>
              <w:t>1.3 %</w:t>
            </w:r>
          </w:p>
        </w:tc>
      </w:tr>
      <w:tr w:rsidR="0015244F">
        <w:tblPrEx>
          <w:tblCellMar>
            <w:top w:w="0" w:type="dxa"/>
            <w:bottom w:w="0" w:type="dxa"/>
          </w:tblCellMar>
        </w:tblPrEx>
        <w:trPr>
          <w:tblHeader/>
        </w:trPr>
        <w:tc>
          <w:tcPr>
            <w:tcMar>
              <w:top w:w="60" w:type="dxa"/>
              <w:left w:w="100" w:type="dxa"/>
              <w:bottom w:w="60" w:type="dxa"/>
              <w:right w:w="100" w:type="dxa"/>
            </w:tcMar>
          </w:tcPr>
          <w:p>
            <w:r>
              <w:t>-6.5 dB, Hys 2 dB, TTT 640 ms</w:t>
            </w:r>
          </w:p>
        </w:tc>
        <w:tc>
          <w:tcPr>
            <w:tcMar>
              <w:top w:w="60" w:type="dxa"/>
              <w:left w:w="100" w:type="dxa"/>
              <w:bottom w:w="60" w:type="dxa"/>
              <w:right w:w="100" w:type="dxa"/>
            </w:tcMar>
          </w:tcPr>
          <w:p>
            <w:r>
              <w:t>6</w:t>
            </w:r>
          </w:p>
        </w:tc>
        <w:tc>
          <w:tcPr>
            <w:tcMar>
              <w:top w:w="60" w:type="dxa"/>
              <w:left w:w="100" w:type="dxa"/>
              <w:bottom w:w="60" w:type="dxa"/>
              <w:right w:w="100" w:type="dxa"/>
            </w:tcMar>
          </w:tcPr>
          <w:p>
            <w:r>
              <w:t>0.6 %</w:t>
            </w:r>
          </w:p>
        </w:tc>
      </w:tr>
      <w:tr w:rsidR="0015244F">
        <w:tblPrEx>
          <w:tblCellMar>
            <w:top w:w="0" w:type="dxa"/>
            <w:bottom w:w="0" w:type="dxa"/>
          </w:tblCellMar>
        </w:tblPrEx>
        <w:trPr>
          <w:tblHeader/>
        </w:trPr>
        <w:tc>
          <w:tcPr>
            <w:tcMar>
              <w:top w:w="60" w:type="dxa"/>
              <w:left w:w="100" w:type="dxa"/>
              <w:bottom w:w="60" w:type="dxa"/>
              <w:right w:w="100" w:type="dxa"/>
            </w:tcMar>
          </w:tcPr>
          <w:p>
            <w:r>
              <w:t>-15 dB, Hys 1 dB, TTT 320 ms</w:t>
            </w:r>
          </w:p>
        </w:tc>
        <w:tc>
          <w:tcPr>
            <w:tcMar>
              <w:top w:w="60" w:type="dxa"/>
              <w:left w:w="100" w:type="dxa"/>
              <w:bottom w:w="60" w:type="dxa"/>
              <w:right w:w="100" w:type="dxa"/>
            </w:tcMar>
          </w:tcPr>
          <w:p>
            <w:r>
              <w:t>5</w:t>
            </w:r>
          </w:p>
        </w:tc>
        <w:tc>
          <w:tcPr>
            <w:tcMar>
              <w:top w:w="60" w:type="dxa"/>
              <w:left w:w="100" w:type="dxa"/>
              <w:bottom w:w="60" w:type="dxa"/>
              <w:right w:w="100" w:type="dxa"/>
            </w:tcMar>
          </w:tcPr>
          <w:p>
            <w:r>
              <w:t>0.5 %</w:t>
            </w:r>
          </w:p>
        </w:tc>
      </w:tr>
      <w:tr w:rsidR="0015244F">
        <w:tblPrEx>
          <w:tblCellMar>
            <w:top w:w="0" w:type="dxa"/>
            <w:bottom w:w="0" w:type="dxa"/>
          </w:tblCellMar>
        </w:tblPrEx>
        <w:trPr>
          <w:tblHeader/>
        </w:trPr>
        <w:tc>
          <w:tcPr>
            <w:tcMar>
              <w:top w:w="60" w:type="dxa"/>
              <w:left w:w="100" w:type="dxa"/>
              <w:bottom w:w="60" w:type="dxa"/>
              <w:right w:w="100" w:type="dxa"/>
            </w:tcMar>
          </w:tcPr>
          <w:p>
            <w:r>
              <w:t>all other A3 profiles (1 of them)</w:t>
            </w:r>
          </w:p>
        </w:tc>
        <w:tc>
          <w:tcPr>
            <w:tcMar>
              <w:top w:w="60" w:type="dxa"/>
              <w:left w:w="100" w:type="dxa"/>
              <w:bottom w:w="60" w:type="dxa"/>
              <w:right w:w="100" w:type="dxa"/>
            </w:tcMar>
          </w:tcPr>
          <w:p>
            <w:r>
              <w:t>3</w:t>
            </w:r>
          </w:p>
        </w:tc>
        <w:tc>
          <w:tcPr>
            <w:tcMar>
              <w:top w:w="60" w:type="dxa"/>
              <w:left w:w="100" w:type="dxa"/>
              <w:bottom w:w="60" w:type="dxa"/>
              <w:right w:w="100" w:type="dxa"/>
            </w:tcMar>
          </w:tcPr>
          <w:p>
            <w:r>
              <w:t>0.3 %</w:t>
            </w:r>
          </w:p>
        </w:tc>
      </w:tr>
      <w:tr w:rsidR="0015244F">
        <w:tblPrEx>
          <w:tblCellMar>
            <w:top w:w="0" w:type="dxa"/>
            <w:bottom w:w="0" w:type="dxa"/>
          </w:tblCellMar>
        </w:tblPrEx>
        <w:trPr>
          <w:tblHeader/>
        </w:trPr>
        <w:tc>
          <w:tcPr>
            <w:tcMar>
              <w:top w:w="60" w:type="dxa"/>
              <w:left w:w="100" w:type="dxa"/>
              <w:bottom w:w="60" w:type="dxa"/>
              <w:right w:w="100" w:type="dxa"/>
            </w:tcMar>
          </w:tcPr>
          <w:p>
            <w:r>
              <w:t>triggered by A5 instead of A3</w:t>
            </w:r>
          </w:p>
        </w:tc>
        <w:tc>
          <w:tcPr>
            <w:tcMar>
              <w:top w:w="60" w:type="dxa"/>
              <w:left w:w="100" w:type="dxa"/>
              <w:bottom w:w="60" w:type="dxa"/>
              <w:right w:w="100" w:type="dxa"/>
            </w:tcMar>
          </w:tcPr>
          <w:p>
            <w:r>
              <w:t>79</w:t>
            </w:r>
          </w:p>
        </w:tc>
        <w:tc>
          <w:tcPr>
            <w:tcMar>
              <w:top w:w="60" w:type="dxa"/>
              <w:left w:w="100" w:type="dxa"/>
              <w:bottom w:w="60" w:type="dxa"/>
              <w:right w:w="100" w:type="dxa"/>
            </w:tcMar>
          </w:tcPr>
          <w:p>
            <w:r>
              <w:t>8.3 %</w:t>
            </w:r>
          </w:p>
        </w:tc>
      </w:tr>
      <w:tr w:rsidR="0015244F">
        <w:tblPrEx>
          <w:tblCellMar>
            <w:top w:w="0" w:type="dxa"/>
            <w:bottom w:w="0" w:type="dxa"/>
          </w:tblCellMar>
        </w:tblPrEx>
        <w:trPr>
          <w:tblHeader/>
        </w:trPr>
        <w:tc>
          <w:tcPr>
            <w:tcMar>
              <w:top w:w="60" w:type="dxa"/>
              <w:left w:w="100" w:type="dxa"/>
              <w:bottom w:w="60" w:type="dxa"/>
              <w:right w:w="100" w:type="dxa"/>
            </w:tcMar>
          </w:tcPr>
          <w:p>
            <w:r>
              <w:t>triggered by A4 instead of A3</w:t>
            </w:r>
          </w:p>
        </w:tc>
        <w:tc>
          <w:tcPr>
            <w:tcMar>
              <w:top w:w="60" w:type="dxa"/>
              <w:left w:w="100" w:type="dxa"/>
              <w:bottom w:w="60" w:type="dxa"/>
              <w:right w:w="100" w:type="dxa"/>
            </w:tcMar>
          </w:tcPr>
          <w:p>
            <w:r>
              <w:t>66</w:t>
            </w:r>
          </w:p>
        </w:tc>
        <w:tc>
          <w:tcPr>
            <w:tcMar>
              <w:top w:w="60" w:type="dxa"/>
              <w:left w:w="100" w:type="dxa"/>
              <w:bottom w:w="60" w:type="dxa"/>
              <w:right w:w="100" w:type="dxa"/>
            </w:tcMar>
          </w:tcPr>
          <w:p>
            <w:r>
              <w:t>6.9 %</w:t>
            </w:r>
          </w:p>
        </w:tc>
      </w:tr>
      <w:tr w:rsidR="0015244F">
        <w:tblPrEx>
          <w:tblCellMar>
            <w:top w:w="0" w:type="dxa"/>
            <w:bottom w:w="0" w:type="dxa"/>
          </w:tblCellMar>
        </w:tblPrEx>
        <w:trPr>
          <w:tblHeader/>
        </w:trPr>
        <w:tc>
          <w:tcPr>
            <w:tcMar>
              <w:top w:w="60" w:type="dxa"/>
              <w:left w:w="100" w:type="dxa"/>
              <w:bottom w:w="60" w:type="dxa"/>
              <w:right w:w="100" w:type="dxa"/>
            </w:tcMar>
          </w:tcPr>
          <w:p>
            <w:r>
              <w:t>triggered by A1 instead of A3</w:t>
            </w:r>
          </w:p>
        </w:tc>
        <w:tc>
          <w:tcPr>
            <w:tcMar>
              <w:top w:w="60" w:type="dxa"/>
              <w:left w:w="100" w:type="dxa"/>
              <w:bottom w:w="60" w:type="dxa"/>
              <w:right w:w="100" w:type="dxa"/>
            </w:tcMar>
          </w:tcPr>
          <w:p>
            <w:r>
              <w:t>51</w:t>
            </w:r>
          </w:p>
        </w:tc>
        <w:tc>
          <w:tcPr>
            <w:tcMar>
              <w:top w:w="60" w:type="dxa"/>
              <w:left w:w="100" w:type="dxa"/>
              <w:bottom w:w="60" w:type="dxa"/>
              <w:right w:w="100" w:type="dxa"/>
            </w:tcMar>
          </w:tcPr>
          <w:p>
            <w:r>
              <w:t>5.3 %</w:t>
            </w:r>
          </w:p>
        </w:tc>
      </w:tr>
      <w:tr w:rsidR="0015244F">
        <w:tblPrEx>
          <w:tblCellMar>
            <w:top w:w="0" w:type="dxa"/>
            <w:bottom w:w="0" w:type="dxa"/>
          </w:tblCellMar>
        </w:tblPrEx>
        <w:trPr>
          <w:tblHeader/>
        </w:trPr>
        <w:tc>
          <w:tcPr>
            <w:tcMar>
              <w:top w:w="60" w:type="dxa"/>
              <w:left w:w="100" w:type="dxa"/>
              <w:bottom w:w="60" w:type="dxa"/>
              <w:right w:w="100" w:type="dxa"/>
            </w:tcMar>
          </w:tcPr>
          <w:p>
            <w:r>
              <w:t>triggered by A6 instead of A3</w:t>
            </w:r>
          </w:p>
        </w:tc>
        <w:tc>
          <w:tcPr>
            <w:tcMar>
              <w:top w:w="60" w:type="dxa"/>
              <w:left w:w="100" w:type="dxa"/>
              <w:bottom w:w="60" w:type="dxa"/>
              <w:right w:w="100" w:type="dxa"/>
            </w:tcMar>
          </w:tcPr>
          <w:p>
            <w:r>
              <w:t>33</w:t>
            </w:r>
          </w:p>
        </w:tc>
        <w:tc>
          <w:tcPr>
            <w:tcMar>
              <w:top w:w="60" w:type="dxa"/>
              <w:left w:w="100" w:type="dxa"/>
              <w:bottom w:w="60" w:type="dxa"/>
              <w:right w:w="100" w:type="dxa"/>
            </w:tcMar>
          </w:tcPr>
          <w:p>
            <w:r>
              <w:t>3.4 %</w:t>
            </w:r>
          </w:p>
        </w:tc>
      </w:tr>
      <w:tr w:rsidR="0015244F">
        <w:tblPrEx>
          <w:tblCellMar>
            <w:top w:w="0" w:type="dxa"/>
            <w:bottom w:w="0" w:type="dxa"/>
          </w:tblCellMar>
        </w:tblPrEx>
        <w:trPr>
          <w:tblHeader/>
        </w:trPr>
        <w:tc>
          <w:tcPr>
            <w:tcMar>
              <w:top w:w="60" w:type="dxa"/>
              <w:left w:w="100" w:type="dxa"/>
              <w:bottom w:w="60" w:type="dxa"/>
              <w:right w:w="100" w:type="dxa"/>
            </w:tcMar>
          </w:tcPr>
          <w:p>
            <w:r>
              <w:t>triggered by none in 2 s instead of A3</w:t>
            </w:r>
          </w:p>
        </w:tc>
        <w:tc>
          <w:tcPr>
            <w:tcMar>
              <w:top w:w="60" w:type="dxa"/>
              <w:left w:w="100" w:type="dxa"/>
              <w:bottom w:w="60" w:type="dxa"/>
              <w:right w:w="100" w:type="dxa"/>
            </w:tcMar>
          </w:tcPr>
          <w:p>
            <w:r>
              <w:t>30</w:t>
            </w:r>
          </w:p>
        </w:tc>
        <w:tc>
          <w:tcPr>
            <w:tcMar>
              <w:top w:w="60" w:type="dxa"/>
              <w:left w:w="100" w:type="dxa"/>
              <w:bottom w:w="60" w:type="dxa"/>
              <w:right w:w="100" w:type="dxa"/>
            </w:tcMar>
          </w:tcPr>
          <w:p>
            <w:r>
              <w:t>3.1 %</w:t>
            </w:r>
          </w:p>
        </w:tc>
      </w:tr>
      <w:tr w:rsidR="0015244F">
        <w:tblPrEx>
          <w:tblCellMar>
            <w:top w:w="0" w:type="dxa"/>
            <w:bottom w:w="0" w:type="dxa"/>
          </w:tblCellMar>
        </w:tblPrEx>
        <w:trPr>
          <w:tblHeader/>
        </w:trPr>
        <w:tc>
          <w:tcPr>
            <w:tcMar>
              <w:top w:w="60" w:type="dxa"/>
              <w:left w:w="100" w:type="dxa"/>
              <w:bottom w:w="60" w:type="dxa"/>
              <w:right w:w="100" w:type="dxa"/>
            </w:tcMar>
          </w:tcPr>
          <w:p>
            <w:r>
              <w:t>all other non-A3 triggers (3 of them)</w:t>
            </w:r>
          </w:p>
        </w:tc>
        <w:tc>
          <w:tcPr>
            <w:tcMar>
              <w:top w:w="60" w:type="dxa"/>
              <w:left w:w="100" w:type="dxa"/>
              <w:bottom w:w="60" w:type="dxa"/>
              <w:right w:w="100" w:type="dxa"/>
            </w:tcMar>
          </w:tcPr>
          <w:p>
            <w:r>
              <w:t>47</w:t>
            </w:r>
          </w:p>
        </w:tc>
        <w:tc>
          <w:tcPr>
            <w:tcMar>
              <w:top w:w="60" w:type="dxa"/>
              <w:left w:w="100" w:type="dxa"/>
              <w:bottom w:w="60" w:type="dxa"/>
              <w:right w:w="100" w:type="dxa"/>
            </w:tcMar>
          </w:tcPr>
          <w:p>
            <w:r>
              <w:t>4.9 %</w:t>
            </w:r>
          </w:p>
        </w:tc>
      </w:tr>
      <w:tr w:rsidR="0015244F">
        <w:tblPrEx>
          <w:tblCellMar>
            <w:top w:w="0" w:type="dxa"/>
            <w:bottom w:w="0" w:type="dxa"/>
          </w:tblCellMar>
        </w:tblPrEx>
        <w:trPr>
          <w:tblHeader/>
        </w:trPr>
        <w:tc>
          <w:tcPr>
            <w:tcMar>
              <w:top w:w="60" w:type="dxa"/>
              <w:left w:w="100" w:type="dxa"/>
              <w:bottom w:w="60" w:type="dxa"/>
              <w:right w:w="100" w:type="dxa"/>
            </w:tcMar>
          </w:tcPr>
          <w:p>
            <w:r>
              <w:t>Total handover commands</w:t>
            </w:r>
          </w:p>
        </w:tc>
        <w:tc>
          <w:tcPr>
            <w:tcMar>
              <w:top w:w="60" w:type="dxa"/>
              <w:left w:w="100" w:type="dxa"/>
              <w:bottom w:w="60" w:type="dxa"/>
              <w:right w:w="100" w:type="dxa"/>
            </w:tcMar>
          </w:tcPr>
          <w:p>
            <w:r>
              <w:t>957</w:t>
            </w:r>
          </w:p>
        </w:tc>
        <w:tc>
          <w:tcPr>
            <w:tcMar>
              <w:top w:w="60" w:type="dxa"/>
              <w:left w:w="100" w:type="dxa"/>
              <w:bottom w:w="60" w:type="dxa"/>
              <w:right w:w="100" w:type="dxa"/>
            </w:tcMar>
          </w:tcPr>
          <w:p>
            <w:r>
              <w:t>100.0 %</w:t>
            </w:r>
          </w:p>
        </w:tc>
      </w:tr>
      <w:tr w:rsidR="0015244F">
        <w:tblPrEx>
          <w:tblCellMar>
            <w:top w:w="0" w:type="dxa"/>
            <w:bottom w:w="0" w:type="dxa"/>
          </w:tblCellMar>
        </w:tblPrEx>
        <w:trPr>
          <w:tblHeader/>
        </w:trPr>
        <w:tc>
          <w:tcPr>
            <w:tcMar>
              <w:top w:w="60" w:type="dxa"/>
              <w:left w:w="100" w:type="dxa"/>
              <w:bottom w:w="60" w:type="dxa"/>
              <w:right w:w="100" w:type="dxa"/>
            </w:tcMar>
          </w:tcPr>
          <w:p>
            <w:r>
              <w:t>of which A3-triggered, under a positive offset</w:t>
            </w:r>
          </w:p>
        </w:tc>
        <w:tc>
          <w:tcPr>
            <w:tcMar>
              <w:top w:w="60" w:type="dxa"/>
              <w:left w:w="100" w:type="dxa"/>
              <w:bottom w:w="60" w:type="dxa"/>
              <w:right w:w="100" w:type="dxa"/>
            </w:tcMar>
          </w:tcPr>
          <w:p>
            <w:r>
              <w:t>487 of 651 A3</w:t>
            </w:r>
          </w:p>
        </w:tc>
        <w:tc>
          <w:tcPr>
            <w:tcMar>
              <w:top w:w="60" w:type="dxa"/>
              <w:left w:w="100" w:type="dxa"/>
              <w:bottom w:w="60" w:type="dxa"/>
              <w:right w:w="100" w:type="dxa"/>
            </w:tcMar>
          </w:tcPr>
          <w:p>
            <w:r>
              <w:t>74.8 % of A3</w:t>
            </w:r>
          </w:p>
        </w:tc>
      </w:tr>
    </w:tbl>
    <w:p w:rsidR="0015244F" w:rsidRDefault="0015244F">
      <w:pPr>
        <w:spacing w:after="120" w:line="240" w:lineRule="auto"/>
      </w:pPr>
    </w:p>
    <w:p w:rsidR="0015244F" w:rsidRDefault="00A565B8">
      <w:pPr>
        <w:ind w:firstLine="567"/>
        <w:jc w:val="both"/>
      </w:pPr>
      <w:r>
        <w:t>Two features of Table 3.1 are worth comment, and the second corrects an earlier reading of the same data. First, the configuration set is stable across all four campaigns, which is what makes the leave-one-campaign-out experiment of Section 5.6 a test of corridor and speed rather than of configuration. Second, although negative offsets are present and are unusual against the +6 to +10 dB reported by Ghoshal et al. [4], they are not the offsets under which this network hands over: weighting by handovers, 75% of A3-triggered commands follow a report sent under the +1 dB profile with a 320 ms time-to-trigger and 1 dB hysteresis. The negative-offset configurations are re-reporting configurations — long report intervals, mostly unconverted episodes — and are better read as neighbour-monitoring than as a mobility trigger.</w:t>
      </w:r>
      <w:r/>
      <w:r>
        <w:rPr>
          <w:b/>
          <w:bCs/>
        </w:rPr>
      </w:r>
      <w:r/>
      <w:proofErr w:type="spellStart"/>
      <w:r/>
      <w:proofErr w:type="spellEnd"/>
      <w:r/>
      <w:r>
        <w:rPr>
          <w:i/>
          <w:iCs/>
        </w:rPr>
      </w:r>
      <w:r/>
      <w:r/>
      <w:proofErr w:type="spellStart"/>
      <w:r/>
      <w:proofErr w:type="spellEnd"/>
      <w:r/>
      <w:r/>
    </w:p>
    <w:p w:rsidR="0015244F" w:rsidRDefault="00A565B8">
      <w:pPr>
        <w:ind w:firstLine="567"/>
        <w:jc w:val="both"/>
      </w:pPr>
      <w:r>
        <w:t>The practical consequence for the prediction literature is therefore narrower than an earlier draft of this work claimed, and it is stated in its corrected form: a study that assumes a textbook +3 dB offset assumes the right sign on this network but the wrong magnitude, and a study that reads the configuration table without weighting by handovers can conclude the opposite of what the network does.</w:t>
      </w:r>
      <w:proofErr w:type="spellStart"/>
      <w:r/>
      <w:r/>
      <w:proofErr w:type="spellEnd"/>
      <w:r/>
      <w:r/>
      <w:proofErr w:type="spellStart"/>
      <w:r/>
      <w:proofErr w:type="spellEnd"/>
      <w:r/>
    </w:p>
    <w:p w:rsidR="0015244F" w:rsidRDefault="00A565B8">
      <w:pPr>
        <w:ind w:firstLine="567"/>
        <w:jc w:val="both"/>
      </w:pPr>
      <w:r>
        <w:t>Figure 3.3 makes the same point graphically: the profile that produces almost half of all handovers is not the profile whose entry condition is satisfied most often, so whether the gap condition holds is a weak indicator of whether a handover is imminent.</w:t>
      </w:r>
      <w:r/>
      <w:proofErr w:type="gramStart"/>
      <w:r/>
      <w:proofErr w:type="gramEnd"/>
      <w:r/>
      <w:r/>
    </w:p>
    <w:p w:rsidR="0015244F" w:rsidRDefault="00A565B8">
      <w:pPr>
        <w:keepNext/>
        <w:spacing w:before="240" w:after="120" w:line="240" w:lineRule="auto"/>
        <w:jc w:val="center"/>
      </w:pPr>
      <w:r>
        <w:rPr>
          <w:noProof/>
        </w:rPr>
        <w:drawing>
          <wp:inline distT="0" distB="0" distL="0" distR="0">
            <wp:extent cx="5762625" cy="22848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284856"/>
                    </a:xfrm>
                    <a:prstGeom prst="rect">
                      <a:avLst/>
                    </a:prstGeom>
                  </pic:spPr>
                </pic:pic>
              </a:graphicData>
            </a:graphic>
          </wp:inline>
        </w:drawing>
      </w:r>
    </w:p>
    <w:p w:rsidR="0015244F" w:rsidRDefault="00A565B8">
      <w:pPr>
        <w:pStyle w:val="FigureCaption"/>
        <w:spacing w:after="240" w:line="240" w:lineRule="auto"/>
        <w:jc w:val="center"/>
      </w:pPr>
      <w:r>
        <w:t>Figure 3.3 Handovers attributed to each configuration profile, weighted by the handovers each actually produced rather than by the number of configurations present. Blue bars are positive-offset A3 profiles, red bars negative-offset A3 profiles, grey bars other events.</w:t>
      </w:r>
    </w:p>
    <w:p w:rsidR="0015244F" w:rsidRDefault="00A565B8">
      <w:pPr>
        <w:pStyle w:val="Heading2"/>
        <w:spacing w:before="360" w:after="140"/>
      </w:pPr>
      <w:r>
        <w:t>3.6 The dataset</w:t>
      </w:r>
    </w:p>
    <w:p w:rsidR="0015244F" w:rsidRDefault="00A565B8">
      <w:pPr>
        <w:ind w:firstLine="567"/>
        <w:jc w:val="both"/>
      </w:pPr>
      <w:r>
        <w:t>Table 3</w:t>
      </w:r>
      <w:r>
        <w:t xml:space="preserve">.2 </w:t>
      </w:r>
      <w:proofErr w:type="spellStart"/>
      <w:r>
        <w:t>summarises</w:t>
      </w:r>
      <w:proofErr w:type="spellEnd"/>
      <w:r>
        <w:t xml:space="preserve"> the resulting dataset.</w:t>
      </w:r>
    </w:p>
    <w:p w:rsidR="0015244F" w:rsidRDefault="00A565B8">
      <w:pPr>
        <w:pStyle w:val="TableCaption"/>
        <w:spacing w:before="240" w:after="120" w:line="240" w:lineRule="auto"/>
        <w:jc w:val="center"/>
      </w:pPr>
      <w:r>
        <w:t>Table 3.2 The four measurement campaigns after quality control.</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Campaign (2026)</w:t>
            </w:r>
          </w:p>
        </w:tc>
        <w:tc>
          <w:tcPr>
            <w:tcMar>
              <w:top w:w="60" w:type="dxa"/>
              <w:left w:w="100" w:type="dxa"/>
              <w:bottom w:w="60" w:type="dxa"/>
              <w:right w:w="100" w:type="dxa"/>
            </w:tcMar>
          </w:tcPr>
          <w:p>
            <w:r>
              <w:t>Sessions</w:t>
            </w:r>
          </w:p>
        </w:tc>
        <w:tc>
          <w:tcPr>
            <w:tcMar>
              <w:top w:w="60" w:type="dxa"/>
              <w:left w:w="100" w:type="dxa"/>
              <w:bottom w:w="60" w:type="dxa"/>
              <w:right w:w="100" w:type="dxa"/>
            </w:tcMar>
          </w:tcPr>
          <w:p>
            <w:r>
              <w:t>180 s blocks</w:t>
            </w:r>
          </w:p>
        </w:tc>
        <w:tc>
          <w:tcPr>
            <w:tcMar>
              <w:top w:w="60" w:type="dxa"/>
              <w:left w:w="100" w:type="dxa"/>
              <w:bottom w:w="60" w:type="dxa"/>
              <w:right w:w="100" w:type="dxa"/>
            </w:tcMar>
          </w:tcPr>
          <w:p>
            <w:r>
              <w:t>Samples</w:t>
            </w:r>
          </w:p>
        </w:tc>
        <w:tc>
          <w:tcPr>
            <w:tcMar>
              <w:top w:w="60" w:type="dxa"/>
              <w:left w:w="100" w:type="dxa"/>
              <w:bottom w:w="60" w:type="dxa"/>
              <w:right w:w="100" w:type="dxa"/>
            </w:tcMar>
          </w:tcPr>
          <w:p>
            <w:r>
              <w:t>Usable rows</w:t>
            </w:r>
          </w:p>
        </w:tc>
        <w:tc>
          <w:tcPr>
            <w:tcMar>
              <w:top w:w="60" w:type="dxa"/>
              <w:left w:w="100" w:type="dxa"/>
              <w:bottom w:w="60" w:type="dxa"/>
              <w:right w:w="100" w:type="dxa"/>
            </w:tcMar>
          </w:tcPr>
          <w:p>
            <w:r>
              <w:t>Handover commands</w:t>
            </w:r>
          </w:p>
        </w:tc>
        <w:tc>
          <w:tcPr>
            <w:tcMar>
              <w:top w:w="60" w:type="dxa"/>
              <w:left w:w="100" w:type="dxa"/>
              <w:bottom w:w="60" w:type="dxa"/>
              <w:right w:w="100" w:type="dxa"/>
            </w:tcMar>
          </w:tcPr>
          <w:p>
            <w:r>
              <w:t>Re-establishments</w:t>
            </w:r>
          </w:p>
        </w:tc>
        <w:tc>
          <w:tcPr>
            <w:tcMar>
              <w:top w:w="60" w:type="dxa"/>
              <w:left w:w="100" w:type="dxa"/>
              <w:bottom w:w="60" w:type="dxa"/>
              <w:right w:w="100" w:type="dxa"/>
            </w:tcMar>
          </w:tcPr>
          <w:p>
            <w:r>
              <w:t>Duration</w:t>
            </w:r>
          </w:p>
        </w:tc>
        <w:tc>
          <w:tcPr>
            <w:tcMar>
              <w:top w:w="60" w:type="dxa"/>
              <w:left w:w="100" w:type="dxa"/>
              <w:bottom w:w="60" w:type="dxa"/>
              <w:right w:w="100" w:type="dxa"/>
            </w:tcMar>
          </w:tcPr>
          <w:p>
            <w:r>
              <w:t>Mean speed</w:t>
            </w:r>
          </w:p>
        </w:tc>
      </w:tr>
      <w:tr w:rsidR="0015244F">
        <w:tblPrEx>
          <w:tblCellMar>
            <w:top w:w="0" w:type="dxa"/>
            <w:bottom w:w="0" w:type="dxa"/>
          </w:tblCellMar>
        </w:tblPrEx>
        <w:trPr>
          <w:tblHeader/>
        </w:trPr>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1</w:t>
            </w:r>
          </w:p>
        </w:tc>
        <w:tc>
          <w:tcPr>
            <w:tcMar>
              <w:top w:w="60" w:type="dxa"/>
              <w:left w:w="100" w:type="dxa"/>
              <w:bottom w:w="60" w:type="dxa"/>
              <w:right w:w="100" w:type="dxa"/>
            </w:tcMar>
          </w:tcPr>
          <w:p>
            <w:r>
              <w:t>15</w:t>
            </w:r>
          </w:p>
        </w:tc>
        <w:tc>
          <w:tcPr>
            <w:tcMar>
              <w:top w:w="60" w:type="dxa"/>
              <w:left w:w="100" w:type="dxa"/>
              <w:bottom w:w="60" w:type="dxa"/>
              <w:right w:w="100" w:type="dxa"/>
            </w:tcMar>
          </w:tcPr>
          <w:p>
            <w:r>
              <w:t>2,700</w:t>
            </w:r>
          </w:p>
        </w:tc>
        <w:tc>
          <w:tcPr>
            <w:tcMar>
              <w:top w:w="60" w:type="dxa"/>
              <w:left w:w="100" w:type="dxa"/>
              <w:bottom w:w="60" w:type="dxa"/>
              <w:right w:w="100" w:type="dxa"/>
            </w:tcMar>
          </w:tcPr>
          <w:p>
            <w:r>
              <w:t>2,178</w:t>
            </w:r>
          </w:p>
        </w:tc>
        <w:tc>
          <w:tcPr>
            <w:tcMar>
              <w:top w:w="60" w:type="dxa"/>
              <w:left w:w="100" w:type="dxa"/>
              <w:bottom w:w="60" w:type="dxa"/>
              <w:right w:w="100" w:type="dxa"/>
            </w:tcMar>
          </w:tcPr>
          <w:p>
            <w:r>
              <w:t>307</w:t>
            </w:r>
          </w:p>
        </w:tc>
        <w:tc>
          <w:tcPr>
            <w:tcMar>
              <w:top w:w="60" w:type="dxa"/>
              <w:left w:w="100" w:type="dxa"/>
              <w:bottom w:w="60" w:type="dxa"/>
              <w:right w:w="100" w:type="dxa"/>
            </w:tcMar>
          </w:tcPr>
          <w:p>
            <w:r>
              <w:t>113</w:t>
            </w:r>
          </w:p>
        </w:tc>
        <w:tc>
          <w:tcPr>
            <w:tcMar>
              <w:top w:w="60" w:type="dxa"/>
              <w:left w:w="100" w:type="dxa"/>
              <w:bottom w:w="60" w:type="dxa"/>
              <w:right w:w="100" w:type="dxa"/>
            </w:tcMar>
          </w:tcPr>
          <w:p>
            <w:r>
              <w:t>45 min</w:t>
            </w:r>
          </w:p>
        </w:tc>
        <w:tc>
          <w:tcPr>
            <w:tcMar>
              <w:top w:w="60" w:type="dxa"/>
              <w:left w:w="100" w:type="dxa"/>
              <w:bottom w:w="60" w:type="dxa"/>
              <w:right w:w="100" w:type="dxa"/>
            </w:tcMar>
          </w:tcPr>
          <w:p>
            <w:r>
              <w:t>39.1 km/h</w:t>
            </w:r>
          </w:p>
        </w:tc>
      </w:tr>
      <w:tr w:rsidR="0015244F">
        <w:tblPrEx>
          <w:tblCellMar>
            <w:top w:w="0" w:type="dxa"/>
            <w:bottom w:w="0" w:type="dxa"/>
          </w:tblCellMar>
        </w:tblPrEx>
        <w:trPr>
          <w:tblHeader/>
        </w:trPr>
        <w:tc>
          <w:tcPr>
            <w:tcMar>
              <w:top w:w="60" w:type="dxa"/>
              <w:left w:w="100" w:type="dxa"/>
              <w:bottom w:w="60" w:type="dxa"/>
              <w:right w:w="100" w:type="dxa"/>
            </w:tcMar>
          </w:tcPr>
          <w:p>
            <w:r>
              <w:t>12 Sept (urban loop)</w:t>
            </w:r>
          </w:p>
        </w:tc>
        <w:tc>
          <w:tcPr>
            <w:tcMar>
              <w:top w:w="60" w:type="dxa"/>
              <w:left w:w="100" w:type="dxa"/>
              <w:bottom w:w="60" w:type="dxa"/>
              <w:right w:w="100" w:type="dxa"/>
            </w:tcMar>
          </w:tcPr>
          <w:p>
            <w:r>
              <w:t>1</w:t>
            </w:r>
          </w:p>
        </w:tc>
        <w:tc>
          <w:tcPr>
            <w:tcMar>
              <w:top w:w="60" w:type="dxa"/>
              <w:left w:w="100" w:type="dxa"/>
              <w:bottom w:w="60" w:type="dxa"/>
              <w:right w:w="100" w:type="dxa"/>
            </w:tcMar>
          </w:tcPr>
          <w:p>
            <w:r>
              <w:t>8</w:t>
            </w:r>
          </w:p>
        </w:tc>
        <w:tc>
          <w:tcPr>
            <w:tcMar>
              <w:top w:w="60" w:type="dxa"/>
              <w:left w:w="100" w:type="dxa"/>
              <w:bottom w:w="60" w:type="dxa"/>
              <w:right w:w="100" w:type="dxa"/>
            </w:tcMar>
          </w:tcPr>
          <w:p>
            <w:r>
              <w:t>1,440</w:t>
            </w:r>
          </w:p>
        </w:tc>
        <w:tc>
          <w:tcPr>
            <w:tcMar>
              <w:top w:w="60" w:type="dxa"/>
              <w:left w:w="100" w:type="dxa"/>
              <w:bottom w:w="60" w:type="dxa"/>
              <w:right w:w="100" w:type="dxa"/>
            </w:tcMar>
          </w:tcPr>
          <w:p>
            <w:r>
              <w:t>1,131</w:t>
            </w:r>
          </w:p>
        </w:tc>
        <w:tc>
          <w:tcPr>
            <w:tcMar>
              <w:top w:w="60" w:type="dxa"/>
              <w:left w:w="100" w:type="dxa"/>
              <w:bottom w:w="60" w:type="dxa"/>
              <w:right w:w="100" w:type="dxa"/>
            </w:tcMar>
          </w:tcPr>
          <w:p>
            <w:r>
              <w:t>176</w:t>
            </w:r>
          </w:p>
        </w:tc>
        <w:tc>
          <w:tcPr>
            <w:tcMar>
              <w:top w:w="60" w:type="dxa"/>
              <w:left w:w="100" w:type="dxa"/>
              <w:bottom w:w="60" w:type="dxa"/>
              <w:right w:w="100" w:type="dxa"/>
            </w:tcMar>
          </w:tcPr>
          <w:p>
            <w:r>
              <w:t>64</w:t>
            </w:r>
          </w:p>
        </w:tc>
        <w:tc>
          <w:tcPr>
            <w:tcMar>
              <w:top w:w="60" w:type="dxa"/>
              <w:left w:w="100" w:type="dxa"/>
              <w:bottom w:w="60" w:type="dxa"/>
              <w:right w:w="100" w:type="dxa"/>
            </w:tcMar>
          </w:tcPr>
          <w:p>
            <w:r>
              <w:t>24 min</w:t>
            </w:r>
          </w:p>
        </w:tc>
        <w:tc>
          <w:tcPr>
            <w:tcMar>
              <w:top w:w="60" w:type="dxa"/>
              <w:left w:w="100" w:type="dxa"/>
              <w:bottom w:w="60" w:type="dxa"/>
              <w:right w:w="100" w:type="dxa"/>
            </w:tcMar>
          </w:tcPr>
          <w:p>
            <w:r>
              <w:t>25.0 km/h</w:t>
            </w:r>
          </w:p>
        </w:tc>
      </w:tr>
      <w:tr w:rsidR="0015244F">
        <w:tblPrEx>
          <w:tblCellMar>
            <w:top w:w="0" w:type="dxa"/>
            <w:bottom w:w="0" w:type="dxa"/>
          </w:tblCellMar>
        </w:tblPrEx>
        <w:trPr>
          <w:tblHeader/>
        </w:trPr>
        <w:tc>
          <w:tcPr>
            <w:tcMar>
              <w:top w:w="60" w:type="dxa"/>
              <w:left w:w="100" w:type="dxa"/>
              <w:bottom w:w="60" w:type="dxa"/>
              <w:right w:w="100" w:type="dxa"/>
            </w:tcMar>
          </w:tcPr>
          <w:p>
            <w:r>
              <w:t>13 Sept (dense urban)</w:t>
            </w:r>
          </w:p>
        </w:tc>
        <w:tc>
          <w:tcPr>
            <w:tcMar>
              <w:top w:w="60" w:type="dxa"/>
              <w:left w:w="100" w:type="dxa"/>
              <w:bottom w:w="60" w:type="dxa"/>
              <w:right w:w="100" w:type="dxa"/>
            </w:tcMar>
          </w:tcPr>
          <w:p>
            <w:r>
              <w:t>1</w:t>
            </w:r>
          </w:p>
        </w:tc>
        <w:tc>
          <w:tcPr>
            <w:tcMar>
              <w:top w:w="60" w:type="dxa"/>
              <w:left w:w="100" w:type="dxa"/>
              <w:bottom w:w="60" w:type="dxa"/>
              <w:right w:w="100" w:type="dxa"/>
            </w:tcMar>
          </w:tcPr>
          <w:p>
            <w:r>
              <w:t>20</w:t>
            </w:r>
          </w:p>
        </w:tc>
        <w:tc>
          <w:tcPr>
            <w:tcMar>
              <w:top w:w="60" w:type="dxa"/>
              <w:left w:w="100" w:type="dxa"/>
              <w:bottom w:w="60" w:type="dxa"/>
              <w:right w:w="100" w:type="dxa"/>
            </w:tcMar>
          </w:tcPr>
          <w:p>
            <w:r>
              <w:t>3,600</w:t>
            </w:r>
          </w:p>
        </w:tc>
        <w:tc>
          <w:tcPr>
            <w:tcMar>
              <w:top w:w="60" w:type="dxa"/>
              <w:left w:w="100" w:type="dxa"/>
              <w:bottom w:w="60" w:type="dxa"/>
              <w:right w:w="100" w:type="dxa"/>
            </w:tcMar>
          </w:tcPr>
          <w:p>
            <w:r>
              <w:t>3,072</w:t>
            </w:r>
          </w:p>
        </w:tc>
        <w:tc>
          <w:tcPr>
            <w:tcMar>
              <w:top w:w="60" w:type="dxa"/>
              <w:left w:w="100" w:type="dxa"/>
              <w:bottom w:w="60" w:type="dxa"/>
              <w:right w:w="100" w:type="dxa"/>
            </w:tcMar>
          </w:tcPr>
          <w:p>
            <w:r>
              <w:t>297</w:t>
            </w:r>
          </w:p>
        </w:tc>
        <w:tc>
          <w:tcPr>
            <w:tcMar>
              <w:top w:w="60" w:type="dxa"/>
              <w:left w:w="100" w:type="dxa"/>
              <w:bottom w:w="60" w:type="dxa"/>
              <w:right w:w="100" w:type="dxa"/>
            </w:tcMar>
          </w:tcPr>
          <w:p>
            <w:r>
              <w:t>159</w:t>
            </w:r>
          </w:p>
        </w:tc>
        <w:tc>
          <w:tcPr>
            <w:tcMar>
              <w:top w:w="60" w:type="dxa"/>
              <w:left w:w="100" w:type="dxa"/>
              <w:bottom w:w="60" w:type="dxa"/>
              <w:right w:w="100" w:type="dxa"/>
            </w:tcMar>
          </w:tcPr>
          <w:p>
            <w:r>
              <w:t>60 min</w:t>
            </w:r>
          </w:p>
        </w:tc>
        <w:tc>
          <w:tcPr>
            <w:tcMar>
              <w:top w:w="60" w:type="dxa"/>
              <w:left w:w="100" w:type="dxa"/>
              <w:bottom w:w="60" w:type="dxa"/>
              <w:right w:w="100" w:type="dxa"/>
            </w:tcMar>
          </w:tcPr>
          <w:p>
            <w:r>
              <w:t>21.4 km/h</w:t>
            </w:r>
          </w:p>
        </w:tc>
      </w:tr>
      <w:tr w:rsidR="0015244F">
        <w:tblPrEx>
          <w:tblCellMar>
            <w:top w:w="0" w:type="dxa"/>
            <w:bottom w:w="0" w:type="dxa"/>
          </w:tblCellMar>
        </w:tblPrEx>
        <w:trPr>
          <w:tblHeader/>
        </w:trPr>
        <w:tc>
          <w:tcPr>
            <w:tcMar>
              <w:top w:w="60" w:type="dxa"/>
              <w:left w:w="100" w:type="dxa"/>
              <w:bottom w:w="60" w:type="dxa"/>
              <w:right w:w="100" w:type="dxa"/>
            </w:tcMar>
          </w:tcPr>
          <w:p>
            <w:r>
              <w:t>15 Sept (highway)</w:t>
            </w:r>
          </w:p>
        </w:tc>
        <w:tc>
          <w:tcPr>
            <w:tcMar>
              <w:top w:w="60" w:type="dxa"/>
              <w:left w:w="100" w:type="dxa"/>
              <w:bottom w:w="60" w:type="dxa"/>
              <w:right w:w="100" w:type="dxa"/>
            </w:tcMar>
          </w:tcPr>
          <w:p>
            <w:r>
              <w:t>1</w:t>
            </w:r>
          </w:p>
        </w:tc>
        <w:tc>
          <w:tcPr>
            <w:tcMar>
              <w:top w:w="60" w:type="dxa"/>
              <w:left w:w="100" w:type="dxa"/>
              <w:bottom w:w="60" w:type="dxa"/>
              <w:right w:w="100" w:type="dxa"/>
            </w:tcMar>
          </w:tcPr>
          <w:p>
            <w:r>
              <w:t>14</w:t>
            </w:r>
          </w:p>
        </w:tc>
        <w:tc>
          <w:tcPr>
            <w:tcMar>
              <w:top w:w="60" w:type="dxa"/>
              <w:left w:w="100" w:type="dxa"/>
              <w:bottom w:w="60" w:type="dxa"/>
              <w:right w:w="100" w:type="dxa"/>
            </w:tcMar>
          </w:tcPr>
          <w:p>
            <w:r>
              <w:t>2,520</w:t>
            </w:r>
          </w:p>
        </w:tc>
        <w:tc>
          <w:tcPr>
            <w:tcMar>
              <w:top w:w="60" w:type="dxa"/>
              <w:left w:w="100" w:type="dxa"/>
              <w:bottom w:w="60" w:type="dxa"/>
              <w:right w:w="100" w:type="dxa"/>
            </w:tcMar>
          </w:tcPr>
          <w:p>
            <w:r>
              <w:t>2,205</w:t>
            </w:r>
          </w:p>
        </w:tc>
        <w:tc>
          <w:tcPr>
            <w:tcMar>
              <w:top w:w="60" w:type="dxa"/>
              <w:left w:w="100" w:type="dxa"/>
              <w:bottom w:w="60" w:type="dxa"/>
              <w:right w:w="100" w:type="dxa"/>
            </w:tcMar>
          </w:tcPr>
          <w:p>
            <w:r>
              <w:t>177</w:t>
            </w:r>
          </w:p>
        </w:tc>
        <w:tc>
          <w:tcPr>
            <w:tcMar>
              <w:top w:w="60" w:type="dxa"/>
              <w:left w:w="100" w:type="dxa"/>
              <w:bottom w:w="60" w:type="dxa"/>
              <w:right w:w="100" w:type="dxa"/>
            </w:tcMar>
          </w:tcPr>
          <w:p>
            <w:r>
              <w:t>5</w:t>
            </w:r>
          </w:p>
        </w:tc>
        <w:tc>
          <w:tcPr>
            <w:tcMar>
              <w:top w:w="60" w:type="dxa"/>
              <w:left w:w="100" w:type="dxa"/>
              <w:bottom w:w="60" w:type="dxa"/>
              <w:right w:w="100" w:type="dxa"/>
            </w:tcMar>
          </w:tcPr>
          <w:p>
            <w:r>
              <w:t>42 min</w:t>
            </w:r>
          </w:p>
        </w:tc>
        <w:tc>
          <w:tcPr>
            <w:tcMar>
              <w:top w:w="60" w:type="dxa"/>
              <w:left w:w="100" w:type="dxa"/>
              <w:bottom w:w="60" w:type="dxa"/>
              <w:right w:w="100" w:type="dxa"/>
            </w:tcMar>
          </w:tcPr>
          <w:p>
            <w:r>
              <w:t>50.9 km/h</w:t>
            </w:r>
          </w:p>
        </w:tc>
      </w:tr>
      <w:tr w:rsidR="0015244F">
        <w:tblPrEx>
          <w:tblCellMar>
            <w:top w:w="0" w:type="dxa"/>
            <w:bottom w:w="0" w:type="dxa"/>
          </w:tblCellMar>
        </w:tblPrEx>
        <w:trPr>
          <w:tblHeader/>
        </w:trPr>
        <w:tc>
          <w:tcPr>
            <w:tcMar>
              <w:top w:w="60" w:type="dxa"/>
              <w:left w:w="100" w:type="dxa"/>
              <w:bottom w:w="60" w:type="dxa"/>
              <w:right w:w="100" w:type="dxa"/>
            </w:tcMar>
          </w:tcPr>
          <w:p>
            <w:r>
              <w:t>Pooled</w:t>
            </w:r>
          </w:p>
        </w:tc>
        <w:tc>
          <w:tcPr>
            <w:tcMar>
              <w:top w:w="60" w:type="dxa"/>
              <w:left w:w="100" w:type="dxa"/>
              <w:bottom w:w="60" w:type="dxa"/>
              <w:right w:w="100" w:type="dxa"/>
            </w:tcMar>
          </w:tcPr>
          <w:p>
            <w:r>
              <w:t>4</w:t>
            </w:r>
          </w:p>
        </w:tc>
        <w:tc>
          <w:tcPr>
            <w:tcMar>
              <w:top w:w="60" w:type="dxa"/>
              <w:left w:w="100" w:type="dxa"/>
              <w:bottom w:w="60" w:type="dxa"/>
              <w:right w:w="100" w:type="dxa"/>
            </w:tcMar>
          </w:tcPr>
          <w:p>
            <w:r>
              <w:t>57</w:t>
            </w:r>
          </w:p>
        </w:tc>
        <w:tc>
          <w:tcPr>
            <w:tcMar>
              <w:top w:w="60" w:type="dxa"/>
              <w:left w:w="100" w:type="dxa"/>
              <w:bottom w:w="60" w:type="dxa"/>
              <w:right w:w="100" w:type="dxa"/>
            </w:tcMar>
          </w:tcPr>
          <w:p>
            <w:r>
              <w:t>10,260</w:t>
            </w:r>
          </w:p>
        </w:tc>
        <w:tc>
          <w:tcPr>
            <w:tcMar>
              <w:top w:w="60" w:type="dxa"/>
              <w:left w:w="100" w:type="dxa"/>
              <w:bottom w:w="60" w:type="dxa"/>
              <w:right w:w="100" w:type="dxa"/>
            </w:tcMar>
          </w:tcPr>
          <w:p>
            <w:r>
              <w:t>8,586</w:t>
            </w:r>
          </w:p>
        </w:tc>
        <w:tc>
          <w:tcPr>
            <w:tcMar>
              <w:top w:w="60" w:type="dxa"/>
              <w:left w:w="100" w:type="dxa"/>
              <w:bottom w:w="60" w:type="dxa"/>
              <w:right w:w="100" w:type="dxa"/>
            </w:tcMar>
          </w:tcPr>
          <w:p>
            <w:r>
              <w:t>957</w:t>
            </w:r>
          </w:p>
        </w:tc>
        <w:tc>
          <w:tcPr>
            <w:tcMar>
              <w:top w:w="60" w:type="dxa"/>
              <w:left w:w="100" w:type="dxa"/>
              <w:bottom w:w="60" w:type="dxa"/>
              <w:right w:w="100" w:type="dxa"/>
            </w:tcMar>
          </w:tcPr>
          <w:p>
            <w:r>
              <w:t>341</w:t>
            </w:r>
          </w:p>
        </w:tc>
        <w:tc>
          <w:tcPr>
            <w:tcMar>
              <w:top w:w="60" w:type="dxa"/>
              <w:left w:w="100" w:type="dxa"/>
              <w:bottom w:w="60" w:type="dxa"/>
              <w:right w:w="100" w:type="dxa"/>
            </w:tcMar>
          </w:tcPr>
          <w:p>
            <w:r>
              <w:t>2.9 h</w:t>
            </w:r>
          </w:p>
        </w:tc>
        <w:tc>
          <w:tcPr>
            <w:tcMar>
              <w:top w:w="60" w:type="dxa"/>
              <w:left w:w="100" w:type="dxa"/>
              <w:bottom w:w="60" w:type="dxa"/>
              <w:right w:w="100" w:type="dxa"/>
            </w:tcMar>
          </w:tcPr>
          <w:p>
            <w:r>
              <w:t>—</w:t>
            </w:r>
          </w:p>
        </w:tc>
      </w:tr>
    </w:tbl>
    <w:p w:rsidR="0015244F" w:rsidRDefault="00A565B8">
      <w:pPr>
        <w:pStyle w:val="TableCaption"/>
        <w:spacing w:before="240" w:after="120" w:line="240" w:lineRule="auto"/>
        <w:jc w:val="center"/>
      </w:pPr>
      <w:r>
        <w:t>Table 3.3 Ground-truth integrity. Every handover command in the event set carries a decoded RRCConnectionReconfigurationComplete, so the label is a completed handover and not merely an issued command; the re-establishments recorded alongside are largely not consequent on it.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gridCol/>
        <w:gridCol/>
      </w:tblGrid>
      <w:tr>
        <w:tc>
          <w:tcPr/>
          <w:p>
            <w:r>
              <w:t>Campaign</w:t>
            </w:r>
          </w:p>
        </w:tc>
        <w:tc>
          <w:tcPr/>
          <w:p>
            <w:r>
              <w:t>Commands</w:t>
            </w:r>
          </w:p>
        </w:tc>
        <w:tc>
          <w:tcPr/>
          <w:p>
            <w:r>
              <w:t>With a decoded Complete</w:t>
            </w:r>
          </w:p>
        </w:tc>
        <w:tc>
          <w:tcPr/>
          <w:p>
            <w:r>
              <w:t>Median interruption</w:t>
            </w:r>
          </w:p>
        </w:tc>
        <w:tc>
          <w:tcPr/>
          <w:p>
            <w:r>
              <w:t>Re-establishments</w:t>
            </w:r>
          </w:p>
        </w:tc>
        <w:tc>
          <w:tcPr/>
          <w:p>
            <w:r>
              <w:t>Commands followed by one within 5 s</w:t>
            </w:r>
          </w:p>
        </w:tc>
        <w:tc>
          <w:tcPr/>
          <w:p>
            <w:r>
              <w:t>Re-establishments within 2 s of a command</w:t>
            </w:r>
          </w:p>
        </w:tc>
      </w:tr>
      <w:tr>
        <w:tc>
          <w:tcPr/>
          <w:p>
            <w:r>
              <w:t>10 Sept (urban arterial)</w:t>
            </w:r>
          </w:p>
        </w:tc>
        <w:tc>
          <w:tcPr/>
          <w:p>
            <w:r>
              <w:t>307</w:t>
            </w:r>
          </w:p>
        </w:tc>
        <w:tc>
          <w:tcPr/>
          <w:p>
            <w:r>
              <w:t>307 (100%)</w:t>
            </w:r>
          </w:p>
        </w:tc>
        <w:tc>
          <w:tcPr/>
          <w:p>
            <w:r>
              <w:t>1 ms</w:t>
            </w:r>
          </w:p>
        </w:tc>
        <w:tc>
          <w:tcPr/>
          <w:p>
            <w:r>
              <w:t>113</w:t>
            </w:r>
          </w:p>
        </w:tc>
        <w:tc>
          <w:tcPr/>
          <w:p>
            <w:r>
              <w:t>19</w:t>
            </w:r>
          </w:p>
        </w:tc>
        <w:tc>
          <w:tcPr/>
          <w:p>
            <w:r>
              <w:t>30</w:t>
            </w:r>
          </w:p>
        </w:tc>
      </w:tr>
      <w:tr>
        <w:tc>
          <w:tcPr/>
          <w:p>
            <w:r>
              <w:t>12 Sept (urban loop)</w:t>
            </w:r>
          </w:p>
        </w:tc>
        <w:tc>
          <w:tcPr/>
          <w:p>
            <w:r>
              <w:t>176</w:t>
            </w:r>
          </w:p>
        </w:tc>
        <w:tc>
          <w:tcPr/>
          <w:p>
            <w:r>
              <w:t>176 (100%)</w:t>
            </w:r>
          </w:p>
        </w:tc>
        <w:tc>
          <w:tcPr/>
          <w:p>
            <w:r>
              <w:t>0 ms</w:t>
            </w:r>
          </w:p>
        </w:tc>
        <w:tc>
          <w:tcPr/>
          <w:p>
            <w:r>
              <w:t>64</w:t>
            </w:r>
          </w:p>
        </w:tc>
        <w:tc>
          <w:tcPr/>
          <w:p>
            <w:r>
              <w:t>8</w:t>
            </w:r>
          </w:p>
        </w:tc>
        <w:tc>
          <w:tcPr/>
          <w:p>
            <w:r>
              <w:t>12</w:t>
            </w:r>
          </w:p>
        </w:tc>
      </w:tr>
      <w:tr>
        <w:tc>
          <w:tcPr/>
          <w:p>
            <w:r>
              <w:t>13 Sept (dense urban)</w:t>
            </w:r>
          </w:p>
        </w:tc>
        <w:tc>
          <w:tcPr/>
          <w:p>
            <w:r>
              <w:t>297</w:t>
            </w:r>
          </w:p>
        </w:tc>
        <w:tc>
          <w:tcPr/>
          <w:p>
            <w:r>
              <w:t>297 (100%)</w:t>
            </w:r>
          </w:p>
        </w:tc>
        <w:tc>
          <w:tcPr/>
          <w:p>
            <w:r>
              <w:t>1 ms</w:t>
            </w:r>
          </w:p>
        </w:tc>
        <w:tc>
          <w:tcPr/>
          <w:p>
            <w:r>
              <w:t>159</w:t>
            </w:r>
          </w:p>
        </w:tc>
        <w:tc>
          <w:tcPr/>
          <w:p>
            <w:r>
              <w:t>5</w:t>
            </w:r>
          </w:p>
        </w:tc>
        <w:tc>
          <w:tcPr/>
          <w:p>
            <w:r>
              <w:t>13</w:t>
            </w:r>
          </w:p>
        </w:tc>
      </w:tr>
      <w:tr>
        <w:tc>
          <w:tcPr/>
          <w:p>
            <w:r>
              <w:t>15 Sept (highway)</w:t>
            </w:r>
          </w:p>
        </w:tc>
        <w:tc>
          <w:tcPr/>
          <w:p>
            <w:r>
              <w:t>177</w:t>
            </w:r>
          </w:p>
        </w:tc>
        <w:tc>
          <w:tcPr/>
          <w:p>
            <w:r>
              <w:t>177 (100%)</w:t>
            </w:r>
          </w:p>
        </w:tc>
        <w:tc>
          <w:tcPr/>
          <w:p>
            <w:r>
              <w:t>1 ms</w:t>
            </w:r>
          </w:p>
        </w:tc>
        <w:tc>
          <w:tcPr/>
          <w:p>
            <w:r>
              <w:t>5</w:t>
            </w:r>
          </w:p>
        </w:tc>
        <w:tc>
          <w:tcPr/>
          <w:p>
            <w:r>
              <w:t>4</w:t>
            </w:r>
          </w:p>
        </w:tc>
        <w:tc>
          <w:tcPr/>
          <w:p>
            <w:r>
              <w:t>0</w:t>
            </w:r>
          </w:p>
        </w:tc>
      </w:tr>
      <w:tr>
        <w:tc>
          <w:tcPr/>
          <w:p>
            <w:r>
              <w:t>pooled</w:t>
            </w:r>
          </w:p>
        </w:tc>
        <w:tc>
          <w:tcPr/>
          <w:p>
            <w:r>
              <w:t>957</w:t>
            </w:r>
          </w:p>
        </w:tc>
        <w:tc>
          <w:tcPr/>
          <w:p>
            <w:r>
              <w:t>957 (100%)</w:t>
            </w:r>
          </w:p>
        </w:tc>
        <w:tc>
          <w:tcPr/>
          <w:p>
            <w:r>
              <w:t>1 ms</w:t>
            </w:r>
          </w:p>
        </w:tc>
        <w:tc>
          <w:tcPr/>
          <w:p>
            <w:r>
              <w:t>341</w:t>
            </w:r>
          </w:p>
        </w:tc>
        <w:tc>
          <w:tcPr/>
          <w:p>
            <w:r>
              <w:t>36</w:t>
            </w:r>
          </w:p>
        </w:tc>
        <w:tc>
          <w:tcPr/>
          <w:p>
            <w:r>
              <w:t>55</w:t>
            </w:r>
          </w:p>
        </w:tc>
      </w:tr>
    </w:tbl>
    <w:p w:rsidR="0015244F" w:rsidRDefault="0015244F">
      <w:pPr>
        <w:spacing w:after="120" w:line="240" w:lineRule="auto"/>
      </w:pPr>
    </w:p>
    <w:p w:rsidR="0015244F" w:rsidRDefault="00A565B8">
      <w:pPr>
        <w:ind w:firstLine="567"/>
        <w:jc w:val="both"/>
      </w:pPr>
      <w:r>
        <w:t>The pooled dataset covers approximately 78 km of driving. A handover command is issued on average once every 11 seconds, with a median inter-command gap of 3.7 seconds. Alongside the 957 commands, the signalling log records 341 RRC connection re-establishment procedures. Their causes matter and were decoded: 321 carry reconfigurationFailure, 17 otherFailure and 3 handoverFailure, and the median re-establishment occurs 8 seconds after the previous handover command. These are predominantly failures to apply a reconfiguration rather than radio link failures during mobility, and they are treated as a competing event in Section 5.8 rather than as a motivating statistic.</w:t>
      </w:r>
      <w:proofErr w:type="spellStart"/>
      <w:r/>
      <w:proofErr w:type="spellEnd"/>
      <w:r/>
      <w:proofErr w:type="spellStart"/>
      <w:r/>
      <w:r/>
      <w:proofErr w:type="spellEnd"/>
      <w:r/>
      <w:r/>
    </w:p>
    <w:p w:rsidR="0015244F" w:rsidRDefault="00A565B8">
      <w:pPr>
        <w:keepNext/>
        <w:spacing w:before="240" w:after="120" w:line="240" w:lineRule="auto"/>
        <w:jc w:val="center"/>
      </w:pPr>
      <w:r>
        <w:rPr>
          <w:noProof/>
        </w:rPr>
        <w:drawing>
          <wp:inline distT="0" distB="0" distL="0" distR="0">
            <wp:extent cx="5762625" cy="2457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457450"/>
                    </a:xfrm>
                    <a:prstGeom prst="rect">
                      <a:avLst/>
                    </a:prstGeom>
                  </pic:spPr>
                </pic:pic>
              </a:graphicData>
            </a:graphic>
          </wp:inline>
        </w:drawing>
      </w:r>
    </w:p>
    <w:p w:rsidR="0015244F" w:rsidRDefault="00A565B8">
      <w:pPr>
        <w:pStyle w:val="FigureCaption"/>
        <w:spacing w:after="240" w:line="240" w:lineRule="auto"/>
        <w:jc w:val="center"/>
      </w:pPr>
      <w:r>
        <w:t>A rate of one re-establishment per three handover commands invites the question whether the commands themselves succeeded, since a label that means only a command was issued would make every event-level figure in this thesis uncertain. They did. Every one of the 957 commands in the event set carries a decoded RRCConnectionReconfigurationComplete (100%), which is what defines the set; only 36 commands are followed by a re-establishment within five seconds, and only 55 of the 341 re-establishments fall within two seconds after a command. The re-establishments are therefore concurrent with the measurement campaign rather than consequent on the handovers it records, which is what the cause breakdown already implied and what this check establishes. Table 3.3 reports the completion rate per campaign. Figure 3.4 shows the distribution of samples and events across the campaigns.</w:t>
      </w:r>
    </w:p>
    <w:p w:rsidR="0015244F" w:rsidRDefault="00A565B8">
      <w:pPr>
        <w:ind w:firstLine="567"/>
        <w:jc w:val="both"/>
      </w:pPr>
      <w:r>
        <w:t>Three properties of this dataset bound what can be claimed from it, and they are stated here rather than in the conclusion.</w:t>
      </w:r>
    </w:p>
    <w:p w:rsidR="0015244F" w:rsidRDefault="00A565B8">
      <w:pPr>
        <w:ind w:firstLine="567"/>
        <w:jc w:val="both"/>
      </w:pPr>
      <w:r>
        <w:t>The dataset is small by machine-learning standards and ordinary by drive-test standards. Four campaigns give four independent units; the 57 blocks into which they are cut are not independent, and Section 5.3 measures the difference. Four units is enough to hold one out at a time and to see whether a result survives, and too few for any paired test over units to reach a small p-value: with four paired observations the smallest attainable two-sided sign-test p-value is 0.125, and this thesis reports effect sizes and per-campaign spreads rather than significance claims.</w:t>
      </w:r>
      <w:r>
        <w:rPr>
          <w:b/>
          <w:bCs/>
        </w:rPr>
      </w:r>
      <w:r/>
      <w:r/>
      <w:r/>
    </w:p>
    <w:p w:rsidR="0015244F" w:rsidRDefault="00A565B8">
      <w:pPr>
        <w:ind w:firstLine="567"/>
        <w:jc w:val="both"/>
      </w:pPr>
      <w:r>
        <w:t>The sampling rate caps event resolution and, more importantly, fixes the information cut-off. At one sample per second the earliest usable evidence for a handover at time tau is the row closing at or before the prediction instant; Section 5.1 shows what happens when that is not enforced. The fraction of events that have at least one usable row inside the one-second window before them is 64.6%, and event-level detection figures are reported against that ceiling rather than against 100 %.</w:t>
      </w:r>
      <w:r>
        <w:rPr>
          <w:b/>
          <w:bCs/>
        </w:rPr>
      </w:r>
      <w:r>
        <w:rPr>
          <w:b/>
          <w:bCs/>
        </w:rPr>
      </w:r>
      <w:r/>
      <w:r/>
    </w:p>
    <w:p w:rsidR="0015244F" w:rsidRDefault="00A565B8">
      <w:pPr>
        <w:ind w:firstLine="567"/>
        <w:jc w:val="both"/>
      </w:pPr>
      <w:r>
        <w:t>The dataset covers one operator and four days. The configuration in Table 3.1 is one operator's configuration, and the independent collection used in Section 5.7 is on the same operator, same city and same instrument, so it tests collection and route rather than network.</w:t>
      </w:r>
      <w:r>
        <w:rPr>
          <w:b/>
          <w:bCs/>
        </w:rPr>
      </w:r>
      <w:r/>
      <w:r/>
      <w:proofErr w:type="spellStart"/>
      <w:r/>
      <w:proofErr w:type="spellEnd"/>
      <w:r/>
    </w:p>
    <w:p w:rsidR="0015244F" w:rsidRDefault="00A565B8">
      <w:pPr>
        <w:pageBreakBefore/>
        <w:jc w:val="center"/>
      </w:pPr>
      <w:r>
        <w:rPr>
          <w:b/>
          <w:bCs/>
          <w:sz w:val="40"/>
          <w:szCs w:val="40"/>
        </w:rPr>
        <w:lastRenderedPageBreak/>
        <w:t>CHAPTER 4</w:t>
      </w:r>
    </w:p>
    <w:p w:rsidR="0015244F" w:rsidRDefault="0015244F"/>
    <w:p w:rsidR="0015244F" w:rsidRDefault="00A565B8">
      <w:pPr>
        <w:pStyle w:val="Heading1"/>
        <w:jc w:val="center"/>
      </w:pPr>
      <w:r>
        <w:t>PREDICTIVE FORMULATION AND SYSTEM DESIGN</w:t>
      </w:r>
    </w:p>
    <w:p w:rsidR="0015244F" w:rsidRDefault="0015244F"/>
    <w:p w:rsidR="0015244F" w:rsidRDefault="0015244F"/>
    <w:p w:rsidR="0015244F" w:rsidRDefault="00A565B8">
      <w:pPr>
        <w:ind w:firstLine="567"/>
        <w:jc w:val="both"/>
      </w:pPr>
      <w:r>
        <w:t xml:space="preserve">This chapter develops the predictive system. Section 4.1 </w:t>
      </w:r>
      <w:proofErr w:type="spellStart"/>
      <w:r>
        <w:t>formalises</w:t>
      </w:r>
      <w:proofErr w:type="spellEnd"/>
      <w:r>
        <w:t xml:space="preserve"> the task and fixes notation. Section 4.2 presents the obvious formulation, the independent multi-horizon classifier, and shows why it is structurally defective. Section 4.3 presents the di</w:t>
      </w:r>
      <w:r>
        <w:t xml:space="preserve">screte-time survival formulation adopted in its place, and Section 4.4 gives its likelihood under censoring. Section 4.5 explains why class reweighting, the standard reflex on a rare-event task, is inadmissible under this formulation. Sections 4.6 and 4.7 </w:t>
      </w:r>
      <w:r>
        <w:t xml:space="preserve">describe the features and the models. Section 4.8 describes calibration, Section 4.9 the evaluation protocol, Section 4.10 the risk-control procedure, and Section 4.11 the point-process analysis used to </w:t>
      </w:r>
      <w:proofErr w:type="spellStart"/>
      <w:r>
        <w:t>characterise</w:t>
      </w:r>
      <w:proofErr w:type="spellEnd"/>
      <w:r>
        <w:t xml:space="preserve"> handover clustering.</w:t>
      </w:r>
    </w:p>
    <w:p w:rsidR="0015244F" w:rsidRDefault="00A565B8">
      <w:pPr>
        <w:ind w:firstLine="567"/>
        <w:jc w:val="both"/>
      </w:pPr>
      <w:r>
        <w:t>Each modelling subs</w:t>
      </w:r>
      <w:r>
        <w:t>ection is presented in the same order: the problem that motivates the component, the design of the component, and the technical advantage it confers over the alternative it replaces.</w:t>
      </w:r>
    </w:p>
    <w:p w:rsidR="0015244F" w:rsidRDefault="00A565B8">
      <w:pPr>
        <w:pStyle w:val="Heading2"/>
        <w:spacing w:before="360" w:after="140"/>
      </w:pPr>
      <w:r>
        <w:t xml:space="preserve">4.1 Problem </w:t>
      </w:r>
      <w:proofErr w:type="spellStart"/>
      <w:r>
        <w:t>formalisation</w:t>
      </w:r>
      <w:proofErr w:type="spellEnd"/>
    </w:p>
    <w:p w:rsidR="0015244F" w:rsidRDefault="00A565B8">
      <w:pPr>
        <w:ind w:firstLine="567"/>
        <w:jc w:val="both"/>
      </w:pPr>
      <w:r>
        <w:t xml:space="preserve">Let a drive </w:t>
      </w:r>
      <w:r>
        <w:rPr>
          <w:i/>
          <w:iCs/>
        </w:rPr>
        <w:t>d</w:t>
      </w:r>
      <w:r>
        <w:t xml:space="preserve"> consist of samples indexed by </w:t>
      </w:r>
      <w:r>
        <w:rPr>
          <w:i/>
          <w:iCs/>
        </w:rPr>
        <w:t>t</w:t>
      </w:r>
      <w:r>
        <w:t xml:space="preserve"> o</w:t>
      </w:r>
      <w:r>
        <w:t xml:space="preserve">n a uniform one-second grid. At each sample the handset observes a feature vector </w:t>
      </w:r>
      <w:proofErr w:type="spellStart"/>
      <w:r>
        <w:rPr>
          <w:i/>
          <w:iCs/>
        </w:rPr>
        <w:t>x</w:t>
      </w:r>
      <w:r>
        <w:rPr>
          <w:vertAlign w:val="subscript"/>
        </w:rPr>
        <w:t>t</w:t>
      </w:r>
      <w:proofErr w:type="spellEnd"/>
      <w:r>
        <w:t xml:space="preserve"> constructed from measurements available at or before </w:t>
      </w:r>
      <w:r>
        <w:rPr>
          <w:i/>
          <w:iCs/>
        </w:rPr>
        <w:t>t</w:t>
      </w:r>
      <w:r>
        <w:t xml:space="preserve">. Let </w:t>
      </w:r>
      <w:r>
        <w:rPr>
          <w:i/>
          <w:iCs/>
        </w:rPr>
        <w:t>T</w:t>
      </w:r>
      <w:r>
        <w:rPr>
          <w:vertAlign w:val="subscript"/>
        </w:rPr>
        <w:t>t</w:t>
      </w:r>
      <w:r>
        <w:t xml:space="preserve"> denote the time remaining from </w:t>
      </w:r>
      <w:r>
        <w:rPr>
          <w:i/>
          <w:iCs/>
        </w:rPr>
        <w:t>t</w:t>
      </w:r>
      <w:r>
        <w:t xml:space="preserve"> until the next handover command on the same drive.</w:t>
      </w:r>
    </w:p>
    <w:p w:rsidR="0015244F" w:rsidRDefault="00A565B8">
      <w:pPr>
        <w:ind w:firstLine="567"/>
        <w:jc w:val="both"/>
      </w:pPr>
      <w:r>
        <w:t>The task is to estimate,</w:t>
      </w:r>
      <w:r>
        <w:t xml:space="preserve"> for a set of horizons </w:t>
      </w:r>
      <w:r>
        <w:rPr>
          <w:i/>
          <w:iCs/>
        </w:rPr>
        <w:t>h</w:t>
      </w:r>
      <w:r>
        <w:rPr>
          <w:vertAlign w:val="subscript"/>
        </w:rPr>
        <w:t>1</w:t>
      </w:r>
      <w:r>
        <w:t xml:space="preserve"> &amp;</w:t>
      </w:r>
      <w:proofErr w:type="spellStart"/>
      <w:r>
        <w:t>lt</w:t>
      </w:r>
      <w:proofErr w:type="spellEnd"/>
      <w:r>
        <w:t xml:space="preserve">; </w:t>
      </w:r>
      <w:r>
        <w:rPr>
          <w:i/>
          <w:iCs/>
        </w:rPr>
        <w:t>h</w:t>
      </w:r>
      <w:r>
        <w:rPr>
          <w:vertAlign w:val="subscript"/>
        </w:rPr>
        <w:t>2</w:t>
      </w:r>
      <w:r>
        <w:t xml:space="preserve"> &amp;</w:t>
      </w:r>
      <w:proofErr w:type="spellStart"/>
      <w:r>
        <w:t>lt</w:t>
      </w:r>
      <w:proofErr w:type="spellEnd"/>
      <w:r>
        <w:t>; … &amp;</w:t>
      </w:r>
      <w:proofErr w:type="spellStart"/>
      <w:r>
        <w:t>lt</w:t>
      </w:r>
      <w:proofErr w:type="spellEnd"/>
      <w:r>
        <w:t xml:space="preserve">; </w:t>
      </w:r>
      <w:proofErr w:type="spellStart"/>
      <w:r>
        <w:rPr>
          <w:i/>
          <w:iCs/>
        </w:rPr>
        <w:t>h</w:t>
      </w:r>
      <w:r>
        <w:rPr>
          <w:vertAlign w:val="subscript"/>
        </w:rPr>
        <w:t>K</w:t>
      </w:r>
      <w:proofErr w:type="spellEnd"/>
      <w:r>
        <w:t>, the cumulative incidence</w:t>
      </w:r>
    </w:p>
    <w:p w:rsidR="0015244F" w:rsidRDefault="00A565B8">
      <w:pPr>
        <w:tabs>
          <w:tab w:val="right" w:pos="9121"/>
        </w:tabs>
        <w:spacing w:before="180" w:after="180"/>
        <w:jc w:val="center"/>
      </w:pPr>
      <w:proofErr w:type="spellStart"/>
      <w:r>
        <w:rPr>
          <w:i/>
          <w:iCs/>
        </w:rPr>
        <w:t>F_</w:t>
      </w:r>
      <w:proofErr w:type="gramStart"/>
      <w:r>
        <w:rPr>
          <w:i/>
          <w:iCs/>
        </w:rPr>
        <w:t>k</w:t>
      </w:r>
      <w:proofErr w:type="spellEnd"/>
      <w:r>
        <w:rPr>
          <w:i/>
          <w:iCs/>
        </w:rPr>
        <w:t>(</w:t>
      </w:r>
      <w:proofErr w:type="spellStart"/>
      <w:proofErr w:type="gramEnd"/>
      <w:r>
        <w:rPr>
          <w:i/>
          <w:iCs/>
        </w:rPr>
        <w:t>x_t</w:t>
      </w:r>
      <w:proofErr w:type="spellEnd"/>
      <w:r>
        <w:rPr>
          <w:i/>
          <w:iCs/>
        </w:rPr>
        <w:t xml:space="preserve">) = P( </w:t>
      </w:r>
      <w:proofErr w:type="spellStart"/>
      <w:r>
        <w:rPr>
          <w:i/>
          <w:iCs/>
        </w:rPr>
        <w:t>T_t</w:t>
      </w:r>
      <w:proofErr w:type="spellEnd"/>
      <w:r>
        <w:rPr>
          <w:i/>
          <w:iCs/>
        </w:rPr>
        <w:t xml:space="preserve"> ≤ </w:t>
      </w:r>
      <w:proofErr w:type="spellStart"/>
      <w:r>
        <w:rPr>
          <w:i/>
          <w:iCs/>
        </w:rPr>
        <w:t>h_k</w:t>
      </w:r>
      <w:proofErr w:type="spellEnd"/>
      <w:r>
        <w:rPr>
          <w:i/>
          <w:iCs/>
        </w:rPr>
        <w:t xml:space="preserve"> │ </w:t>
      </w:r>
      <w:proofErr w:type="spellStart"/>
      <w:r>
        <w:rPr>
          <w:i/>
          <w:iCs/>
        </w:rPr>
        <w:t>x_t</w:t>
      </w:r>
      <w:proofErr w:type="spellEnd"/>
      <w:r>
        <w:rPr>
          <w:i/>
          <w:iCs/>
        </w:rPr>
        <w:t xml:space="preserve"> ),   k = 1 … K</w:t>
      </w:r>
      <w:r>
        <w:tab/>
        <w:t>(4.1)</w:t>
      </w:r>
    </w:p>
    <w:p w:rsidR="0015244F" w:rsidRDefault="00A565B8">
      <w:pPr>
        <w:ind w:firstLine="567"/>
        <w:jc w:val="both"/>
      </w:pPr>
      <w:proofErr w:type="gramStart"/>
      <w:r>
        <w:t>with</w:t>
      </w:r>
      <w:proofErr w:type="gramEnd"/>
      <w:r>
        <w:t xml:space="preserve"> </w:t>
      </w:r>
      <w:r>
        <w:rPr>
          <w:i/>
          <w:iCs/>
        </w:rPr>
        <w:t>K</w:t>
      </w:r>
      <w:r>
        <w:t xml:space="preserve"> = 5 and horizons of 0.5, 1, 2, 3 and 5 seconds. Samples for which the drive ends before the next handover occurs are </w:t>
      </w:r>
      <w:r>
        <w:rPr>
          <w:b/>
          <w:bCs/>
        </w:rPr>
        <w:t>right-censored</w:t>
      </w:r>
      <w:r>
        <w:t>: the event is known not to have occurred within the observed window, but its eventual time is unknown. Right censoring is not a nuisance to be discarded here; the last samples of every drive are censored, and discarding them would both waste</w:t>
      </w:r>
      <w:r>
        <w:t xml:space="preserve"> data and bias the observed event-time distribution towards short intervals.</w:t>
      </w:r>
    </w:p>
    <w:p w:rsidR="0015244F" w:rsidRDefault="00A565B8">
      <w:pPr>
        <w:ind w:firstLine="567"/>
        <w:jc w:val="both"/>
      </w:pPr>
      <w:r>
        <w:t>Table 4.1 reports the resulting positive-class prevalence at each horizon, computed on the row set used for every experiment in this thesis: rows with a full five-second follow-up window inside their own campaign and outside the two-second post-handover blank. Using one row set for all five horizons is what makes the prevalence table of Table 4.1 and the hazard table of Table 4.2 two views of the same numbers.</w:t>
      </w:r>
    </w:p>
    <w:p w:rsidR="0015244F" w:rsidRDefault="00A565B8">
      <w:pPr>
        <w:pStyle w:val="TableCaption"/>
        <w:spacing w:before="240" w:after="120" w:line="240" w:lineRule="auto"/>
        <w:jc w:val="center"/>
      </w:pPr>
      <w:r>
        <w:t>Table 4.1 Positive-class prevalence by horizon on the common row set, and the accuracy obtained by a constant negative prediction.</w:t>
      </w:r>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Horizon</w:t>
            </w:r>
          </w:p>
        </w:tc>
        <w:tc>
          <w:tcPr>
            <w:tcMar>
              <w:top w:w="60" w:type="dxa"/>
              <w:left w:w="100" w:type="dxa"/>
              <w:bottom w:w="60" w:type="dxa"/>
              <w:right w:w="100" w:type="dxa"/>
            </w:tcMar>
          </w:tcPr>
          <w:p>
            <w:r>
              <w:t>Prevalence</w:t>
            </w:r>
          </w:p>
        </w:tc>
        <w:tc>
          <w:tcPr>
            <w:tcMar>
              <w:top w:w="60" w:type="dxa"/>
              <w:left w:w="100" w:type="dxa"/>
              <w:bottom w:w="60" w:type="dxa"/>
              <w:right w:w="100" w:type="dxa"/>
            </w:tcMar>
          </w:tcPr>
          <w:p>
            <w:r>
              <w:t>Accuracy of a constant “no handover”</w:t>
            </w:r>
          </w:p>
        </w:tc>
      </w:tr>
      <w:tr w:rsidR="0015244F">
        <w:tblPrEx>
          <w:tblCellMar>
            <w:top w:w="0" w:type="dxa"/>
            <w:bottom w:w="0" w:type="dxa"/>
          </w:tblCellMar>
        </w:tblPrEx>
        <w:trPr>
          <w:tblHeader/>
        </w:trPr>
        <w:tc>
          <w:tcPr>
            <w:tcMar>
              <w:top w:w="60" w:type="dxa"/>
              <w:left w:w="100" w:type="dxa"/>
              <w:bottom w:w="60" w:type="dxa"/>
              <w:right w:w="100" w:type="dxa"/>
            </w:tcMar>
          </w:tcPr>
          <w:p>
            <w:r>
              <w:t>0.5 s</w:t>
            </w:r>
          </w:p>
        </w:tc>
        <w:tc>
          <w:tcPr>
            <w:tcMar>
              <w:top w:w="60" w:type="dxa"/>
              <w:left w:w="100" w:type="dxa"/>
              <w:bottom w:w="60" w:type="dxa"/>
              <w:right w:w="100" w:type="dxa"/>
            </w:tcMar>
          </w:tcPr>
          <w:p>
            <w:r>
              <w:t>3.7 %</w:t>
            </w:r>
          </w:p>
        </w:tc>
        <w:tc>
          <w:tcPr>
            <w:tcMar>
              <w:top w:w="60" w:type="dxa"/>
              <w:left w:w="100" w:type="dxa"/>
              <w:bottom w:w="60" w:type="dxa"/>
              <w:right w:w="100" w:type="dxa"/>
            </w:tcMar>
          </w:tcPr>
          <w:p>
            <w:r>
              <w:t>96.3 %</w:t>
            </w:r>
          </w:p>
        </w:tc>
      </w:tr>
      <w:tr w:rsidR="0015244F">
        <w:tblPrEx>
          <w:tblCellMar>
            <w:top w:w="0" w:type="dxa"/>
            <w:bottom w:w="0" w:type="dxa"/>
          </w:tblCellMar>
        </w:tblPrEx>
        <w:trPr>
          <w:tblHeader/>
        </w:trPr>
        <w:tc>
          <w:tcPr>
            <w:tcMar>
              <w:top w:w="60" w:type="dxa"/>
              <w:left w:w="100" w:type="dxa"/>
              <w:bottom w:w="60" w:type="dxa"/>
              <w:right w:w="100" w:type="dxa"/>
            </w:tcMar>
          </w:tcPr>
          <w:p>
            <w:r>
              <w:t>1 s</w:t>
            </w:r>
          </w:p>
        </w:tc>
        <w:tc>
          <w:tcPr>
            <w:tcMar>
              <w:top w:w="60" w:type="dxa"/>
              <w:left w:w="100" w:type="dxa"/>
              <w:bottom w:w="60" w:type="dxa"/>
              <w:right w:w="100" w:type="dxa"/>
            </w:tcMar>
          </w:tcPr>
          <w:p>
            <w:r>
              <w:t>6.8 %</w:t>
            </w:r>
          </w:p>
        </w:tc>
        <w:tc>
          <w:tcPr>
            <w:tcMar>
              <w:top w:w="60" w:type="dxa"/>
              <w:left w:w="100" w:type="dxa"/>
              <w:bottom w:w="60" w:type="dxa"/>
              <w:right w:w="100" w:type="dxa"/>
            </w:tcMar>
          </w:tcPr>
          <w:p>
            <w:r>
              <w:t>93.2 %</w:t>
            </w:r>
          </w:p>
        </w:tc>
      </w:tr>
      <w:tr w:rsidR="0015244F">
        <w:tblPrEx>
          <w:tblCellMar>
            <w:top w:w="0" w:type="dxa"/>
            <w:bottom w:w="0" w:type="dxa"/>
          </w:tblCellMar>
        </w:tblPrEx>
        <w:trPr>
          <w:tblHeader/>
        </w:trPr>
        <w:tc>
          <w:tcPr>
            <w:tcMar>
              <w:top w:w="60" w:type="dxa"/>
              <w:left w:w="100" w:type="dxa"/>
              <w:bottom w:w="60" w:type="dxa"/>
              <w:right w:w="100" w:type="dxa"/>
            </w:tcMar>
          </w:tcPr>
          <w:p>
            <w:r>
              <w:t>2 s</w:t>
            </w:r>
          </w:p>
        </w:tc>
        <w:tc>
          <w:tcPr>
            <w:tcMar>
              <w:top w:w="60" w:type="dxa"/>
              <w:left w:w="100" w:type="dxa"/>
              <w:bottom w:w="60" w:type="dxa"/>
              <w:right w:w="100" w:type="dxa"/>
            </w:tcMar>
          </w:tcPr>
          <w:p>
            <w:r>
              <w:t>12.6 %</w:t>
            </w:r>
          </w:p>
        </w:tc>
        <w:tc>
          <w:tcPr>
            <w:tcMar>
              <w:top w:w="60" w:type="dxa"/>
              <w:left w:w="100" w:type="dxa"/>
              <w:bottom w:w="60" w:type="dxa"/>
              <w:right w:w="100" w:type="dxa"/>
            </w:tcMar>
          </w:tcPr>
          <w:p>
            <w:r>
              <w:t>87.4 %</w:t>
            </w:r>
          </w:p>
        </w:tc>
      </w:tr>
      <w:tr w:rsidR="0015244F">
        <w:tblPrEx>
          <w:tblCellMar>
            <w:top w:w="0" w:type="dxa"/>
            <w:bottom w:w="0" w:type="dxa"/>
          </w:tblCellMar>
        </w:tblPrEx>
        <w:trPr>
          <w:tblHeader/>
        </w:trPr>
        <w:tc>
          <w:tcPr>
            <w:tcMar>
              <w:top w:w="60" w:type="dxa"/>
              <w:left w:w="100" w:type="dxa"/>
              <w:bottom w:w="60" w:type="dxa"/>
              <w:right w:w="100" w:type="dxa"/>
            </w:tcMar>
          </w:tcPr>
          <w:p>
            <w:r>
              <w:t>3 s</w:t>
            </w:r>
          </w:p>
        </w:tc>
        <w:tc>
          <w:tcPr>
            <w:tcMar>
              <w:top w:w="60" w:type="dxa"/>
              <w:left w:w="100" w:type="dxa"/>
              <w:bottom w:w="60" w:type="dxa"/>
              <w:right w:w="100" w:type="dxa"/>
            </w:tcMar>
          </w:tcPr>
          <w:p>
            <w:r>
              <w:t>17.6 %</w:t>
            </w:r>
          </w:p>
        </w:tc>
        <w:tc>
          <w:tcPr>
            <w:tcMar>
              <w:top w:w="60" w:type="dxa"/>
              <w:left w:w="100" w:type="dxa"/>
              <w:bottom w:w="60" w:type="dxa"/>
              <w:right w:w="100" w:type="dxa"/>
            </w:tcMar>
          </w:tcPr>
          <w:p>
            <w:r>
              <w:t>82.4 %</w:t>
            </w:r>
          </w:p>
        </w:tc>
      </w:tr>
      <w:tr w:rsidR="0015244F">
        <w:tblPrEx>
          <w:tblCellMar>
            <w:top w:w="0" w:type="dxa"/>
            <w:bottom w:w="0" w:type="dxa"/>
          </w:tblCellMar>
        </w:tblPrEx>
        <w:trPr>
          <w:tblHeader/>
        </w:trPr>
        <w:tc>
          <w:tcPr>
            <w:tcMar>
              <w:top w:w="60" w:type="dxa"/>
              <w:left w:w="100" w:type="dxa"/>
              <w:bottom w:w="60" w:type="dxa"/>
              <w:right w:w="100" w:type="dxa"/>
            </w:tcMar>
          </w:tcPr>
          <w:p>
            <w:r>
              <w:t>5 s</w:t>
            </w:r>
          </w:p>
        </w:tc>
        <w:tc>
          <w:tcPr>
            <w:tcMar>
              <w:top w:w="60" w:type="dxa"/>
              <w:left w:w="100" w:type="dxa"/>
              <w:bottom w:w="60" w:type="dxa"/>
              <w:right w:w="100" w:type="dxa"/>
            </w:tcMar>
          </w:tcPr>
          <w:p>
            <w:r>
              <w:t>26.1 %</w:t>
            </w:r>
          </w:p>
        </w:tc>
        <w:tc>
          <w:tcPr>
            <w:tcMar>
              <w:top w:w="60" w:type="dxa"/>
              <w:left w:w="100" w:type="dxa"/>
              <w:bottom w:w="60" w:type="dxa"/>
              <w:right w:w="100" w:type="dxa"/>
            </w:tcMar>
          </w:tcPr>
          <w:p>
            <w:r>
              <w:t>73.9 %</w:t>
            </w:r>
          </w:p>
        </w:tc>
      </w:tr>
    </w:tbl>
    <w:p w:rsidR="0015244F" w:rsidRDefault="0015244F">
      <w:pPr>
        <w:spacing w:after="120" w:line="240" w:lineRule="auto"/>
      </w:pPr>
    </w:p>
    <w:p w:rsidR="0015244F" w:rsidRDefault="00A565B8">
      <w:pPr>
        <w:ind w:firstLine="567"/>
        <w:jc w:val="both"/>
      </w:pPr>
      <w:r>
        <w:t>Table 4.1 is the reason accuracy is not reported anywhere in this thesis. At the one-second horizon a model that never predicts a handover already scores 93.2%, which exceeds several of the headline accuracies reported in the audited literature of Section 2.3.</w:t>
      </w:r>
      <w:r/>
    </w:p>
    <w:p w:rsidR="0015244F" w:rsidRDefault="00A565B8">
      <w:pPr>
        <w:pStyle w:val="Heading2"/>
        <w:spacing w:before="360" w:after="140"/>
      </w:pPr>
      <w:r>
        <w:t>4.2 The multi-horizon binary formulation and its defect</w:t>
      </w:r>
    </w:p>
    <w:p w:rsidR="0015244F" w:rsidRDefault="00A565B8">
      <w:pPr>
        <w:ind w:firstLine="567"/>
        <w:jc w:val="both"/>
      </w:pPr>
      <w:r>
        <w:rPr>
          <w:b/>
          <w:bCs/>
        </w:rPr>
        <w:t>Motivation.</w:t>
      </w:r>
      <w:r>
        <w:t xml:space="preserve"> The most direct approach to Equation (4.1) is to define, for each horizon, a binary label </w:t>
      </w:r>
      <w:proofErr w:type="spellStart"/>
      <w:r>
        <w:rPr>
          <w:i/>
          <w:iCs/>
        </w:rPr>
        <w:t>y</w:t>
      </w:r>
      <w:r>
        <w:rPr>
          <w:vertAlign w:val="subscript"/>
        </w:rPr>
        <w:t>t</w:t>
      </w:r>
      <w:proofErr w:type="gramStart"/>
      <w:r>
        <w:rPr>
          <w:vertAlign w:val="subscript"/>
        </w:rPr>
        <w:t>,k</w:t>
      </w:r>
      <w:proofErr w:type="spellEnd"/>
      <w:proofErr w:type="gramEnd"/>
      <w:r>
        <w:t xml:space="preserve"> = 1{ </w:t>
      </w:r>
      <w:r>
        <w:rPr>
          <w:i/>
          <w:iCs/>
        </w:rPr>
        <w:t>T</w:t>
      </w:r>
      <w:r>
        <w:rPr>
          <w:vertAlign w:val="subscript"/>
        </w:rPr>
        <w:t>t</w:t>
      </w:r>
      <w:r>
        <w:t xml:space="preserve"> ≤ </w:t>
      </w:r>
      <w:proofErr w:type="spellStart"/>
      <w:r>
        <w:rPr>
          <w:i/>
          <w:iCs/>
        </w:rPr>
        <w:t>h</w:t>
      </w:r>
      <w:r>
        <w:rPr>
          <w:vertAlign w:val="subscript"/>
        </w:rPr>
        <w:t>k</w:t>
      </w:r>
      <w:proofErr w:type="spellEnd"/>
      <w:r>
        <w:t xml:space="preserve"> } and fit </w:t>
      </w:r>
      <w:r>
        <w:rPr>
          <w:i/>
          <w:iCs/>
        </w:rPr>
        <w:t>K</w:t>
      </w:r>
      <w:r>
        <w:t xml:space="preserve"> independent classifiers. This is the formulation implied by every model in the audit of Section 2.3 that predicts at more than one horizon, and it requires no special machinery.</w:t>
      </w:r>
    </w:p>
    <w:p w:rsidR="0015244F" w:rsidRDefault="00A565B8">
      <w:pPr>
        <w:ind w:firstLine="567"/>
        <w:jc w:val="both"/>
      </w:pPr>
      <w:r>
        <w:rPr>
          <w:b/>
          <w:bCs/>
        </w:rPr>
        <w:t xml:space="preserve">The defect. </w:t>
      </w:r>
      <w:r>
        <w:rPr>
          <w:b w:val="0"/>
        </w:rPr>
        <w:t>The K classifiers are fitted independently and are therefore free to produce estimates that violate the ordering implied by their own definitions. Because the event { T_t ≤ h1 } is contained in { T_t ≤ h2 } whenever h1 &lt; h2, the probabilities must satisfy F1 ≤ F2 ≤ … ≤ FK at every sample. Independent fits do not enforce this, and Section 5.4 measures how often they violate it: on 40.2% of rows.</w:t>
      </w:r>
      <w:r>
        <w:rPr>
          <w:i/>
          <w:iCs/>
        </w:rPr>
      </w:r>
      <w:r/>
      <w:r/>
      <w:proofErr w:type="gramStart"/>
      <w:r/>
      <w:r>
        <w:rPr>
          <w:i/>
          <w:iCs/>
        </w:rPr>
      </w:r>
      <w:r>
        <w:rPr>
          <w:vertAlign w:val="subscript"/>
        </w:rPr>
      </w:r>
      <w:proofErr w:type="gramEnd"/>
      <w:r/>
      <w:r>
        <w:rPr>
          <w:i/>
          <w:iCs/>
        </w:rPr>
      </w:r>
      <w:r>
        <w:rPr>
          <w:vertAlign w:val="subscript"/>
        </w:rPr>
      </w:r>
      <w:r/>
      <w:r>
        <w:rPr>
          <w:i/>
          <w:iCs/>
        </w:rPr>
      </w:r>
      <w:r>
        <w:rPr>
          <w:vertAlign w:val="subscript"/>
        </w:rPr>
      </w:r>
      <w:r/>
      <w:r>
        <w:rPr>
          <w:i/>
          <w:iCs/>
        </w:rPr>
      </w:r>
      <w:r>
        <w:rPr>
          <w:vertAlign w:val="subscript"/>
        </w:rPr>
      </w:r>
      <w:r/>
      <w:r>
        <w:rPr>
          <w:i/>
          <w:iCs/>
        </w:rPr>
      </w:r>
      <w:r>
        <w:rPr>
          <w:vertAlign w:val="subscript"/>
        </w:rPr>
      </w:r>
      <w:r/>
      <w:proofErr w:type="spellStart"/>
      <w:r/>
      <w:proofErr w:type="spellEnd"/>
      <w:r/>
      <w:r>
        <w:rPr>
          <w:i/>
          <w:iCs/>
        </w:rPr>
      </w:r>
      <w:r>
        <w:rPr>
          <w:vertAlign w:val="subscript"/>
        </w:rPr>
      </w:r>
      <w:r/>
      <w:r>
        <w:rPr>
          <w:i/>
          <w:iCs/>
        </w:rPr>
      </w:r>
      <w:r>
        <w:rPr>
          <w:vertAlign w:val="subscript"/>
        </w:rPr>
      </w:r>
      <w:r/>
      <w:r>
        <w:rPr>
          <w:i/>
          <w:iCs/>
        </w:rPr>
      </w:r>
      <w:r>
        <w:rPr>
          <w:vertAlign w:val="subscript"/>
        </w:rPr>
      </w:r>
      <w:r/>
      <w:r>
        <w:rPr>
          <w:i/>
          <w:iCs/>
        </w:rPr>
      </w:r>
      <w:r>
        <w:rPr>
          <w:vertAlign w:val="subscript"/>
        </w:rPr>
      </w:r>
      <w:r/>
      <w:r/>
    </w:p>
    <w:p w:rsidR="0015244F" w:rsidRDefault="00A565B8">
      <w:pPr>
        <w:ind w:firstLine="567"/>
        <w:jc w:val="both"/>
      </w:pPr>
      <w:r>
        <w:t>A violation is not a small numerical irregularity. It is an assertion that a handover is more likely within one second than within three, which is impossible, and it destroys</w:t>
      </w:r>
      <w:r>
        <w:t xml:space="preserve"> the interpretation of the output as a probability. An operator presented with such a pair of numbers cannot act on either.</w:t>
      </w:r>
    </w:p>
    <w:p w:rsidR="0015244F" w:rsidRDefault="00A565B8">
      <w:pPr>
        <w:ind w:firstLine="567"/>
        <w:jc w:val="both"/>
      </w:pPr>
      <w:r>
        <w:rPr>
          <w:b/>
          <w:bCs/>
        </w:rPr>
        <w:t xml:space="preserve">Why post-hoc repair is not free, and where it is. </w:t>
      </w:r>
      <w:r>
        <w:rPr>
          <w:b w:val="0"/>
        </w:rPr>
        <w:t>The defect can be repaired after the fact by projecting the K outputs onto the monotone cone — a per-row cumulative maximum, or the pool-adjacent-violators projection — or by calibrating each horizon separately with isotonic regression. All three are implemented and reported in Section 5.4 as controls, and the first two need no held-out split and reach zero violations by construction, exactly as the hazard formulation does. The case for the hazard formulation is therefore not that it alone achieves coherence; it is that it achieves coherence from one fit rather than five, inherits the censoring treatment of Section 4.4, and — as Section 5.4 measures — calibrates better than the projected controls at the horizons where the output is usable as a probability.</w:t>
      </w:r>
      <w:r>
        <w:rPr>
          <w:i/>
          <w:iCs/>
        </w:rPr>
      </w:r>
      <w:r/>
      <w:r/>
      <w:r/>
      <w:r/>
      <w:r>
        <w:rPr>
          <w:i/>
          <w:iCs/>
        </w:rPr>
      </w:r>
      <w:r/>
    </w:p>
    <w:p w:rsidR="0015244F" w:rsidRDefault="00A565B8">
      <w:pPr>
        <w:pStyle w:val="Heading2"/>
        <w:spacing w:before="360" w:after="140"/>
      </w:pPr>
      <w:r>
        <w:t>4.3 The discrete-time survival formulation</w:t>
      </w:r>
    </w:p>
    <w:p w:rsidR="0015244F" w:rsidRDefault="00A565B8">
      <w:pPr>
        <w:ind w:firstLine="567"/>
        <w:jc w:val="both"/>
      </w:pPr>
      <w:r>
        <w:rPr>
          <w:b/>
          <w:bCs/>
        </w:rPr>
        <w:t>Motivation.</w:t>
      </w:r>
      <w:r>
        <w:t xml:space="preserve"> The ordering constraint is a consequence of the definition of cumulative incidence, so the natural remedy is to est</w:t>
      </w:r>
      <w:r>
        <w:t>imate a quantity from which ordering follows automatically, rather than to estimate the ordered quantities directly and repair them.</w:t>
      </w:r>
    </w:p>
    <w:p w:rsidR="0015244F" w:rsidRDefault="00A565B8">
      <w:pPr>
        <w:ind w:firstLine="567"/>
        <w:jc w:val="both"/>
      </w:pPr>
      <w:r>
        <w:rPr>
          <w:b/>
          <w:bCs/>
        </w:rPr>
        <w:t>Design.</w:t>
      </w:r>
      <w:r>
        <w:t xml:space="preserve"> Partition the time axis into </w:t>
      </w:r>
      <w:r>
        <w:rPr>
          <w:i/>
          <w:iCs/>
        </w:rPr>
        <w:t>K</w:t>
      </w:r>
      <w:r>
        <w:t xml:space="preserve"> bins whose upper edges are exactly the horizons of interest:</w:t>
      </w:r>
    </w:p>
    <w:p w:rsidR="0015244F" w:rsidRDefault="00A565B8">
      <w:pPr>
        <w:spacing w:before="180" w:after="180"/>
        <w:jc w:val="center"/>
      </w:pPr>
      <w:r>
        <w:rPr>
          <w:i/>
          <w:iCs/>
        </w:rPr>
        <w:t>B_1 = (0, h_1]</w:t>
      </w:r>
      <w:proofErr w:type="gramStart"/>
      <w:r>
        <w:rPr>
          <w:i/>
          <w:iCs/>
        </w:rPr>
        <w:t>,  B</w:t>
      </w:r>
      <w:proofErr w:type="gramEnd"/>
      <w:r>
        <w:rPr>
          <w:i/>
          <w:iCs/>
        </w:rPr>
        <w:t xml:space="preserve">_2 = </w:t>
      </w:r>
      <w:r>
        <w:rPr>
          <w:i/>
          <w:iCs/>
        </w:rPr>
        <w:t xml:space="preserve">(h_1, h_2],  …,  B_K = (h_{K−1}, </w:t>
      </w:r>
      <w:proofErr w:type="spellStart"/>
      <w:r>
        <w:rPr>
          <w:i/>
          <w:iCs/>
        </w:rPr>
        <w:t>h_K</w:t>
      </w:r>
      <w:proofErr w:type="spellEnd"/>
      <w:r>
        <w:rPr>
          <w:i/>
          <w:iCs/>
        </w:rPr>
        <w:t>]</w:t>
      </w:r>
    </w:p>
    <w:p w:rsidR="0015244F" w:rsidRDefault="00A565B8">
      <w:pPr>
        <w:ind w:firstLine="567"/>
        <w:jc w:val="both"/>
      </w:pPr>
      <w:proofErr w:type="gramStart"/>
      <w:r>
        <w:t>and</w:t>
      </w:r>
      <w:proofErr w:type="gramEnd"/>
      <w:r>
        <w:t xml:space="preserve"> define the </w:t>
      </w:r>
      <w:r>
        <w:rPr>
          <w:b/>
          <w:bCs/>
        </w:rPr>
        <w:t>discrete-time hazard</w:t>
      </w:r>
      <w:r>
        <w:t xml:space="preserve"> as the probability that the event falls in bin </w:t>
      </w:r>
      <w:r>
        <w:rPr>
          <w:i/>
          <w:iCs/>
        </w:rPr>
        <w:t>k</w:t>
      </w:r>
      <w:r>
        <w:t xml:space="preserve"> given that it has not occurred by the start of that bin:</w:t>
      </w:r>
    </w:p>
    <w:p w:rsidR="0015244F" w:rsidRDefault="00A565B8">
      <w:pPr>
        <w:tabs>
          <w:tab w:val="right" w:pos="9121"/>
        </w:tabs>
        <w:spacing w:before="180" w:after="180"/>
        <w:jc w:val="center"/>
      </w:pPr>
      <w:proofErr w:type="spellStart"/>
      <w:r>
        <w:rPr>
          <w:i/>
          <w:iCs/>
        </w:rPr>
        <w:t>λ_k</w:t>
      </w:r>
      <w:proofErr w:type="spellEnd"/>
      <w:r>
        <w:rPr>
          <w:i/>
          <w:iCs/>
        </w:rPr>
        <w:t xml:space="preserve">(x) = </w:t>
      </w:r>
      <w:proofErr w:type="gramStart"/>
      <w:r>
        <w:rPr>
          <w:i/>
          <w:iCs/>
        </w:rPr>
        <w:t>P(</w:t>
      </w:r>
      <w:proofErr w:type="gramEnd"/>
      <w:r>
        <w:rPr>
          <w:i/>
          <w:iCs/>
        </w:rPr>
        <w:t xml:space="preserve"> T ∈ </w:t>
      </w:r>
      <w:proofErr w:type="spellStart"/>
      <w:r>
        <w:rPr>
          <w:i/>
          <w:iCs/>
        </w:rPr>
        <w:t>B_k</w:t>
      </w:r>
      <w:proofErr w:type="spellEnd"/>
      <w:r>
        <w:rPr>
          <w:i/>
          <w:iCs/>
        </w:rPr>
        <w:t xml:space="preserve"> │ T &gt; h_{k−1}, x )</w:t>
      </w:r>
      <w:r>
        <w:tab/>
        <w:t>(4.2)</w:t>
      </w:r>
    </w:p>
    <w:p w:rsidR="0015244F" w:rsidRDefault="00A565B8">
      <w:pPr>
        <w:ind w:firstLine="567"/>
        <w:jc w:val="both"/>
      </w:pPr>
      <w:r>
        <w:t>The survival function is the pr</w:t>
      </w:r>
      <w:r>
        <w:t>oduct of per-bin survivals,</w:t>
      </w:r>
    </w:p>
    <w:p w:rsidR="0015244F" w:rsidRDefault="00A565B8">
      <w:pPr>
        <w:tabs>
          <w:tab w:val="right" w:pos="9121"/>
        </w:tabs>
        <w:spacing w:before="180" w:after="180"/>
        <w:jc w:val="center"/>
      </w:pPr>
      <w:proofErr w:type="spellStart"/>
      <w:r>
        <w:rPr>
          <w:i/>
          <w:iCs/>
        </w:rPr>
        <w:t>S_k</w:t>
      </w:r>
      <w:proofErr w:type="spellEnd"/>
      <w:r>
        <w:rPr>
          <w:i/>
          <w:iCs/>
        </w:rPr>
        <w:t>(x) = Π</w:t>
      </w:r>
      <w:proofErr w:type="gramStart"/>
      <w:r>
        <w:rPr>
          <w:i/>
          <w:iCs/>
        </w:rPr>
        <w:t>_{</w:t>
      </w:r>
      <w:proofErr w:type="gramEnd"/>
      <w:r>
        <w:rPr>
          <w:i/>
          <w:iCs/>
        </w:rPr>
        <w:t xml:space="preserve">j=1..k} ( 1 − </w:t>
      </w:r>
      <w:proofErr w:type="spellStart"/>
      <w:r>
        <w:rPr>
          <w:i/>
          <w:iCs/>
        </w:rPr>
        <w:t>λ_j</w:t>
      </w:r>
      <w:proofErr w:type="spellEnd"/>
      <w:r>
        <w:rPr>
          <w:i/>
          <w:iCs/>
        </w:rPr>
        <w:t xml:space="preserve">(x) ) = P( T &gt; </w:t>
      </w:r>
      <w:proofErr w:type="spellStart"/>
      <w:r>
        <w:rPr>
          <w:i/>
          <w:iCs/>
        </w:rPr>
        <w:t>h_k</w:t>
      </w:r>
      <w:proofErr w:type="spellEnd"/>
      <w:r>
        <w:rPr>
          <w:i/>
          <w:iCs/>
        </w:rPr>
        <w:t xml:space="preserve"> │ x )</w:t>
      </w:r>
      <w:r>
        <w:tab/>
        <w:t>(4.3)</w:t>
      </w:r>
    </w:p>
    <w:p w:rsidR="0015244F" w:rsidRDefault="00A565B8">
      <w:pPr>
        <w:ind w:firstLine="567"/>
        <w:jc w:val="both"/>
      </w:pPr>
      <w:proofErr w:type="gramStart"/>
      <w:r>
        <w:t>and</w:t>
      </w:r>
      <w:proofErr w:type="gramEnd"/>
      <w:r>
        <w:t xml:space="preserve"> the cumulative incidence required by Equation (4.1) is its complement, which is the </w:t>
      </w:r>
      <w:r>
        <w:rPr>
          <w:b/>
          <w:bCs/>
        </w:rPr>
        <w:t>product-limit identity</w:t>
      </w:r>
      <w:r>
        <w:t>:</w:t>
      </w:r>
    </w:p>
    <w:p w:rsidR="0015244F" w:rsidRDefault="00A565B8">
      <w:pPr>
        <w:tabs>
          <w:tab w:val="right" w:pos="9121"/>
        </w:tabs>
        <w:spacing w:before="180" w:after="180"/>
        <w:jc w:val="center"/>
      </w:pPr>
      <w:proofErr w:type="spellStart"/>
      <w:r>
        <w:rPr>
          <w:i/>
          <w:iCs/>
        </w:rPr>
        <w:t>F_k</w:t>
      </w:r>
      <w:proofErr w:type="spellEnd"/>
      <w:r>
        <w:rPr>
          <w:i/>
          <w:iCs/>
        </w:rPr>
        <w:t xml:space="preserve">(x) = </w:t>
      </w:r>
      <w:proofErr w:type="gramStart"/>
      <w:r>
        <w:rPr>
          <w:i/>
          <w:iCs/>
        </w:rPr>
        <w:t>P(</w:t>
      </w:r>
      <w:proofErr w:type="gramEnd"/>
      <w:r>
        <w:rPr>
          <w:i/>
          <w:iCs/>
        </w:rPr>
        <w:t xml:space="preserve"> T ≤ </w:t>
      </w:r>
      <w:proofErr w:type="spellStart"/>
      <w:r>
        <w:rPr>
          <w:i/>
          <w:iCs/>
        </w:rPr>
        <w:t>h_k</w:t>
      </w:r>
      <w:proofErr w:type="spellEnd"/>
      <w:r>
        <w:rPr>
          <w:i/>
          <w:iCs/>
        </w:rPr>
        <w:t xml:space="preserve"> │ x ) = 1 − Π_{j=1..k} ( 1 − </w:t>
      </w:r>
      <w:proofErr w:type="spellStart"/>
      <w:r>
        <w:rPr>
          <w:i/>
          <w:iCs/>
        </w:rPr>
        <w:t>λ_j</w:t>
      </w:r>
      <w:proofErr w:type="spellEnd"/>
      <w:r>
        <w:rPr>
          <w:i/>
          <w:iCs/>
        </w:rPr>
        <w:t>(x) )</w:t>
      </w:r>
      <w:r>
        <w:tab/>
        <w:t>(4.4)</w:t>
      </w:r>
    </w:p>
    <w:p w:rsidR="0015244F" w:rsidRDefault="00A565B8">
      <w:pPr>
        <w:ind w:firstLine="567"/>
        <w:jc w:val="both"/>
      </w:pPr>
      <w:r>
        <w:rPr>
          <w:b/>
          <w:bCs/>
        </w:rPr>
        <w:t>Technical advantage.</w:t>
      </w:r>
      <w:r>
        <w:t xml:space="preserve"> Monotonicity is now a theorem rather than a hope. Since </w:t>
      </w:r>
      <w:proofErr w:type="spellStart"/>
      <w:r>
        <w:t>λ</w:t>
      </w:r>
      <w:r>
        <w:rPr>
          <w:vertAlign w:val="subscript"/>
        </w:rPr>
        <w:t>j</w:t>
      </w:r>
      <w:proofErr w:type="spellEnd"/>
      <w:r>
        <w:t xml:space="preserve"> ∈ [0</w:t>
      </w:r>
      <w:proofErr w:type="gramStart"/>
      <w:r>
        <w:t>,1</w:t>
      </w:r>
      <w:proofErr w:type="gramEnd"/>
      <w:r>
        <w:t xml:space="preserve">], every factor (1 − </w:t>
      </w:r>
      <w:proofErr w:type="spellStart"/>
      <w:r>
        <w:t>λ</w:t>
      </w:r>
      <w:r>
        <w:rPr>
          <w:vertAlign w:val="subscript"/>
        </w:rPr>
        <w:t>j</w:t>
      </w:r>
      <w:proofErr w:type="spellEnd"/>
      <w:r>
        <w:t>) lies in [0,1], so</w:t>
      </w:r>
    </w:p>
    <w:p w:rsidR="0015244F" w:rsidRDefault="00A565B8">
      <w:pPr>
        <w:tabs>
          <w:tab w:val="right" w:pos="9121"/>
        </w:tabs>
        <w:spacing w:before="180" w:after="180"/>
        <w:jc w:val="center"/>
      </w:pPr>
      <w:r>
        <w:rPr>
          <w:i/>
          <w:iCs/>
        </w:rPr>
        <w:t>S</w:t>
      </w:r>
      <w:proofErr w:type="gramStart"/>
      <w:r>
        <w:rPr>
          <w:i/>
          <w:iCs/>
        </w:rPr>
        <w:t>_{</w:t>
      </w:r>
      <w:proofErr w:type="gramEnd"/>
      <w:r>
        <w:rPr>
          <w:i/>
          <w:iCs/>
        </w:rPr>
        <w:t xml:space="preserve">k+1} = </w:t>
      </w:r>
      <w:proofErr w:type="spellStart"/>
      <w:r>
        <w:rPr>
          <w:i/>
          <w:iCs/>
        </w:rPr>
        <w:t>S_k</w:t>
      </w:r>
      <w:proofErr w:type="spellEnd"/>
      <w:r>
        <w:rPr>
          <w:i/>
          <w:iCs/>
        </w:rPr>
        <w:t xml:space="preserve"> · ( 1 − λ_{k+1} ) ≤ </w:t>
      </w:r>
      <w:proofErr w:type="spellStart"/>
      <w:r>
        <w:rPr>
          <w:i/>
          <w:iCs/>
        </w:rPr>
        <w:t>S_k</w:t>
      </w:r>
      <w:proofErr w:type="spellEnd"/>
      <w:r>
        <w:rPr>
          <w:i/>
          <w:iCs/>
        </w:rPr>
        <w:t xml:space="preserve">   ⟹   F_{k+1} ≥ </w:t>
      </w:r>
      <w:proofErr w:type="spellStart"/>
      <w:r>
        <w:rPr>
          <w:i/>
          <w:iCs/>
        </w:rPr>
        <w:t>F_k</w:t>
      </w:r>
      <w:proofErr w:type="spellEnd"/>
      <w:r>
        <w:tab/>
        <w:t>(4.5)</w:t>
      </w:r>
    </w:p>
    <w:p w:rsidR="0015244F" w:rsidRDefault="00A565B8">
      <w:pPr>
        <w:ind w:firstLine="567"/>
        <w:jc w:val="both"/>
      </w:pPr>
      <w:r>
        <w:t>The argument uses no property of the learner beyond the range of its output. Any model that emits a value in [0</w:t>
      </w:r>
      <w:proofErr w:type="gramStart"/>
      <w:r>
        <w:t>,1</w:t>
      </w:r>
      <w:proofErr w:type="gramEnd"/>
      <w:r>
        <w:t>] per bin produces a coherent set of horizon probabilities under Equation (4.4). This is why the coherence result reported in Section 5.4 is l</w:t>
      </w:r>
      <w:r>
        <w:t xml:space="preserve">earner-independent while the </w:t>
      </w:r>
      <w:r>
        <w:lastRenderedPageBreak/>
        <w:t>calibration result is not, and it is the single most important structural property of the system developed here.</w:t>
      </w:r>
    </w:p>
    <w:p w:rsidR="0015244F" w:rsidRDefault="00A565B8">
      <w:pPr>
        <w:ind w:firstLine="567"/>
        <w:jc w:val="both"/>
      </w:pPr>
      <w:r>
        <w:t>Figure 4.1 illustrates the two formulations side by side.</w:t>
      </w:r>
    </w:p>
    <w:p w:rsidR="0015244F" w:rsidRDefault="00A565B8">
      <w:pPr>
        <w:keepNext/>
        <w:spacing w:before="240" w:after="120" w:line="240" w:lineRule="auto"/>
        <w:jc w:val="center"/>
      </w:pPr>
      <w:r>
        <w:rPr>
          <w:noProof/>
        </w:rPr>
        <w:drawing>
          <wp:inline distT="0" distB="0" distL="0" distR="0">
            <wp:extent cx="5762625" cy="30114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3011499"/>
                    </a:xfrm>
                    <a:prstGeom prst="rect">
                      <a:avLst/>
                    </a:prstGeom>
                  </pic:spPr>
                </pic:pic>
              </a:graphicData>
            </a:graphic>
          </wp:inline>
        </w:drawing>
      </w:r>
    </w:p>
    <w:p w:rsidR="0015244F" w:rsidRDefault="00A565B8">
      <w:pPr>
        <w:pStyle w:val="FigureCaption"/>
        <w:spacing w:after="240" w:line="240" w:lineRule="auto"/>
        <w:jc w:val="center"/>
      </w:pPr>
      <w:r>
        <w:t>Figure 4.1 illustrates the two formulations side by side.</w:t>
      </w:r>
      <w:r/>
    </w:p>
    <w:p w:rsidR="0015244F" w:rsidRDefault="00A565B8">
      <w:pPr>
        <w:pStyle w:val="Heading2"/>
        <w:spacing w:before="360" w:after="140"/>
      </w:pPr>
      <w:r>
        <w:t>4.4 The likelihood under censoring</w:t>
      </w:r>
    </w:p>
    <w:p w:rsidR="0015244F" w:rsidRDefault="00A565B8">
      <w:pPr>
        <w:ind w:firstLine="567"/>
        <w:jc w:val="both"/>
      </w:pPr>
      <w:r>
        <w:t xml:space="preserve">Let </w:t>
      </w:r>
      <w:proofErr w:type="spellStart"/>
      <w:r>
        <w:rPr>
          <w:i/>
          <w:iCs/>
        </w:rPr>
        <w:t>k</w:t>
      </w:r>
      <w:r>
        <w:rPr>
          <w:vertAlign w:val="subscript"/>
        </w:rPr>
        <w:t>t</w:t>
      </w:r>
      <w:proofErr w:type="spellEnd"/>
      <w:r>
        <w:t xml:space="preserve"> be the bin in which the event occurs for sample </w:t>
      </w:r>
      <w:r>
        <w:rPr>
          <w:i/>
          <w:iCs/>
        </w:rPr>
        <w:t>t</w:t>
      </w:r>
      <w:r>
        <w:t xml:space="preserve">, and let </w:t>
      </w:r>
      <w:proofErr w:type="spellStart"/>
      <w:r>
        <w:rPr>
          <w:i/>
          <w:iCs/>
        </w:rPr>
        <w:t>c</w:t>
      </w:r>
      <w:r>
        <w:rPr>
          <w:vertAlign w:val="subscript"/>
        </w:rPr>
        <w:t>t</w:t>
      </w:r>
      <w:proofErr w:type="spellEnd"/>
      <w:r>
        <w:t xml:space="preserve"> be the last bin fully survived before censoring. Define the </w:t>
      </w:r>
      <w:r>
        <w:rPr>
          <w:b/>
          <w:bCs/>
        </w:rPr>
        <w:t>at-risk set</w:t>
      </w:r>
      <w:r>
        <w:t xml:space="preserve"> </w:t>
      </w:r>
      <w:proofErr w:type="spellStart"/>
      <w:r>
        <w:rPr>
          <w:i/>
          <w:iCs/>
        </w:rPr>
        <w:t>R</w:t>
      </w:r>
      <w:r>
        <w:rPr>
          <w:vertAlign w:val="subscript"/>
        </w:rPr>
        <w:t>t</w:t>
      </w:r>
      <w:proofErr w:type="spellEnd"/>
      <w:r>
        <w:t xml:space="preserve"> = {1 … </w:t>
      </w:r>
      <w:proofErr w:type="gramStart"/>
      <w:r>
        <w:t>min(</w:t>
      </w:r>
      <w:proofErr w:type="spellStart"/>
      <w:proofErr w:type="gramEnd"/>
      <w:r>
        <w:rPr>
          <w:i/>
          <w:iCs/>
        </w:rPr>
        <w:t>k</w:t>
      </w:r>
      <w:r>
        <w:rPr>
          <w:vertAlign w:val="subscript"/>
        </w:rPr>
        <w:t>t</w:t>
      </w:r>
      <w:proofErr w:type="spellEnd"/>
      <w:r>
        <w:t xml:space="preserve">, </w:t>
      </w:r>
      <w:proofErr w:type="spellStart"/>
      <w:r>
        <w:rPr>
          <w:i/>
          <w:iCs/>
        </w:rPr>
        <w:t>c</w:t>
      </w:r>
      <w:r>
        <w:rPr>
          <w:vertAlign w:val="subscript"/>
        </w:rPr>
        <w:t>t</w:t>
      </w:r>
      <w:proofErr w:type="spellEnd"/>
      <w:r>
        <w:t xml:space="preserve">)} — the bins the sample actually entered — and the per-bin indicator </w:t>
      </w:r>
      <w:proofErr w:type="spellStart"/>
      <w:r>
        <w:rPr>
          <w:i/>
          <w:iCs/>
        </w:rPr>
        <w:t>z</w:t>
      </w:r>
      <w:r>
        <w:rPr>
          <w:vertAlign w:val="subscript"/>
        </w:rPr>
        <w:t>t,k</w:t>
      </w:r>
      <w:proofErr w:type="spellEnd"/>
      <w:r>
        <w:t xml:space="preserve"> = 1{ </w:t>
      </w:r>
      <w:r>
        <w:rPr>
          <w:i/>
          <w:iCs/>
        </w:rPr>
        <w:t>k</w:t>
      </w:r>
      <w:r>
        <w:t xml:space="preserve"> = </w:t>
      </w:r>
      <w:proofErr w:type="spellStart"/>
      <w:r>
        <w:rPr>
          <w:i/>
          <w:iCs/>
        </w:rPr>
        <w:t>k</w:t>
      </w:r>
      <w:r>
        <w:rPr>
          <w:vertAlign w:val="subscript"/>
        </w:rPr>
        <w:t>t</w:t>
      </w:r>
      <w:proofErr w:type="spellEnd"/>
      <w:r>
        <w:t xml:space="preserve"> }. The discrete-time survival log-likelihood then collapses into a single ex</w:t>
      </w:r>
      <w:r>
        <w:t>pression covering both the censored and uncensored cases:</w:t>
      </w:r>
    </w:p>
    <w:p w:rsidR="0015244F" w:rsidRDefault="00A565B8">
      <w:pPr>
        <w:tabs>
          <w:tab w:val="right" w:pos="9121"/>
        </w:tabs>
        <w:spacing w:before="180" w:after="180"/>
        <w:jc w:val="center"/>
      </w:pPr>
      <w:r>
        <w:rPr>
          <w:i/>
          <w:iCs/>
        </w:rPr>
        <w:t xml:space="preserve">ℓ = </w:t>
      </w:r>
      <w:proofErr w:type="spellStart"/>
      <w:r>
        <w:rPr>
          <w:i/>
          <w:iCs/>
        </w:rPr>
        <w:t>Σ_t</w:t>
      </w:r>
      <w:proofErr w:type="spellEnd"/>
      <w:r>
        <w:rPr>
          <w:i/>
          <w:iCs/>
        </w:rPr>
        <w:t xml:space="preserve"> Σ_{k ∈ </w:t>
      </w:r>
      <w:proofErr w:type="spellStart"/>
      <w:r>
        <w:rPr>
          <w:i/>
          <w:iCs/>
        </w:rPr>
        <w:t>R_t</w:t>
      </w:r>
      <w:proofErr w:type="spellEnd"/>
      <w:r>
        <w:rPr>
          <w:i/>
          <w:iCs/>
        </w:rPr>
        <w:t>} [ z_{</w:t>
      </w:r>
      <w:proofErr w:type="spellStart"/>
      <w:r>
        <w:rPr>
          <w:i/>
          <w:iCs/>
        </w:rPr>
        <w:t>t,k</w:t>
      </w:r>
      <w:proofErr w:type="spellEnd"/>
      <w:r>
        <w:rPr>
          <w:i/>
          <w:iCs/>
        </w:rPr>
        <w:t xml:space="preserve">} log </w:t>
      </w:r>
      <w:proofErr w:type="spellStart"/>
      <w:r>
        <w:rPr>
          <w:i/>
          <w:iCs/>
        </w:rPr>
        <w:t>λ_k</w:t>
      </w:r>
      <w:proofErr w:type="spellEnd"/>
      <w:r>
        <w:rPr>
          <w:i/>
          <w:iCs/>
        </w:rPr>
        <w:t>(</w:t>
      </w:r>
      <w:proofErr w:type="spellStart"/>
      <w:r>
        <w:rPr>
          <w:i/>
          <w:iCs/>
        </w:rPr>
        <w:t>x_t</w:t>
      </w:r>
      <w:proofErr w:type="spellEnd"/>
      <w:r>
        <w:rPr>
          <w:i/>
          <w:iCs/>
        </w:rPr>
        <w:t>) + (1 − z_{</w:t>
      </w:r>
      <w:proofErr w:type="spellStart"/>
      <w:r>
        <w:rPr>
          <w:i/>
          <w:iCs/>
        </w:rPr>
        <w:t>t,k</w:t>
      </w:r>
      <w:proofErr w:type="spellEnd"/>
      <w:r>
        <w:rPr>
          <w:i/>
          <w:iCs/>
        </w:rPr>
        <w:t xml:space="preserve">}) log(1 − </w:t>
      </w:r>
      <w:proofErr w:type="spellStart"/>
      <w:r>
        <w:rPr>
          <w:i/>
          <w:iCs/>
        </w:rPr>
        <w:t>λ_k</w:t>
      </w:r>
      <w:proofErr w:type="spellEnd"/>
      <w:r>
        <w:rPr>
          <w:i/>
          <w:iCs/>
        </w:rPr>
        <w:t>(</w:t>
      </w:r>
      <w:proofErr w:type="spellStart"/>
      <w:r>
        <w:rPr>
          <w:i/>
          <w:iCs/>
        </w:rPr>
        <w:t>x_t</w:t>
      </w:r>
      <w:proofErr w:type="spellEnd"/>
      <w:r>
        <w:rPr>
          <w:i/>
          <w:iCs/>
        </w:rPr>
        <w:t>)) ]</w:t>
      </w:r>
      <w:r>
        <w:tab/>
        <w:t>(4.6)</w:t>
      </w:r>
    </w:p>
    <w:p w:rsidR="0015244F" w:rsidRDefault="00A565B8">
      <w:pPr>
        <w:ind w:firstLine="567"/>
        <w:jc w:val="both"/>
      </w:pPr>
      <w:r>
        <w:t>Equation (4.6) is exactly a binary cross-entropy over the expanded set of (sample × at-risk bin) pairs. The pract</w:t>
      </w:r>
      <w:r>
        <w:t xml:space="preserve">ical consequence is that fitting a discrete-time survival model requires no </w:t>
      </w:r>
      <w:proofErr w:type="spellStart"/>
      <w:r>
        <w:t>specialised</w:t>
      </w:r>
      <w:proofErr w:type="spellEnd"/>
      <w:r>
        <w:t xml:space="preserve"> software: the data are expanded from wide to long format, the bin index </w:t>
      </w:r>
      <w:r>
        <w:rPr>
          <w:i/>
          <w:iCs/>
        </w:rPr>
        <w:t>k</w:t>
      </w:r>
      <w:r>
        <w:t xml:space="preserve"> is appended as a feature so that the model can learn the shape of the baseline hazard, and a s</w:t>
      </w:r>
      <w:r>
        <w:t xml:space="preserve">ingle binary classifier is fitted. A censored sample contributes a (1 − </w:t>
      </w:r>
      <w:proofErr w:type="spellStart"/>
      <w:r>
        <w:t>λ</w:t>
      </w:r>
      <w:r>
        <w:rPr>
          <w:vertAlign w:val="subscript"/>
        </w:rPr>
        <w:t>k</w:t>
      </w:r>
      <w:proofErr w:type="spellEnd"/>
      <w:r>
        <w:t>) term for every bin it survived rather than being discarded.</w:t>
      </w:r>
    </w:p>
    <w:p w:rsidR="0015244F" w:rsidRDefault="00A565B8">
      <w:pPr>
        <w:ind w:firstLine="567"/>
        <w:jc w:val="both"/>
      </w:pPr>
      <w:r>
        <w:t>On this dataset the expansion takes the 8,586 usable rows to 39,435 (sample, bin) pairs. Because every retained row carries a full five-second follow-up window inside its own campaign, no row is censored inside the horizon grid, and the measured per-bin hazards chain exactly to the prevalences of Table 4.1 by Equation (4.4). Table 4.2 reports both, side by side, as an arithmetic check on the implementation.</w:t>
      </w:r>
    </w:p>
    <w:p w:rsidR="0015244F" w:rsidRDefault="00A565B8">
      <w:pPr>
        <w:pStyle w:val="TableCaption"/>
        <w:spacing w:before="240" w:after="120" w:line="240" w:lineRule="auto"/>
        <w:jc w:val="center"/>
      </w:pPr>
      <w:r>
        <w:t>Table 4.2 Measured discrete-time hazard by bin, and the cumulative incidence it implies, against the prevalence of Table 4.1. The two agree exactly by construction.</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Bin</w:t>
            </w:r>
          </w:p>
        </w:tc>
        <w:tc>
          <w:tcPr>
            <w:tcMar>
              <w:top w:w="60" w:type="dxa"/>
              <w:left w:w="100" w:type="dxa"/>
              <w:bottom w:w="60" w:type="dxa"/>
              <w:right w:w="100" w:type="dxa"/>
            </w:tcMar>
          </w:tcPr>
          <w:p>
            <w:r>
              <w:t>Interval</w:t>
            </w:r>
          </w:p>
        </w:tc>
        <w:tc>
          <w:tcPr>
            <w:tcMar>
              <w:top w:w="60" w:type="dxa"/>
              <w:left w:w="100" w:type="dxa"/>
              <w:bottom w:w="60" w:type="dxa"/>
              <w:right w:w="100" w:type="dxa"/>
            </w:tcMar>
          </w:tcPr>
          <w:p>
            <w:r>
              <w:t>At risk</w:t>
            </w:r>
          </w:p>
        </w:tc>
        <w:tc>
          <w:tcPr>
            <w:tcMar>
              <w:top w:w="60" w:type="dxa"/>
              <w:left w:w="100" w:type="dxa"/>
              <w:bottom w:w="60" w:type="dxa"/>
              <w:right w:w="100" w:type="dxa"/>
            </w:tcMar>
          </w:tcPr>
          <w:p>
            <w:r>
              <w:t>Events</w:t>
            </w:r>
          </w:p>
        </w:tc>
        <w:tc>
          <w:tcPr>
            <w:tcMar>
              <w:top w:w="60" w:type="dxa"/>
              <w:left w:w="100" w:type="dxa"/>
              <w:bottom w:w="60" w:type="dxa"/>
              <w:right w:w="100" w:type="dxa"/>
            </w:tcMar>
          </w:tcPr>
          <w:p>
            <w:r>
              <w:t>Hazard</w:t>
            </w:r>
          </w:p>
        </w:tc>
        <w:tc>
          <w:tcPr>
            <w:tcMar>
              <w:top w:w="60" w:type="dxa"/>
              <w:left w:w="100" w:type="dxa"/>
              <w:bottom w:w="60" w:type="dxa"/>
              <w:right w:w="100" w:type="dxa"/>
            </w:tcMar>
          </w:tcPr>
          <w:p>
            <w:r>
              <w:t>F(h) from hazards</w:t>
            </w:r>
          </w:p>
        </w:tc>
        <w:tc>
          <w:tcPr>
            <w:tcMar>
              <w:top w:w="60" w:type="dxa"/>
              <w:left w:w="100" w:type="dxa"/>
              <w:bottom w:w="60" w:type="dxa"/>
              <w:right w:w="100" w:type="dxa"/>
            </w:tcMar>
          </w:tcPr>
          <w:p>
            <w:r>
              <w:t>Prevalence (Table 4.1)</w:t>
            </w:r>
          </w:p>
        </w:tc>
      </w:tr>
      <w:tr w:rsidR="0015244F">
        <w:tblPrEx>
          <w:tblCellMar>
            <w:top w:w="0" w:type="dxa"/>
            <w:bottom w:w="0" w:type="dxa"/>
          </w:tblCellMar>
        </w:tblPrEx>
        <w:trPr>
          <w:tblHeader/>
        </w:trPr>
        <w:tc>
          <w:tcPr>
            <w:tcMar>
              <w:top w:w="60" w:type="dxa"/>
              <w:left w:w="100" w:type="dxa"/>
              <w:bottom w:w="60" w:type="dxa"/>
              <w:right w:w="100" w:type="dxa"/>
            </w:tcMar>
          </w:tcPr>
          <w:p>
            <w:r>
              <w:t>1</w:t>
            </w:r>
          </w:p>
        </w:tc>
        <w:tc>
          <w:tcPr>
            <w:tcMar>
              <w:top w:w="60" w:type="dxa"/>
              <w:left w:w="100" w:type="dxa"/>
              <w:bottom w:w="60" w:type="dxa"/>
              <w:right w:w="100" w:type="dxa"/>
            </w:tcMar>
          </w:tcPr>
          <w:p>
            <w:r>
              <w:t>(0, 0.5] s</w:t>
            </w:r>
          </w:p>
        </w:tc>
        <w:tc>
          <w:tcPr>
            <w:tcMar>
              <w:top w:w="60" w:type="dxa"/>
              <w:left w:w="100" w:type="dxa"/>
              <w:bottom w:w="60" w:type="dxa"/>
              <w:right w:w="100" w:type="dxa"/>
            </w:tcMar>
          </w:tcPr>
          <w:p>
            <w:r>
              <w:t>8,586</w:t>
            </w:r>
          </w:p>
        </w:tc>
        <w:tc>
          <w:tcPr>
            <w:tcMar>
              <w:top w:w="60" w:type="dxa"/>
              <w:left w:w="100" w:type="dxa"/>
              <w:bottom w:w="60" w:type="dxa"/>
              <w:right w:w="100" w:type="dxa"/>
            </w:tcMar>
          </w:tcPr>
          <w:p>
            <w:r>
              <w:t>319</w:t>
            </w:r>
          </w:p>
        </w:tc>
        <w:tc>
          <w:tcPr>
            <w:tcMar>
              <w:top w:w="60" w:type="dxa"/>
              <w:left w:w="100" w:type="dxa"/>
              <w:bottom w:w="60" w:type="dxa"/>
              <w:right w:w="100" w:type="dxa"/>
            </w:tcMar>
          </w:tcPr>
          <w:p>
            <w:r>
              <w:t>0.0372</w:t>
            </w:r>
          </w:p>
        </w:tc>
        <w:tc>
          <w:tcPr>
            <w:tcMar>
              <w:top w:w="60" w:type="dxa"/>
              <w:left w:w="100" w:type="dxa"/>
              <w:bottom w:w="60" w:type="dxa"/>
              <w:right w:w="100" w:type="dxa"/>
            </w:tcMar>
          </w:tcPr>
          <w:p>
            <w:r>
              <w:t>0.0372</w:t>
            </w:r>
          </w:p>
        </w:tc>
        <w:tc>
          <w:tcPr>
            <w:tcMar>
              <w:top w:w="60" w:type="dxa"/>
              <w:left w:w="100" w:type="dxa"/>
              <w:bottom w:w="60" w:type="dxa"/>
              <w:right w:w="100" w:type="dxa"/>
            </w:tcMar>
          </w:tcPr>
          <w:p>
            <w:r>
              <w:t>0.0372</w:t>
            </w:r>
          </w:p>
        </w:tc>
      </w:tr>
      <w:tr w:rsidR="0015244F">
        <w:tblPrEx>
          <w:tblCellMar>
            <w:top w:w="0" w:type="dxa"/>
            <w:bottom w:w="0" w:type="dxa"/>
          </w:tblCellMar>
        </w:tblPrEx>
        <w:trPr>
          <w:tblHeader/>
        </w:trPr>
        <w:tc>
          <w:tcPr>
            <w:tcMar>
              <w:top w:w="60" w:type="dxa"/>
              <w:left w:w="100" w:type="dxa"/>
              <w:bottom w:w="60" w:type="dxa"/>
              <w:right w:w="100" w:type="dxa"/>
            </w:tcMar>
          </w:tcPr>
          <w:p>
            <w:r>
              <w:t>2</w:t>
            </w:r>
          </w:p>
        </w:tc>
        <w:tc>
          <w:tcPr>
            <w:tcMar>
              <w:top w:w="60" w:type="dxa"/>
              <w:left w:w="100" w:type="dxa"/>
              <w:bottom w:w="60" w:type="dxa"/>
              <w:right w:w="100" w:type="dxa"/>
            </w:tcMar>
          </w:tcPr>
          <w:p>
            <w:r>
              <w:t>(0.5, 1] s</w:t>
            </w:r>
          </w:p>
        </w:tc>
        <w:tc>
          <w:tcPr>
            <w:tcMar>
              <w:top w:w="60" w:type="dxa"/>
              <w:left w:w="100" w:type="dxa"/>
              <w:bottom w:w="60" w:type="dxa"/>
              <w:right w:w="100" w:type="dxa"/>
            </w:tcMar>
          </w:tcPr>
          <w:p>
            <w:r>
              <w:t>8,267</w:t>
            </w:r>
          </w:p>
        </w:tc>
        <w:tc>
          <w:tcPr>
            <w:tcMar>
              <w:top w:w="60" w:type="dxa"/>
              <w:left w:w="100" w:type="dxa"/>
              <w:bottom w:w="60" w:type="dxa"/>
              <w:right w:w="100" w:type="dxa"/>
            </w:tcMar>
          </w:tcPr>
          <w:p>
            <w:r>
              <w:t>264</w:t>
            </w:r>
          </w:p>
        </w:tc>
        <w:tc>
          <w:tcPr>
            <w:tcMar>
              <w:top w:w="60" w:type="dxa"/>
              <w:left w:w="100" w:type="dxa"/>
              <w:bottom w:w="60" w:type="dxa"/>
              <w:right w:w="100" w:type="dxa"/>
            </w:tcMar>
          </w:tcPr>
          <w:p>
            <w:r>
              <w:t>0.0319</w:t>
            </w:r>
          </w:p>
        </w:tc>
        <w:tc>
          <w:tcPr>
            <w:tcMar>
              <w:top w:w="60" w:type="dxa"/>
              <w:left w:w="100" w:type="dxa"/>
              <w:bottom w:w="60" w:type="dxa"/>
              <w:right w:w="100" w:type="dxa"/>
            </w:tcMar>
          </w:tcPr>
          <w:p>
            <w:r>
              <w:t>0.0679</w:t>
            </w:r>
          </w:p>
        </w:tc>
        <w:tc>
          <w:tcPr>
            <w:tcMar>
              <w:top w:w="60" w:type="dxa"/>
              <w:left w:w="100" w:type="dxa"/>
              <w:bottom w:w="60" w:type="dxa"/>
              <w:right w:w="100" w:type="dxa"/>
            </w:tcMar>
          </w:tcPr>
          <w:p>
            <w:r>
              <w:t>0.0679</w:t>
            </w:r>
          </w:p>
        </w:tc>
      </w:tr>
      <w:tr w:rsidR="0015244F">
        <w:tblPrEx>
          <w:tblCellMar>
            <w:top w:w="0" w:type="dxa"/>
            <w:bottom w:w="0" w:type="dxa"/>
          </w:tblCellMar>
        </w:tblPrEx>
        <w:trPr>
          <w:tblHeader/>
        </w:trPr>
        <w:tc>
          <w:tcPr>
            <w:tcMar>
              <w:top w:w="60" w:type="dxa"/>
              <w:left w:w="100" w:type="dxa"/>
              <w:bottom w:w="60" w:type="dxa"/>
              <w:right w:w="100" w:type="dxa"/>
            </w:tcMar>
          </w:tcPr>
          <w:p>
            <w:r>
              <w:t>3</w:t>
            </w:r>
          </w:p>
        </w:tc>
        <w:tc>
          <w:tcPr>
            <w:tcMar>
              <w:top w:w="60" w:type="dxa"/>
              <w:left w:w="100" w:type="dxa"/>
              <w:bottom w:w="60" w:type="dxa"/>
              <w:right w:w="100" w:type="dxa"/>
            </w:tcMar>
          </w:tcPr>
          <w:p>
            <w:r>
              <w:t>(1, 2] s</w:t>
            </w:r>
          </w:p>
        </w:tc>
        <w:tc>
          <w:tcPr>
            <w:tcMar>
              <w:top w:w="60" w:type="dxa"/>
              <w:left w:w="100" w:type="dxa"/>
              <w:bottom w:w="60" w:type="dxa"/>
              <w:right w:w="100" w:type="dxa"/>
            </w:tcMar>
          </w:tcPr>
          <w:p>
            <w:r>
              <w:t>8,003</w:t>
            </w:r>
          </w:p>
        </w:tc>
        <w:tc>
          <w:tcPr>
            <w:tcMar>
              <w:top w:w="60" w:type="dxa"/>
              <w:left w:w="100" w:type="dxa"/>
              <w:bottom w:w="60" w:type="dxa"/>
              <w:right w:w="100" w:type="dxa"/>
            </w:tcMar>
          </w:tcPr>
          <w:p>
            <w:r>
              <w:t>497</w:t>
            </w:r>
          </w:p>
        </w:tc>
        <w:tc>
          <w:tcPr>
            <w:tcMar>
              <w:top w:w="60" w:type="dxa"/>
              <w:left w:w="100" w:type="dxa"/>
              <w:bottom w:w="60" w:type="dxa"/>
              <w:right w:w="100" w:type="dxa"/>
            </w:tcMar>
          </w:tcPr>
          <w:p>
            <w:r>
              <w:t>0.0621</w:t>
            </w:r>
          </w:p>
        </w:tc>
        <w:tc>
          <w:tcPr>
            <w:tcMar>
              <w:top w:w="60" w:type="dxa"/>
              <w:left w:w="100" w:type="dxa"/>
              <w:bottom w:w="60" w:type="dxa"/>
              <w:right w:w="100" w:type="dxa"/>
            </w:tcMar>
          </w:tcPr>
          <w:p>
            <w:r>
              <w:t>0.1258</w:t>
            </w:r>
          </w:p>
        </w:tc>
        <w:tc>
          <w:tcPr>
            <w:tcMar>
              <w:top w:w="60" w:type="dxa"/>
              <w:left w:w="100" w:type="dxa"/>
              <w:bottom w:w="60" w:type="dxa"/>
              <w:right w:w="100" w:type="dxa"/>
            </w:tcMar>
          </w:tcPr>
          <w:p>
            <w:r>
              <w:t>0.1258</w:t>
            </w:r>
          </w:p>
        </w:tc>
      </w:tr>
      <w:tr w:rsidR="0015244F">
        <w:tblPrEx>
          <w:tblCellMar>
            <w:top w:w="0" w:type="dxa"/>
            <w:bottom w:w="0" w:type="dxa"/>
          </w:tblCellMar>
        </w:tblPrEx>
        <w:trPr>
          <w:tblHeader/>
        </w:trPr>
        <w:tc>
          <w:tcPr>
            <w:tcMar>
              <w:top w:w="60" w:type="dxa"/>
              <w:left w:w="100" w:type="dxa"/>
              <w:bottom w:w="60" w:type="dxa"/>
              <w:right w:w="100" w:type="dxa"/>
            </w:tcMar>
          </w:tcPr>
          <w:p>
            <w:r>
              <w:t>4</w:t>
            </w:r>
          </w:p>
        </w:tc>
        <w:tc>
          <w:tcPr>
            <w:tcMar>
              <w:top w:w="60" w:type="dxa"/>
              <w:left w:w="100" w:type="dxa"/>
              <w:bottom w:w="60" w:type="dxa"/>
              <w:right w:w="100" w:type="dxa"/>
            </w:tcMar>
          </w:tcPr>
          <w:p>
            <w:r>
              <w:t>(2, 3] s</w:t>
            </w:r>
          </w:p>
        </w:tc>
        <w:tc>
          <w:tcPr>
            <w:tcMar>
              <w:top w:w="60" w:type="dxa"/>
              <w:left w:w="100" w:type="dxa"/>
              <w:bottom w:w="60" w:type="dxa"/>
              <w:right w:w="100" w:type="dxa"/>
            </w:tcMar>
          </w:tcPr>
          <w:p>
            <w:r>
              <w:t>7,506</w:t>
            </w:r>
          </w:p>
        </w:tc>
        <w:tc>
          <w:tcPr>
            <w:tcMar>
              <w:top w:w="60" w:type="dxa"/>
              <w:left w:w="100" w:type="dxa"/>
              <w:bottom w:w="60" w:type="dxa"/>
              <w:right w:w="100" w:type="dxa"/>
            </w:tcMar>
          </w:tcPr>
          <w:p>
            <w:r>
              <w:t>433</w:t>
            </w:r>
          </w:p>
        </w:tc>
        <w:tc>
          <w:tcPr>
            <w:tcMar>
              <w:top w:w="60" w:type="dxa"/>
              <w:left w:w="100" w:type="dxa"/>
              <w:bottom w:w="60" w:type="dxa"/>
              <w:right w:w="100" w:type="dxa"/>
            </w:tcMar>
          </w:tcPr>
          <w:p>
            <w:r>
              <w:t>0.0577</w:t>
            </w:r>
          </w:p>
        </w:tc>
        <w:tc>
          <w:tcPr>
            <w:tcMar>
              <w:top w:w="60" w:type="dxa"/>
              <w:left w:w="100" w:type="dxa"/>
              <w:bottom w:w="60" w:type="dxa"/>
              <w:right w:w="100" w:type="dxa"/>
            </w:tcMar>
          </w:tcPr>
          <w:p>
            <w:r>
              <w:t>0.1762</w:t>
            </w:r>
          </w:p>
        </w:tc>
        <w:tc>
          <w:tcPr>
            <w:tcMar>
              <w:top w:w="60" w:type="dxa"/>
              <w:left w:w="100" w:type="dxa"/>
              <w:bottom w:w="60" w:type="dxa"/>
              <w:right w:w="100" w:type="dxa"/>
            </w:tcMar>
          </w:tcPr>
          <w:p>
            <w:r>
              <w:t>0.1762</w:t>
            </w:r>
          </w:p>
        </w:tc>
      </w:tr>
      <w:tr w:rsidR="0015244F">
        <w:tblPrEx>
          <w:tblCellMar>
            <w:top w:w="0" w:type="dxa"/>
            <w:bottom w:w="0" w:type="dxa"/>
          </w:tblCellMar>
        </w:tblPrEx>
        <w:trPr>
          <w:tblHeader/>
        </w:trPr>
        <w:tc>
          <w:tcPr>
            <w:tcMar>
              <w:top w:w="60" w:type="dxa"/>
              <w:left w:w="100" w:type="dxa"/>
              <w:bottom w:w="60" w:type="dxa"/>
              <w:right w:w="100" w:type="dxa"/>
            </w:tcMar>
          </w:tcPr>
          <w:p>
            <w:r>
              <w:t>5</w:t>
            </w:r>
          </w:p>
        </w:tc>
        <w:tc>
          <w:tcPr>
            <w:tcMar>
              <w:top w:w="60" w:type="dxa"/>
              <w:left w:w="100" w:type="dxa"/>
              <w:bottom w:w="60" w:type="dxa"/>
              <w:right w:w="100" w:type="dxa"/>
            </w:tcMar>
          </w:tcPr>
          <w:p>
            <w:r>
              <w:t>(3, 5] s</w:t>
            </w:r>
          </w:p>
        </w:tc>
        <w:tc>
          <w:tcPr>
            <w:tcMar>
              <w:top w:w="60" w:type="dxa"/>
              <w:left w:w="100" w:type="dxa"/>
              <w:bottom w:w="60" w:type="dxa"/>
              <w:right w:w="100" w:type="dxa"/>
            </w:tcMar>
          </w:tcPr>
          <w:p>
            <w:r>
              <w:t>7,073</w:t>
            </w:r>
          </w:p>
        </w:tc>
        <w:tc>
          <w:tcPr>
            <w:tcMar>
              <w:top w:w="60" w:type="dxa"/>
              <w:left w:w="100" w:type="dxa"/>
              <w:bottom w:w="60" w:type="dxa"/>
              <w:right w:w="100" w:type="dxa"/>
            </w:tcMar>
          </w:tcPr>
          <w:p>
            <w:r>
              <w:t>730</w:t>
            </w:r>
          </w:p>
        </w:tc>
        <w:tc>
          <w:tcPr>
            <w:tcMar>
              <w:top w:w="60" w:type="dxa"/>
              <w:left w:w="100" w:type="dxa"/>
              <w:bottom w:w="60" w:type="dxa"/>
              <w:right w:w="100" w:type="dxa"/>
            </w:tcMar>
          </w:tcPr>
          <w:p>
            <w:r>
              <w:t>0.1032</w:t>
            </w:r>
          </w:p>
        </w:tc>
        <w:tc>
          <w:tcPr>
            <w:tcMar>
              <w:top w:w="60" w:type="dxa"/>
              <w:left w:w="100" w:type="dxa"/>
              <w:bottom w:w="60" w:type="dxa"/>
              <w:right w:w="100" w:type="dxa"/>
            </w:tcMar>
          </w:tcPr>
          <w:p>
            <w:r>
              <w:t>0.2612</w:t>
            </w:r>
          </w:p>
        </w:tc>
        <w:tc>
          <w:tcPr>
            <w:tcMar>
              <w:top w:w="60" w:type="dxa"/>
              <w:left w:w="100" w:type="dxa"/>
              <w:bottom w:w="60" w:type="dxa"/>
              <w:right w:w="100" w:type="dxa"/>
            </w:tcMar>
          </w:tcPr>
          <w:p>
            <w:r>
              <w:t>0.2612</w:t>
            </w:r>
          </w:p>
        </w:tc>
      </w:tr>
    </w:tbl>
    <w:p w:rsidR="0015244F" w:rsidRDefault="0015244F">
      <w:pPr>
        <w:spacing w:after="120" w:line="240" w:lineRule="auto"/>
      </w:pPr>
    </w:p>
    <w:p w:rsidR="0015244F" w:rsidRDefault="00A565B8">
      <w:pPr>
        <w:pStyle w:val="Heading2"/>
        <w:spacing w:before="360" w:after="140"/>
      </w:pPr>
      <w:r>
        <w:t>4.5 Why class reweighting is inadmissible here</w:t>
      </w:r>
    </w:p>
    <w:p w:rsidR="0015244F" w:rsidRDefault="00A565B8">
      <w:pPr>
        <w:ind w:firstLine="567"/>
        <w:jc w:val="both"/>
      </w:pPr>
      <w:r>
        <w:t xml:space="preserve">The standard response to a rare-event task is to reweight the positive class, for example through the </w:t>
      </w:r>
      <w:proofErr w:type="spellStart"/>
      <w:r>
        <w:t>scale_pos_weight</w:t>
      </w:r>
      <w:proofErr w:type="spellEnd"/>
      <w:r>
        <w:t xml:space="preserve"> parameter of a gradient-boosting implementation. That response must not be used in the hazard arm, for a reason specific to Equation (4.4</w:t>
      </w:r>
      <w:r>
        <w:t>).</w:t>
      </w:r>
    </w:p>
    <w:p w:rsidR="0015244F" w:rsidRDefault="00A565B8">
      <w:pPr>
        <w:ind w:firstLine="567"/>
        <w:jc w:val="both"/>
      </w:pPr>
      <w:r>
        <w:t xml:space="preserve">Reweighting the positive class by a factor </w:t>
      </w:r>
      <w:r>
        <w:rPr>
          <w:i/>
          <w:iCs/>
        </w:rPr>
        <w:t>w</w:t>
      </w:r>
      <w:r>
        <w:t xml:space="preserve"> transforms the fitted probability monotonically,</w:t>
      </w:r>
    </w:p>
    <w:p w:rsidR="0015244F" w:rsidRDefault="00A565B8">
      <w:pPr>
        <w:tabs>
          <w:tab w:val="right" w:pos="9121"/>
        </w:tabs>
        <w:spacing w:before="180" w:after="180"/>
        <w:jc w:val="center"/>
      </w:pPr>
      <w:r>
        <w:rPr>
          <w:i/>
          <w:iCs/>
        </w:rPr>
        <w:t xml:space="preserve">λ̃ = w λ / </w:t>
      </w:r>
      <w:proofErr w:type="gramStart"/>
      <w:r>
        <w:rPr>
          <w:i/>
          <w:iCs/>
        </w:rPr>
        <w:t>( w</w:t>
      </w:r>
      <w:proofErr w:type="gramEnd"/>
      <w:r>
        <w:rPr>
          <w:i/>
          <w:iCs/>
        </w:rPr>
        <w:t xml:space="preserve"> λ + (1 − λ) )</w:t>
      </w:r>
      <w:r>
        <w:tab/>
        <w:t>(4.7)</w:t>
      </w:r>
    </w:p>
    <w:p w:rsidR="0015244F" w:rsidRDefault="00A565B8">
      <w:pPr>
        <w:ind w:firstLine="567"/>
        <w:jc w:val="both"/>
      </w:pPr>
      <w:r>
        <w:t>Ranking metrics are invariant under this transformation, since AUPRC and AUROC depend only on the order of scores. The probability scale, however, is not. Writing the reweighted hazards as λ̃_k ≈ w λ_k for small λ_k, the survival function is transformed as</w:t>
      </w:r>
      <w:r/>
      <w:r>
        <w:rPr>
          <w:i/>
          <w:iCs/>
        </w:rPr>
      </w:r>
      <w:r/>
      <w:r>
        <w:rPr>
          <w:i/>
          <w:iCs/>
        </w:rPr>
      </w:r>
      <w:r/>
    </w:p>
    <w:p w:rsidR="0015244F" w:rsidRDefault="00A565B8">
      <w:pPr>
        <w:tabs>
          <w:tab w:val="right" w:pos="9121"/>
        </w:tabs>
        <w:spacing w:before="180" w:after="180"/>
        <w:jc w:val="center"/>
      </w:pPr>
      <w:proofErr w:type="spellStart"/>
      <w:r>
        <w:rPr>
          <w:i/>
          <w:iCs/>
        </w:rPr>
        <w:t>S̃_k = Π_j (1 − w λ_j) ≈ (S_k)^w,   so   F̃_k ≈ 1 − (1 − F_k)^w</w:t>
        <w:tab/>
        <w:t>(4.8)</w:t>
      </w:r>
      <w:proofErr w:type="spellEnd"/>
      <w:r>
        <w:rPr>
          <w:i/>
          <w:iCs/>
        </w:rPr>
      </w:r>
      <w:proofErr w:type="spellStart"/>
      <w:r>
        <w:rPr>
          <w:i/>
          <w:iCs/>
        </w:rPr>
      </w:r>
      <w:proofErr w:type="spellEnd"/>
      <w:r>
        <w:rPr>
          <w:i/>
          <w:iCs/>
        </w:rPr>
      </w:r>
      <w:proofErr w:type="gramStart"/>
      <w:r>
        <w:rPr>
          <w:i/>
          <w:iCs/>
        </w:rPr>
      </w:r>
      <w:proofErr w:type="gramEnd"/>
      <w:r>
        <w:rPr>
          <w:i/>
          <w:iCs/>
        </w:rPr>
      </w:r>
      <w:r/>
    </w:p>
    <w:p w:rsidR="0015244F" w:rsidRDefault="00A565B8">
      <w:pPr>
        <w:ind w:firstLine="567"/>
        <w:jc w:val="both"/>
      </w:pPr>
      <w:proofErr w:type="gramStart"/>
      <w:r>
        <w:t>Equation (4.8) replaces a compounding claim made in an earlier draft of this work, which stated that a per-bin multiplicative error ε grows as (1+ε)^k with the horizon. That is not what the product-limit identity does: for small hazards the relative distortion of F_k is bounded by w and is largest at the shortest horizon, while the absolute distortion grows with F_k and is therefore largest at the longest. Either way the calibrated interpretation is destroyed while the ranking is untouched, which is the reason both the hazard arm and the independent-classifier control arm are fitted unweighted, and the fairness of the comparison between them is a secondary benefit.</w:t>
      </w:r>
      <w:proofErr w:type="gramEnd"/>
      <w:r/>
      <w:r/>
    </w:p>
    <w:p w:rsidR="0015244F" w:rsidRDefault="00A565B8">
      <w:pPr>
        <w:pStyle w:val="Heading2"/>
        <w:spacing w:before="360" w:after="140"/>
      </w:pPr>
      <w:r>
        <w:t>4.6 Feature constru</w:t>
      </w:r>
      <w:r>
        <w:t>ction</w:t>
      </w:r>
    </w:p>
    <w:p w:rsidR="0015244F" w:rsidRDefault="00A565B8">
      <w:pPr>
        <w:ind w:firstLine="567"/>
        <w:jc w:val="both"/>
      </w:pPr>
      <w:r>
        <w:rPr>
          <w:b/>
          <w:bCs/>
        </w:rPr>
        <w:lastRenderedPageBreak/>
        <w:t>Motivation.</w:t>
      </w:r>
      <w:r>
        <w:t xml:space="preserve"> The system must predict from quantities a handset actually possesses at the instant of prediction. Two constraints follow: no feature may use information from the future, and no feature may use information from a different drive.</w:t>
      </w:r>
    </w:p>
    <w:p w:rsidR="0015244F" w:rsidRDefault="00A565B8">
      <w:pPr>
        <w:ind w:firstLine="567"/>
        <w:jc w:val="both"/>
      </w:pPr>
      <w:r>
        <w:rPr>
          <w:b/>
          <w:bCs/>
        </w:rPr>
        <w:t xml:space="preserve">Design. </w:t>
      </w:r>
      <w:r>
        <w:rPr>
          <w:b w:val="0"/>
        </w:rPr>
        <w:t>The feature vector at the prediction instant t has three blocks and 112 columns in total. The radio and mobility blocks are built from the one-hertz export; the history block is built from the decoded signalling. Two rules govern their construction, and the first is the single most consequential decision in this thesis.</w:t>
      </w:r>
      <w:proofErr w:type="spellStart"/>
      <w:r/>
      <w:proofErr w:type="spellEnd"/>
      <w:r/>
    </w:p>
    <w:p w:rsidR="0015244F" w:rsidRDefault="00A565B8">
      <w:pPr>
        <w:pStyle w:val="TableCaption"/>
        <w:spacing w:before="240" w:after="120" w:line="240" w:lineRule="auto"/>
        <w:jc w:val="center"/>
      </w:pPr>
      <w:r>
        <w:t>Alignment. An export row stamped t summarises an interval that ends after t, not before it: Section 5.1 shows that in 76% of handovers the row stamped inside the second before the handover command already carries the post-handover serving cell, against a background rate of 12% three rows earlier. Every export-derived feature is therefore lagged by one row, so that a prediction made at t uses only the row closing at or before t. Nothing else in this thesis changes as much as this does.</w:t>
      </w:r>
      <w:r/>
    </w:p>
    <w:p w:rsidR="0015244F" w:rsidRDefault="00A565B8">
      <w:pPr>
        <w:pStyle w:val="TableCaption"/>
        <w:spacing w:before="240" w:after="120" w:line="240" w:lineRule="auto"/>
        <w:jc w:val="center"/>
      </w:pPr>
      <w:r>
        <w:t>History from the event clock, not from the export. Time since the previous handover command, the number of commands in the previous 30 and 60 seconds, and whether the previous command was a return are computed from the decoded signalling, whose timestamps are exact to the millisecond, and over the whole continuous session rather than within a 180-second block. Computing them per block left a third of every block with a truncated history, and computing dwell time from the export's serving-cell column imports the alignment error described above: that single substitution moves the dwell feature's own AUROC from 0.873 to 0.664.</w:t>
      </w:r>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Block</w:t>
            </w:r>
          </w:p>
        </w:tc>
        <w:tc>
          <w:tcPr>
            <w:tcMar>
              <w:top w:w="60" w:type="dxa"/>
              <w:left w:w="100" w:type="dxa"/>
              <w:bottom w:w="60" w:type="dxa"/>
              <w:right w:w="100" w:type="dxa"/>
            </w:tcMar>
          </w:tcPr>
          <w:p>
            <w:r>
              <w:t>Count</w:t>
            </w:r>
          </w:p>
        </w:tc>
        <w:tc>
          <w:tcPr>
            <w:tcMar>
              <w:top w:w="60" w:type="dxa"/>
              <w:left w:w="100" w:type="dxa"/>
              <w:bottom w:w="60" w:type="dxa"/>
              <w:right w:w="100" w:type="dxa"/>
            </w:tcMar>
          </w:tcPr>
          <w:p>
            <w:r>
              <w:t>Source</w:t>
            </w:r>
          </w:p>
        </w:tc>
        <w:tc>
          <w:tcPr>
            <w:tcMar>
              <w:top w:w="60" w:type="dxa"/>
              <w:left w:w="100" w:type="dxa"/>
              <w:bottom w:w="60" w:type="dxa"/>
              <w:right w:w="100" w:type="dxa"/>
            </w:tcMar>
          </w:tcPr>
          <w:p>
            <w:r>
              <w:t>Content</w:t>
            </w:r>
          </w:p>
        </w:tc>
      </w:tr>
      <w:tr w:rsidR="0015244F">
        <w:tblPrEx>
          <w:tblCellMar>
            <w:top w:w="0" w:type="dxa"/>
            <w:bottom w:w="0" w:type="dxa"/>
          </w:tblCellMar>
        </w:tblPrEx>
        <w:trPr>
          <w:tblHeader/>
        </w:trPr>
        <w:tc>
          <w:tcPr>
            <w:tcMar>
              <w:top w:w="60" w:type="dxa"/>
              <w:left w:w="100" w:type="dxa"/>
              <w:bottom w:w="60" w:type="dxa"/>
              <w:right w:w="100" w:type="dxa"/>
            </w:tcMar>
          </w:tcPr>
          <w:p>
            <w:r>
              <w:t>Radio</w:t>
            </w:r>
          </w:p>
        </w:tc>
        <w:tc>
          <w:tcPr>
            <w:tcMar>
              <w:top w:w="60" w:type="dxa"/>
              <w:left w:w="100" w:type="dxa"/>
              <w:bottom w:w="60" w:type="dxa"/>
              <w:right w:w="100" w:type="dxa"/>
            </w:tcMar>
          </w:tcPr>
          <w:p>
            <w:r>
              <w:t>83</w:t>
            </w:r>
          </w:p>
        </w:tc>
        <w:tc>
          <w:tcPr>
            <w:tcMar>
              <w:top w:w="60" w:type="dxa"/>
              <w:left w:w="100" w:type="dxa"/>
              <w:bottom w:w="60" w:type="dxa"/>
              <w:right w:w="100" w:type="dxa"/>
            </w:tcMar>
          </w:tcPr>
          <w:p>
            <w:r>
              <w:t>1 Hz export, lagged one row</w:t>
            </w:r>
          </w:p>
        </w:tc>
        <w:tc>
          <w:tcPr>
            <w:tcMar>
              <w:top w:w="60" w:type="dxa"/>
              <w:left w:w="100" w:type="dxa"/>
              <w:bottom w:w="60" w:type="dxa"/>
              <w:right w:w="100" w:type="dxa"/>
            </w:tcMar>
          </w:tcPr>
          <w:p>
            <w:r>
              <w:t>Serving and neighbour RSRP, RSRQ, SINR, RSSI, CQI; rolling mean, standard deviation, range, slope and first difference over 3, 5 and 10 s; serving-to-neighbour gaps</w:t>
            </w:r>
          </w:p>
        </w:tc>
      </w:tr>
      <w:tr w:rsidR="0015244F">
        <w:tblPrEx>
          <w:tblCellMar>
            <w:top w:w="0" w:type="dxa"/>
            <w:bottom w:w="0" w:type="dxa"/>
          </w:tblCellMar>
        </w:tblPrEx>
        <w:trPr>
          <w:tblHeader/>
        </w:trPr>
        <w:tc>
          <w:tcPr>
            <w:tcMar>
              <w:top w:w="60" w:type="dxa"/>
              <w:left w:w="100" w:type="dxa"/>
              <w:bottom w:w="60" w:type="dxa"/>
              <w:right w:w="100" w:type="dxa"/>
            </w:tcMar>
          </w:tcPr>
          <w:p>
            <w:r>
              <w:t>Mobility</w:t>
            </w:r>
          </w:p>
        </w:tc>
        <w:tc>
          <w:tcPr>
            <w:tcMar>
              <w:top w:w="60" w:type="dxa"/>
              <w:left w:w="100" w:type="dxa"/>
              <w:bottom w:w="60" w:type="dxa"/>
              <w:right w:w="100" w:type="dxa"/>
            </w:tcMar>
          </w:tcPr>
          <w:p>
            <w:r>
              <w:t>17</w:t>
            </w:r>
          </w:p>
        </w:tc>
        <w:tc>
          <w:tcPr>
            <w:tcMar>
              <w:top w:w="60" w:type="dxa"/>
              <w:left w:w="100" w:type="dxa"/>
              <w:bottom w:w="60" w:type="dxa"/>
              <w:right w:w="100" w:type="dxa"/>
            </w:tcMar>
          </w:tcPr>
          <w:p>
            <w:r>
              <w:t>1 Hz export, lagged one row</w:t>
            </w:r>
          </w:p>
        </w:tc>
        <w:tc>
          <w:tcPr>
            <w:tcMar>
              <w:top w:w="60" w:type="dxa"/>
              <w:left w:w="100" w:type="dxa"/>
              <w:bottom w:w="60" w:type="dxa"/>
              <w:right w:w="100" w:type="dxa"/>
            </w:tcMar>
          </w:tcPr>
          <w:p>
            <w:r>
              <w:t>GPS speed, heading change, acceleration and their rolling statistics</w:t>
            </w:r>
          </w:p>
        </w:tc>
      </w:tr>
      <w:tr w:rsidR="0015244F">
        <w:tblPrEx>
          <w:tblCellMar>
            <w:top w:w="0" w:type="dxa"/>
            <w:bottom w:w="0" w:type="dxa"/>
          </w:tblCellMar>
        </w:tblPrEx>
        <w:trPr>
          <w:tblHeader/>
        </w:trPr>
        <w:tc>
          <w:tcPr>
            <w:tcMar>
              <w:top w:w="60" w:type="dxa"/>
              <w:left w:w="100" w:type="dxa"/>
              <w:bottom w:w="60" w:type="dxa"/>
              <w:right w:w="100" w:type="dxa"/>
            </w:tcMar>
          </w:tcPr>
          <w:p>
            <w:r>
              <w:t>History</w:t>
            </w:r>
          </w:p>
        </w:tc>
        <w:tc>
          <w:tcPr>
            <w:tcMar>
              <w:top w:w="60" w:type="dxa"/>
              <w:left w:w="100" w:type="dxa"/>
              <w:bottom w:w="60" w:type="dxa"/>
              <w:right w:w="100" w:type="dxa"/>
            </w:tcMar>
          </w:tcPr>
          <w:p>
            <w:r>
              <w:t>6</w:t>
            </w:r>
          </w:p>
        </w:tc>
        <w:tc>
          <w:tcPr>
            <w:tcMar>
              <w:top w:w="60" w:type="dxa"/>
              <w:left w:w="100" w:type="dxa"/>
              <w:bottom w:w="60" w:type="dxa"/>
              <w:right w:w="100" w:type="dxa"/>
            </w:tcMar>
          </w:tcPr>
          <w:p>
            <w:r>
              <w:t>decoded signalling, session-level</w:t>
            </w:r>
          </w:p>
        </w:tc>
        <w:tc>
          <w:tcPr>
            <w:tcMar>
              <w:top w:w="60" w:type="dxa"/>
              <w:left w:w="100" w:type="dxa"/>
              <w:bottom w:w="60" w:type="dxa"/>
              <w:right w:w="100" w:type="dxa"/>
            </w:tcMar>
          </w:tcPr>
          <w:p>
            <w:r>
              <w:t>Time since the previous and second-previous handover command, command counts in the previous 30 and 60 s, whether the previous command was a return</w:t>
            </w:r>
          </w:p>
        </w:tc>
      </w:tr>
      <w:tr w:rsidR="0015244F">
        <w:tblPrEx>
          <w:tblCellMar>
            <w:top w:w="0" w:type="dxa"/>
            <w:bottom w:w="0" w:type="dxa"/>
          </w:tblCellMar>
        </w:tblPrEx>
        <w:trPr>
          <w:tblHeader/>
        </w:trPr>
        <w:tc>
          <w:tcPr>
            <w:tcMar>
              <w:top w:w="60" w:type="dxa"/>
              <w:left w:w="100" w:type="dxa"/>
              <w:bottom w:w="60" w:type="dxa"/>
              <w:right w:w="100" w:type="dxa"/>
            </w:tcMar>
          </w:tcPr>
          <w:p>
            <w:r>
              <w:t>Main feature set</w:t>
            </w:r>
          </w:p>
        </w:tc>
        <w:tc>
          <w:tcPr>
            <w:tcMar>
              <w:top w:w="60" w:type="dxa"/>
              <w:left w:w="100" w:type="dxa"/>
              <w:bottom w:w="60" w:type="dxa"/>
              <w:right w:w="100" w:type="dxa"/>
            </w:tcMar>
          </w:tcPr>
          <w:p>
            <w:r>
              <w:t>112</w:t>
            </w:r>
          </w:p>
        </w:tc>
        <w:tc>
          <w:tcPr>
            <w:tcMar>
              <w:top w:w="60" w:type="dxa"/>
              <w:left w:w="100" w:type="dxa"/>
              <w:bottom w:w="60" w:type="dxa"/>
              <w:right w:w="100" w:type="dxa"/>
            </w:tcMar>
          </w:tcPr>
          <w:p>
            <w:r/>
          </w:p>
        </w:tc>
        <w:tc>
          <w:tcPr>
            <w:tcMar>
              <w:top w:w="60" w:type="dxa"/>
              <w:left w:w="100" w:type="dxa"/>
              <w:bottom w:w="60" w:type="dxa"/>
              <w:right w:w="100" w:type="dxa"/>
            </w:tcMar>
          </w:tcPr>
          <w:p>
            <w:r>
              <w:t>used by every learner in Sections 5.2 to 5.8</w:t>
            </w:r>
          </w:p>
        </w:tc>
      </w:tr>
      <w:tr w:rsidR="0015244F">
        <w:tblPrEx>
          <w:tblCellMar>
            <w:top w:w="0" w:type="dxa"/>
            <w:bottom w:w="0" w:type="dxa"/>
          </w:tblCellMar>
        </w:tblPrEx>
        <w:trPr>
          <w:tblHeader/>
        </w:trPr>
        <w:tc>
          <w:tcPr>
            <w:tcMar>
              <w:top w:w="60" w:type="dxa"/>
              <w:left w:w="100" w:type="dxa"/>
              <w:bottom w:w="60" w:type="dxa"/>
              <w:right w:w="100" w:type="dxa"/>
            </w:tcMar>
          </w:tcPr>
          <w:p>
            <w:r>
              <w:t>Signalling (ablation only)</w:t>
            </w:r>
          </w:p>
        </w:tc>
        <w:tc>
          <w:tcPr>
            <w:tcMar>
              <w:top w:w="60" w:type="dxa"/>
              <w:left w:w="100" w:type="dxa"/>
              <w:bottom w:w="60" w:type="dxa"/>
              <w:right w:w="100" w:type="dxa"/>
            </w:tcMar>
          </w:tcPr>
          <w:p>
            <w:r>
              <w:t>10</w:t>
            </w:r>
          </w:p>
        </w:tc>
        <w:tc>
          <w:tcPr>
            <w:tcMar>
              <w:top w:w="60" w:type="dxa"/>
              <w:left w:w="100" w:type="dxa"/>
              <w:bottom w:w="60" w:type="dxa"/>
              <w:right w:w="100" w:type="dxa"/>
            </w:tcMar>
          </w:tcPr>
          <w:p>
            <w:r>
              <w:t>decoded signalling</w:t>
            </w:r>
          </w:p>
        </w:tc>
        <w:tc>
          <w:tcPr>
            <w:tcMar>
              <w:top w:w="60" w:type="dxa"/>
              <w:left w:w="100" w:type="dxa"/>
              <w:bottom w:w="60" w:type="dxa"/>
              <w:right w:w="100" w:type="dxa"/>
            </w:tcMar>
          </w:tcPr>
          <w:p>
            <w:r>
              <w:t>A3 and all-event report counts in (t−w, t], time since the last A3 report, A3 hold time, and the offset, hysteresis and time-to-trigger in force</w:t>
            </w:r>
          </w:p>
        </w:tc>
      </w:tr>
    </w:tbl>
    <w:p w:rsidR="0015244F" w:rsidRDefault="0015244F">
      <w:pPr>
        <w:spacing w:after="120" w:line="240" w:lineRule="auto"/>
      </w:pPr>
    </w:p>
    <w:p w:rsidR="0015244F" w:rsidRDefault="00A565B8">
      <w:pPr>
        <w:ind w:firstLine="567"/>
        <w:jc w:val="both"/>
      </w:pPr>
      <w:r>
        <w:t>Every rolling window is strictly backward-looking and closes at the lagged row, and window computation is performed per campaign so that no window spans a session boundary. Scalers, imputation values, thresholds and calibrators are fitted inside the training partition of each fold only.</w:t>
      </w:r>
      <w:r>
        <w:rPr>
          <w:i/>
          <w:iCs/>
        </w:rPr>
      </w:r>
      <w:r/>
      <w:proofErr w:type="spellStart"/>
      <w:r/>
      <w:proofErr w:type="spellEnd"/>
      <w:r/>
      <w:r/>
    </w:p>
    <w:p w:rsidR="0015244F" w:rsidRDefault="00A565B8">
      <w:pPr>
        <w:ind w:firstLine="567"/>
        <w:jc w:val="both"/>
      </w:pPr>
      <w:r>
        <w:rPr>
          <w:b w:val="0"/>
          <w:bCs/>
        </w:rPr>
        <w:t>The signalling block is reported as an ablation rather than used in the main arm. It counts measurement reports by event type in the windows (t − w, t] for w in {1, 2, 5} seconds, the time since the most recent A3 report, how long the A3 entry condition has held, and the offset, hysteresis and time-to-trigger in force. These are quantities the network itself holds at t, so using them is legitimate; they are separated out because a handset-side predictor may not have them, and because their contribution is worth reporting on its own (Section 5.8).</w:t>
      </w:r>
      <w:proofErr w:type="spellStart"/>
      <w:r>
        <w:rPr>
          <w:b/>
          <w:bCs/>
        </w:rPr>
      </w:r>
      <w:proofErr w:type="spellEnd"/>
      <w:r>
        <w:rPr>
          <w:b/>
          <w:bCs/>
        </w:rPr>
      </w:r>
      <w:r/>
      <w:r/>
      <w:proofErr w:type="spellStart"/>
      <w:r/>
      <w:proofErr w:type="spellEnd"/>
      <w:r/>
      <w:r>
        <w:rPr>
          <w:i/>
          <w:iCs/>
        </w:rPr>
      </w:r>
      <w:r/>
      <w:r>
        <w:rPr>
          <w:i/>
          <w:iCs/>
        </w:rPr>
      </w:r>
      <w:r/>
      <w:r/>
      <w:r>
        <w:rPr>
          <w:i/>
          <w:iCs/>
        </w:rPr>
      </w:r>
      <w:r/>
    </w:p>
    <w:p w:rsidR="0015244F" w:rsidRDefault="00A565B8">
      <w:pPr>
        <w:pStyle w:val="Heading2"/>
        <w:spacing w:before="360" w:after="140"/>
      </w:pPr>
      <w:r>
        <w:t>4.7 Models compared</w:t>
      </w:r>
    </w:p>
    <w:p w:rsidR="0015244F" w:rsidRDefault="00A565B8">
      <w:pPr>
        <w:ind w:firstLine="567"/>
        <w:jc w:val="both"/>
      </w:pPr>
      <w:r>
        <w:t>Seven learners are compared under identical folds, identical seeds, the identical hazard formulation and the identical feature matrix. The last of those is a change from an earlier draft, in which the sequence models consumed raw per-second measurements while the tabular models received the engineered features and the history block; under that arrangement the comparison varied the inputs as well as the learner. Here the sequence models consume windows of the ten most recent feature vectors — the same vectors, lagged the same way — so the only thing that varies between arms is the learner.</w:t>
      </w:r>
      <w:r/>
    </w:p>
    <w:p w:rsidR="0015244F" w:rsidRDefault="00A565B8">
      <w:pPr>
        <w:ind w:firstLine="567"/>
        <w:jc w:val="both"/>
      </w:pPr>
      <w:r>
        <w:rPr>
          <w:b/>
          <w:bCs/>
        </w:rPr>
        <w:t>The Event A3 rule.</w:t>
      </w:r>
      <w:r>
        <w:t xml:space="preserve"> The deployed rule is scored as if it were a predictor, using the recovered configuration of Table 3.1 to determine when the entry condition of Equation (2.1) holds. This is </w:t>
      </w:r>
      <w:r>
        <w:t>the most important baseline in the thesis because it is what is presently running in the network.</w:t>
      </w:r>
    </w:p>
    <w:p w:rsidR="0015244F" w:rsidRDefault="00A565B8">
      <w:pPr>
        <w:ind w:firstLine="567"/>
        <w:jc w:val="both"/>
      </w:pPr>
      <w:r>
        <w:rPr>
          <w:b/>
          <w:bCs/>
        </w:rPr>
        <w:t>Logistic regression.</w:t>
      </w:r>
      <w:r>
        <w:t xml:space="preserve"> A </w:t>
      </w:r>
      <w:proofErr w:type="spellStart"/>
      <w:r>
        <w:t>regularised</w:t>
      </w:r>
      <w:proofErr w:type="spellEnd"/>
      <w:r>
        <w:t xml:space="preserve"> linear model over the 107 features, included as the simplest learner that can use the full feature set.</w:t>
      </w:r>
    </w:p>
    <w:p w:rsidR="0015244F" w:rsidRDefault="00A565B8">
      <w:pPr>
        <w:ind w:firstLine="567"/>
        <w:jc w:val="both"/>
      </w:pPr>
      <w:r>
        <w:rPr>
          <w:b/>
          <w:bCs/>
        </w:rPr>
        <w:t>Gradient-boosted trees.</w:t>
      </w:r>
      <w:r>
        <w:t xml:space="preserve"> </w:t>
      </w:r>
      <w:proofErr w:type="spellStart"/>
      <w:r>
        <w:t>LightGBM</w:t>
      </w:r>
      <w:proofErr w:type="spellEnd"/>
      <w:r>
        <w:t xml:space="preserve"> [30] is the primary model. It is chosen for a tabular task with heterogeneous, partly missing features of mixed scale, where axis-aligned splits and native missing-value handling are well matched to the data.</w:t>
      </w:r>
    </w:p>
    <w:p w:rsidR="0015244F" w:rsidRDefault="00A565B8">
      <w:pPr>
        <w:ind w:firstLine="567"/>
        <w:jc w:val="both"/>
      </w:pPr>
      <w:r>
        <w:rPr>
          <w:b/>
          <w:bCs/>
        </w:rPr>
        <w:t>Multi-layer pe</w:t>
      </w:r>
      <w:r>
        <w:rPr>
          <w:b/>
          <w:bCs/>
        </w:rPr>
        <w:t>rceptron.</w:t>
      </w:r>
      <w:r>
        <w:t xml:space="preserve"> A feed-forward network over the same tabular features, included to separate the contribution of non-linearity from that of temporal memory.</w:t>
      </w:r>
    </w:p>
    <w:p w:rsidR="0015244F" w:rsidRDefault="00A565B8">
      <w:pPr>
        <w:ind w:firstLine="567"/>
        <w:jc w:val="both"/>
      </w:pPr>
      <w:r>
        <w:rPr>
          <w:b/>
          <w:bCs/>
        </w:rPr>
        <w:t>Sequence models.</w:t>
      </w:r>
      <w:r>
        <w:t xml:space="preserve"> A temporal convolutional network, a Transformer encoder and a gated recurrent unit, each </w:t>
      </w:r>
      <w:r>
        <w:t>consuming a window of raw per-second measurements rather than the engineered summary features. These arms test whether a model that learns its own temporal representation outperforms one given hand-constructed rolling statistics.</w:t>
      </w:r>
    </w:p>
    <w:p w:rsidR="0015244F" w:rsidRDefault="00A565B8">
      <w:pPr>
        <w:ind w:firstLine="567"/>
        <w:jc w:val="both"/>
      </w:pPr>
      <w:r>
        <w:t>Every arm receives the same tuning budget: twenty random-search trials per outer fold, scored on a calibration block held out of that fold's training data and separated from it by a 60-second purge. The search is therefore nested inside the evaluation, and the budget is equal by construction rather than by assertion. Section 5.2 reports the outcome.</w:t>
      </w:r>
      <w:r/>
      <w:proofErr w:type="spellStart"/>
      <w:r/>
      <w:proofErr w:type="spellEnd"/>
      <w:r/>
    </w:p>
    <w:p w:rsidR="0015244F" w:rsidRDefault="00A565B8">
      <w:pPr>
        <w:pStyle w:val="Heading2"/>
        <w:spacing w:before="360" w:after="140"/>
      </w:pPr>
      <w:r>
        <w:t>4.8 Calibration</w:t>
      </w:r>
    </w:p>
    <w:p w:rsidR="0015244F" w:rsidRDefault="00A565B8">
      <w:pPr>
        <w:ind w:firstLine="567"/>
        <w:jc w:val="both"/>
      </w:pPr>
      <w:r>
        <w:t>Ranking qual</w:t>
      </w:r>
      <w:r>
        <w:t>ity is insufficient for the task stated in Section 1.3, which requires the asserted probability to correspond to an empirical frequency. Three calibration treatments are evaluated.</w:t>
      </w:r>
    </w:p>
    <w:p w:rsidR="0015244F" w:rsidRDefault="00A565B8">
      <w:pPr>
        <w:ind w:firstLine="567"/>
        <w:jc w:val="both"/>
      </w:pPr>
      <w:r>
        <w:rPr>
          <w:b/>
          <w:bCs/>
        </w:rPr>
        <w:t>Temperature scaling</w:t>
      </w:r>
      <w:r>
        <w:t xml:space="preserve"> [31] fits a single scalar on a held-out partition, divi</w:t>
      </w:r>
      <w:r>
        <w:t>ding the logits before the sigmoid. It is the least expressive treatment and cannot alter the ranking.</w:t>
      </w:r>
    </w:p>
    <w:p w:rsidR="0015244F" w:rsidRDefault="00A565B8">
      <w:pPr>
        <w:ind w:firstLine="567"/>
        <w:jc w:val="both"/>
      </w:pPr>
      <w:r>
        <w:rPr>
          <w:b/>
          <w:bCs/>
        </w:rPr>
        <w:t>Isotonic regression</w:t>
      </w:r>
      <w:r>
        <w:t xml:space="preserve"> [32] fits a non-decreasing step function per horizon. It is more expressive and can correct a wider class of </w:t>
      </w:r>
      <w:proofErr w:type="spellStart"/>
      <w:r>
        <w:t>miscalibration</w:t>
      </w:r>
      <w:proofErr w:type="spellEnd"/>
      <w:r>
        <w:t>, but it c</w:t>
      </w:r>
      <w:r>
        <w:t>onsumes a held-out split and, applied per horizon, is free to reorder the horizons relative to one another.</w:t>
      </w:r>
    </w:p>
    <w:p w:rsidR="0015244F" w:rsidRDefault="00A565B8">
      <w:pPr>
        <w:ind w:firstLine="567"/>
        <w:jc w:val="both"/>
      </w:pPr>
      <w:r>
        <w:rPr>
          <w:b/>
          <w:bCs/>
        </w:rPr>
        <w:lastRenderedPageBreak/>
        <w:t>The monotone projection</w:t>
      </w:r>
      <w:r>
        <w:t xml:space="preserve"> repairs an incoherent set of horizon outputs by projecting them onto the monotone cone. It is implemented for the control ar</w:t>
      </w:r>
      <w:r>
        <w:t>m only, since the hazard formulation makes it unnecessary.</w:t>
      </w:r>
    </w:p>
    <w:p w:rsidR="0015244F" w:rsidRDefault="00A565B8">
      <w:pPr>
        <w:ind w:firstLine="567"/>
        <w:jc w:val="both"/>
      </w:pPr>
      <w:r>
        <w:t>Calibration quality is reported as the expected calibration error, computed as the weighted mean absolute difference between confidence and empirical frequency across equal-mass bins, with the Brie</w:t>
      </w:r>
      <w:r>
        <w:t>r score reported alongside it.</w:t>
      </w:r>
    </w:p>
    <w:p w:rsidR="0015244F" w:rsidRDefault="00A565B8">
      <w:pPr>
        <w:pStyle w:val="Heading2"/>
        <w:spacing w:before="360" w:after="140"/>
      </w:pPr>
      <w:r>
        <w:t>4.9 Evaluation protocol</w:t>
      </w:r>
    </w:p>
    <w:p w:rsidR="0015244F" w:rsidRDefault="00A565B8">
      <w:pPr>
        <w:ind w:firstLine="567"/>
        <w:jc w:val="both"/>
      </w:pPr>
      <w:r>
        <w:rPr>
          <w:b/>
          <w:bCs/>
        </w:rPr>
        <w:t xml:space="preserve">Motivation. </w:t>
      </w:r>
      <w:r>
        <w:rPr>
          <w:b w:val="0"/>
        </w:rPr>
        <w:t>The protocol is the component most likely to invalidate a result on data of this kind, for two reasons that are usually conflated. Adjacent one-second samples within a session are near-duplicates, so a random row split places nearly the same row on both sides of it. But 180-second blocks of one continuous session are not independent either: they share cells, traffic, weather, device state and driver. Section 5.3 measures both.</w:t>
      </w:r>
      <w:r/>
    </w:p>
    <w:p w:rsidR="0015244F" w:rsidRDefault="00A565B8">
      <w:pPr>
        <w:ind w:firstLine="567"/>
        <w:jc w:val="both"/>
      </w:pPr>
      <w:r>
        <w:rPr>
          <w:b/>
          <w:bCs/>
        </w:rPr>
        <w:t xml:space="preserve">Design. </w:t>
      </w:r>
      <w:r>
        <w:rPr>
          <w:b w:val="0"/>
        </w:rPr>
        <w:t>The evaluation protocol has five elements, and a ladder of four splitting rules is reported rather than one.</w:t>
      </w:r>
    </w:p>
    <w:p w:rsidR="0015244F" w:rsidRDefault="00A565B8">
      <w:pPr>
        <w:ind w:firstLine="567"/>
        <w:jc w:val="both"/>
      </w:pPr>
      <w:r>
        <w:rPr>
          <w:i/>
          <w:iCs/>
        </w:rPr>
        <w:t>Units. The primary protocol is leave-one-campaign-out: each of the four campaigns is held out in turn and the model is trained on the other three. A campaign is one continuous session, which is the only unit in this dataset whose independence can be defended. Figure 4.2 illustrates the ladder.</w:t>
      </w:r>
      <w:r/>
    </w:p>
    <w:p w:rsidR="0015244F" w:rsidRDefault="00A565B8">
      <w:pPr>
        <w:keepNext/>
        <w:spacing w:before="240" w:after="120" w:line="240" w:lineRule="auto"/>
        <w:jc w:val="center"/>
      </w:pPr>
      <w:r>
        <w:rPr>
          <w:noProof/>
        </w:rPr>
        <w:drawing>
          <wp:inline distT="0" distB="0" distL="0" distR="0">
            <wp:extent cx="5762625" cy="20281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028186"/>
                    </a:xfrm>
                    <a:prstGeom prst="rect">
                      <a:avLst/>
                    </a:prstGeom>
                  </pic:spPr>
                </pic:pic>
              </a:graphicData>
            </a:graphic>
          </wp:inline>
        </w:drawing>
      </w:r>
    </w:p>
    <w:p w:rsidR="0015244F" w:rsidRDefault="00A565B8">
      <w:pPr>
        <w:pStyle w:val="FigureCaption"/>
        <w:spacing w:after="240" w:line="240" w:lineRule="auto"/>
        <w:jc w:val="center"/>
      </w:pPr>
      <w:r>
        <w:t>Figure 4.2 The splitting ladder. Leave-one-campaign-out holds out a whole continuous session; blocked cross-validation holds out a contiguous stretch of each session with a 60-second purge on either side; the two leaky protocols draw 180-second blocks, or rows, at random.</w:t>
      </w:r>
      <w:proofErr w:type="gramStart"/>
      <w:r/>
      <w:r/>
      <w:proofErr w:type="gramEnd"/>
      <w:r/>
    </w:p>
    <w:p w:rsidR="0015244F" w:rsidRDefault="00A565B8">
      <w:pPr>
        <w:ind w:firstLine="567"/>
        <w:jc w:val="both"/>
      </w:pPr>
      <w:r>
        <w:rPr>
          <w:i/>
          <w:iCs/>
        </w:rPr>
        <w:t>Secondary protocols. Three further rules are run on the same data with everything else fixed: contiguous time blocks within each campaign with a 60-second purge between train and test (the blocked cross-validation standard for temporally structured data, following the recommendation of Roberts et al. [35]); random 180-second blocks stratified by campaign, which is the protocol this work used before the audit; and random rows, which is the protocol most of the comparator literature uses. Section 5.3 reports all four.</w:t>
      </w:r>
      <w:r/>
      <w:r/>
    </w:p>
    <w:p w:rsidR="0015244F" w:rsidRDefault="00A565B8">
      <w:pPr>
        <w:ind w:firstLine="567"/>
        <w:jc w:val="both"/>
      </w:pPr>
      <w:r>
        <w:rPr>
          <w:i/>
          <w:iCs/>
        </w:rPr>
        <w:t>Repetition and uncertainty. Stochastic learners are run over three seeds and their predictions averaged. Intervals on pooled out-of-fold metrics come from a bootstrap that resamples whole 180-second blocks within each campaign; that interval is conditional on these four sessions and does not include between-day variation, so the per-campaign spread is always reported beside it. Comparisons between learners are reported as per-campaign differences over four paired observations, with the exact sign-test p-value quoted only to show its own resolution limit (0.125 at best). No significance claim is made from four units.</w:t>
      </w:r>
      <w:r/>
      <w:r>
        <w:rPr>
          <w:i/>
          <w:iCs/>
        </w:rPr>
      </w:r>
      <w:r/>
      <w:r/>
    </w:p>
    <w:p w:rsidR="0015244F" w:rsidRDefault="00A565B8">
      <w:pPr>
        <w:ind w:firstLine="567"/>
        <w:jc w:val="both"/>
      </w:pPr>
      <w:r>
        <w:rPr>
          <w:i/>
          <w:iCs/>
        </w:rPr>
        <w:t>Fold hygiene. The feature scaler, the decision threshold, the probability calibrator and the conformal threshold are fitted inside the training or calibration partition of each fold only, and the calibration partition is separated from the training partition by the same 60-second purge.</w:t>
      </w:r>
      <w:r/>
    </w:p>
    <w:p w:rsidR="0015244F" w:rsidRDefault="00A565B8">
      <w:pPr>
        <w:ind w:firstLine="567"/>
        <w:jc w:val="both"/>
      </w:pPr>
      <w:r>
        <w:rPr>
          <w:b/>
          <w:bCs/>
        </w:rPr>
        <w:t xml:space="preserve">Metrics. </w:t>
      </w:r>
      <w:r>
        <w:rPr>
          <w:b w:val="0"/>
        </w:rPr>
        <w:t>Four families are reported. Ranking quality is reported as AUPRC, always with the prevalence floor and the lift over it, together with AUROC. Calibration is reported as expected calibration error over fifteen equal-mass bins and Brier score. Coherence is reported as the fraction of rows on which the horizon ordering is violated, with the magnitude of the violations. Event-level cost is reported as the fraction of handover commands detected, the number of false-alarm episodes per hour and per kilometre, and the distribution of lead times. Reporting all four families is deliberate: Wagner et al. [30] show that no single aggregate metric for event detection satisfies all desirable properties.</w:t>
      </w:r>
      <w:r/>
      <w:r/>
      <w:proofErr w:type="spellStart"/>
      <w:r/>
      <w:proofErr w:type="spellEnd"/>
      <w:r/>
      <w:r/>
    </w:p>
    <w:p w:rsidR="0015244F" w:rsidRDefault="00A565B8">
      <w:pPr>
        <w:pStyle w:val="Heading2"/>
        <w:spacing w:before="360" w:after="140"/>
      </w:pPr>
      <w:r>
        <w:t>4.10 Distribution-free risk control</w:t>
      </w:r>
    </w:p>
    <w:p w:rsidR="0015244F" w:rsidRDefault="00A565B8">
      <w:pPr>
        <w:ind w:firstLine="567"/>
        <w:jc w:val="both"/>
      </w:pPr>
      <w:r>
        <w:rPr>
          <w:b/>
          <w:bCs/>
        </w:rPr>
        <w:t>Motivation.</w:t>
      </w:r>
      <w:r>
        <w:t xml:space="preserve"> A probability is not yet an operating point. Converting the model outpu</w:t>
      </w:r>
      <w:r>
        <w:t>t into a warning requires a threshold, and an operator is entitled to know what that threshold guarantees on drives it has not seen.</w:t>
      </w:r>
    </w:p>
    <w:p w:rsidR="0015244F" w:rsidRDefault="00A565B8">
      <w:pPr>
        <w:ind w:firstLine="567"/>
        <w:jc w:val="both"/>
      </w:pPr>
      <w:r>
        <w:rPr>
          <w:b/>
          <w:bCs/>
        </w:rPr>
        <w:t>Design.</w:t>
      </w:r>
      <w:r>
        <w:t xml:space="preserve"> Let λ ∈ Λ index a family of alarm thresholds ordered by decreasing strictness and let </w:t>
      </w:r>
      <w:proofErr w:type="gramStart"/>
      <w:r>
        <w:rPr>
          <w:i/>
          <w:iCs/>
        </w:rPr>
        <w:t>R</w:t>
      </w:r>
      <w:r>
        <w:t>(</w:t>
      </w:r>
      <w:proofErr w:type="gramEnd"/>
      <w:r>
        <w:t>λ) be a bounded, non-increa</w:t>
      </w:r>
      <w:r>
        <w:t>sing risk. Conformal risk control [20] selects</w:t>
      </w:r>
    </w:p>
    <w:p w:rsidR="0015244F" w:rsidRDefault="00A565B8">
      <w:pPr>
        <w:tabs>
          <w:tab w:val="right" w:pos="9121"/>
        </w:tabs>
        <w:spacing w:before="180" w:after="180"/>
        <w:jc w:val="center"/>
      </w:pPr>
      <w:r>
        <w:rPr>
          <w:i/>
          <w:iCs/>
        </w:rPr>
        <w:t xml:space="preserve">λ̂ = </w:t>
      </w:r>
      <w:proofErr w:type="spellStart"/>
      <w:r>
        <w:rPr>
          <w:i/>
          <w:iCs/>
        </w:rPr>
        <w:t>inf</w:t>
      </w:r>
      <w:proofErr w:type="spellEnd"/>
      <w:r>
        <w:rPr>
          <w:i/>
          <w:iCs/>
        </w:rPr>
        <w:t xml:space="preserve"> </w:t>
      </w:r>
      <w:proofErr w:type="gramStart"/>
      <w:r>
        <w:rPr>
          <w:i/>
          <w:iCs/>
        </w:rPr>
        <w:t>{ λ</w:t>
      </w:r>
      <w:proofErr w:type="gramEnd"/>
      <w:r>
        <w:rPr>
          <w:i/>
          <w:iCs/>
        </w:rPr>
        <w:t xml:space="preserve"> : ( </w:t>
      </w:r>
      <w:proofErr w:type="spellStart"/>
      <w:r>
        <w:rPr>
          <w:i/>
          <w:iCs/>
        </w:rPr>
        <w:t>n·R</w:t>
      </w:r>
      <w:proofErr w:type="spellEnd"/>
      <w:r>
        <w:rPr>
          <w:i/>
          <w:iCs/>
        </w:rPr>
        <w:t>̂(λ) + B ) / ( n + 1 ) ≤ α }</w:t>
      </w:r>
      <w:r>
        <w:tab/>
        <w:t>(4.9)</w:t>
      </w:r>
    </w:p>
    <w:p w:rsidR="0015244F" w:rsidRDefault="00A565B8">
      <w:pPr>
        <w:ind w:firstLine="567"/>
        <w:jc w:val="both"/>
      </w:pPr>
      <w:proofErr w:type="gramStart"/>
      <w:r>
        <w:t>where</w:t>
      </w:r>
      <w:proofErr w:type="gramEnd"/>
      <w:r>
        <w:t xml:space="preserve"> </w:t>
      </w:r>
      <w:r>
        <w:rPr>
          <w:i/>
          <w:iCs/>
        </w:rPr>
        <w:t>R̂</w:t>
      </w:r>
      <w:r>
        <w:t xml:space="preserve">(λ) is the empirical risk over </w:t>
      </w:r>
      <w:r>
        <w:rPr>
          <w:i/>
          <w:iCs/>
        </w:rPr>
        <w:t>n</w:t>
      </w:r>
      <w:r>
        <w:t xml:space="preserve"> exchangeable calibration units and </w:t>
      </w:r>
      <w:r>
        <w:rPr>
          <w:i/>
          <w:iCs/>
        </w:rPr>
        <w:t>B</w:t>
      </w:r>
      <w:r>
        <w:t xml:space="preserve"> bounds the loss, here </w:t>
      </w:r>
      <w:r>
        <w:rPr>
          <w:i/>
          <w:iCs/>
        </w:rPr>
        <w:t>B</w:t>
      </w:r>
      <w:r>
        <w:t xml:space="preserve"> = 1. The guarantee is that </w:t>
      </w:r>
      <w:proofErr w:type="gramStart"/>
      <w:r>
        <w:t>E[</w:t>
      </w:r>
      <w:proofErr w:type="gramEnd"/>
      <w:r>
        <w:rPr>
          <w:i/>
          <w:iCs/>
        </w:rPr>
        <w:t>R</w:t>
      </w:r>
      <w:r>
        <w:rPr>
          <w:vertAlign w:val="subscript"/>
        </w:rPr>
        <w:t>n+1</w:t>
      </w:r>
      <w:r>
        <w:t>(λ̂)] ≤ α for a fresh exchangeable unit, distribution-free, with no assumption on the model or on the data-generating process beyond exchangeability.</w:t>
      </w:r>
    </w:p>
    <w:p w:rsidR="0015244F" w:rsidRDefault="00A565B8">
      <w:pPr>
        <w:ind w:firstLine="567"/>
        <w:jc w:val="both"/>
      </w:pPr>
      <w:r>
        <w:rPr>
          <w:b/>
          <w:bCs/>
        </w:rPr>
        <w:t xml:space="preserve">The exchangeable unit and the loss. </w:t>
      </w:r>
      <w:r>
        <w:rPr>
          <w:b w:val="0"/>
        </w:rPr>
        <w:t>The risk is defined per driving unit, not per sample. For a unit d and threshold λ the row-level loss is the fraction of that unit's positive rows scored below the threshold,</w:t>
      </w:r>
      <w:r/>
      <w:r>
        <w:rPr>
          <w:b/>
          <w:bCs/>
        </w:rPr>
      </w:r>
    </w:p>
    <w:p w:rsidR="0015244F" w:rsidRDefault="00A565B8">
      <w:pPr>
        <w:ind w:firstLine="567"/>
        <w:jc w:val="both"/>
      </w:pPr>
      <w:r>
        <w:rPr>
          <w:b w:val="0"/>
          <w:bCs/>
        </w:rPr>
        <w:t>R_d(λ) = |{ t ∈ d : y_t = 1 and p̂_t &lt; λ }| / max(|{ t ∈ d : y_t = 1 }|, 1),     (4.9)</w:t>
      </w:r>
      <w:r>
        <w:rPr>
          <w:b w:val="0"/>
        </w:rPr>
      </w:r>
      <w:r/>
      <w:r>
        <w:rPr>
          <w:b/>
          <w:bCs/>
        </w:rPr>
      </w:r>
    </w:p>
    <w:p w:rsidR="0015244F" w:rsidRDefault="00A565B8">
      <w:pPr>
        <w:ind w:firstLine="567"/>
        <w:jc w:val="both"/>
      </w:pPr>
      <w:r>
        <w:rPr>
          <w:b w:val="0"/>
          <w:bCs/>
        </w:rPr>
        <w:t>which lies in [0, 1] and is non-decreasing in λ, so B = 1 and the bound of Equation (4.10) applies; a unit with no positive row contributes zero. This is a statement about rows, and it is not the statement Section 1.3 promises. A network operator misses a *handover*, not a row, and a handover occupies several rows of its lead window. The event-level loss is therefore also carried through: writing E_d for the handover commands whose lead window lies in unit d, a command at τ is caught at horizon h if some usable row in [τ − h, τ) alarms, and</w:t>
      </w:r>
      <w:r>
        <w:rPr>
          <w:b w:val="0"/>
        </w:rPr>
      </w:r>
      <w:r/>
      <w:r>
        <w:rPr>
          <w:b/>
          <w:bCs/>
        </w:rPr>
      </w:r>
    </w:p>
    <w:p w:rsidR="0015244F" w:rsidRDefault="00A565B8">
      <w:pPr>
        <w:ind w:firstLine="567"/>
        <w:jc w:val="both"/>
      </w:pPr>
      <w:r>
        <w:rPr>
          <w:b w:val="0"/>
          <w:bCs/>
        </w:rPr>
        <w:t>R_d^ev(λ) = |{ τ ∈ E_d : max_{t ∈ [τ−h, τ)} p̂_t &lt; λ }| / max(|E_d|, 1).     (4.11)</w:t>
      </w:r>
      <w:r>
        <w:rPr>
          <w:b w:val="0"/>
        </w:rPr>
      </w:r>
      <w:r/>
      <w:r>
        <w:rPr>
          <w:b/>
          <w:bCs/>
        </w:rPr>
      </w:r>
    </w:p>
    <w:p w:rsidR="0015244F" w:rsidRDefault="00A565B8">
      <w:pPr>
        <w:ind w:firstLine="567"/>
        <w:jc w:val="both"/>
      </w:pPr>
      <w:r>
        <w:rPr>
          <w:b w:val="0"/>
          <w:bCs/>
        </w:rPr>
        <w:t>A command with no usable row in its window is counted as missed rather than dropped from the denominator, which is what makes this loss comparable with the detection rate of Appendix A rather than with the row-level miss rate. Section 5.5 reports both, because they differ and because the difference is the interesting part.</w:t>
      </w:r>
      <w:r>
        <w:rPr>
          <w:b w:val="0"/>
        </w:rPr>
      </w:r>
      <w:r/>
      <w:r>
        <w:rPr>
          <w:b/>
          <w:bCs/>
        </w:rPr>
      </w:r>
    </w:p>
    <w:p w:rsidR="0015244F" w:rsidRDefault="00A565B8">
      <w:pPr>
        <w:ind w:firstLine="567"/>
        <w:jc w:val="both"/>
      </w:pPr>
      <w:r>
        <w:rPr>
          <w:b/>
          <w:bCs/>
        </w:rPr>
        <w:t xml:space="preserve">R̂(λ) averages the chosen loss over calibration units. </w:t>
      </w:r>
      <w:r>
        <w:rPr>
          <w:b w:val="0"/>
        </w:rPr>
        <w:t>The choice of unit is the substantive part of the claim, and it is tested rather than asserted. Section 5.5 reports the procedure twice: once with calibration and test units drawn from the same pool of 180-second blocks, where exchangeability is plausible and the bound should hold; and once with calibration on one whole campaign and the guarantee claimed for a different campaign, where exchangeability is not plausible and the bound is not expected to hold. Reporting the second case is the point: a guarantee whose assumption fails silently is worse than no guarantee.</w:t>
      </w:r>
      <w:r/>
      <w:r>
        <w:rPr>
          <w:b/>
          <w:bCs/>
        </w:rPr>
      </w:r>
    </w:p>
    <w:p w:rsidR="0015244F" w:rsidRDefault="00A565B8">
      <w:pPr>
        <w:tabs>
          <w:tab w:val="right" w:pos="9121"/>
        </w:tabs>
        <w:spacing w:before="180" w:after="180"/>
        <w:jc w:val="center"/>
      </w:pPr>
      <w:proofErr w:type="spellStart"/>
      <w:r>
        <w:rPr>
          <w:i/>
          <w:iCs/>
        </w:rPr>
        <w:t>R_</w:t>
      </w:r>
      <w:proofErr w:type="gramStart"/>
      <w:r>
        <w:rPr>
          <w:i/>
          <w:iCs/>
        </w:rPr>
        <w:t>d</w:t>
      </w:r>
      <w:proofErr w:type="spellEnd"/>
      <w:r>
        <w:rPr>
          <w:i/>
          <w:iCs/>
        </w:rPr>
        <w:t>(</w:t>
      </w:r>
      <w:proofErr w:type="gramEnd"/>
      <w:r>
        <w:rPr>
          <w:i/>
          <w:iCs/>
        </w:rPr>
        <w:t xml:space="preserve">λ) = </w:t>
      </w:r>
      <w:r>
        <w:tab/>
        <w:t xml:space="preserve">{ t ∈ d : </w:t>
      </w:r>
      <w:proofErr w:type="spellStart"/>
      <w:r>
        <w:t>y_</w:t>
      </w:r>
      <w:r>
        <w:t>t</w:t>
      </w:r>
      <w:proofErr w:type="spellEnd"/>
      <w:r>
        <w:t xml:space="preserve"> = 1 ∧ </w:t>
      </w:r>
      <w:proofErr w:type="spellStart"/>
      <w:r>
        <w:t>p̂_t</w:t>
      </w:r>
      <w:proofErr w:type="spellEnd"/>
      <w:r>
        <w:t xml:space="preserve"> &lt; λ }</w:t>
      </w:r>
    </w:p>
    <w:p w:rsidR="0015244F" w:rsidRDefault="00A565B8">
      <w:pPr>
        <w:ind w:firstLine="567"/>
        <w:jc w:val="both"/>
      </w:pPr>
      <w:proofErr w:type="gramStart"/>
      <w:r>
        <w:t>and</w:t>
      </w:r>
      <w:proofErr w:type="gramEnd"/>
      <w:r>
        <w:t xml:space="preserve"> </w:t>
      </w:r>
      <w:r>
        <w:rPr>
          <w:i/>
          <w:iCs/>
        </w:rPr>
        <w:t>R̂</w:t>
      </w:r>
      <w:r>
        <w:t xml:space="preserve">(λ) averages over calibration </w:t>
      </w:r>
      <w:r>
        <w:rPr>
          <w:i/>
          <w:iCs/>
        </w:rPr>
        <w:t>drives</w:t>
      </w:r>
      <w:r>
        <w:t xml:space="preserve"> rather than over samples.</w:t>
      </w:r>
    </w:p>
    <w:p w:rsidR="0015244F" w:rsidRDefault="00A565B8">
      <w:pPr>
        <w:ind w:firstLine="567"/>
        <w:jc w:val="both"/>
      </w:pPr>
      <w:r>
        <w:rPr>
          <w:b/>
          <w:bCs/>
        </w:rPr>
        <w:lastRenderedPageBreak/>
        <w:t>Technical advantage, and a design rule that follows from it.</w:t>
      </w:r>
      <w:r>
        <w:t xml:space="preserve"> Equation (4.9) can be satisfied only if its left-hand side can reach α at all. At the most permissive thres</w:t>
      </w:r>
      <w:r>
        <w:t xml:space="preserve">hold </w:t>
      </w:r>
      <w:r>
        <w:rPr>
          <w:i/>
          <w:iCs/>
        </w:rPr>
        <w:t>R̂</w:t>
      </w:r>
      <w:r>
        <w:t xml:space="preserve"> = 0, so the smallest attainable value is </w:t>
      </w:r>
      <w:r>
        <w:rPr>
          <w:i/>
          <w:iCs/>
        </w:rPr>
        <w:t>B</w:t>
      </w:r>
      <w:proofErr w:type="gramStart"/>
      <w:r>
        <w:t>/(</w:t>
      </w:r>
      <w:proofErr w:type="gramEnd"/>
      <w:r>
        <w:rPr>
          <w:i/>
          <w:iCs/>
        </w:rPr>
        <w:t>n</w:t>
      </w:r>
      <w:r>
        <w:t>+1), giving the feasibility floor</w:t>
      </w:r>
    </w:p>
    <w:p w:rsidR="0015244F" w:rsidRDefault="00A565B8">
      <w:pPr>
        <w:tabs>
          <w:tab w:val="right" w:pos="9121"/>
        </w:tabs>
        <w:spacing w:before="180" w:after="180"/>
        <w:jc w:val="center"/>
      </w:pPr>
      <w:proofErr w:type="gramStart"/>
      <w:r>
        <w:rPr>
          <w:i/>
          <w:iCs/>
        </w:rPr>
        <w:t>α</w:t>
      </w:r>
      <w:proofErr w:type="gramEnd"/>
      <w:r>
        <w:rPr>
          <w:i/>
          <w:iCs/>
        </w:rPr>
        <w:t xml:space="preserve"> ≥ 1/(n+1)   ⟺   n ≥ 1/α − 1</w:t>
      </w:r>
      <w:r>
        <w:tab/>
        <w:t>(4.11)</w:t>
      </w:r>
    </w:p>
    <w:p w:rsidR="0015244F" w:rsidRDefault="00A565B8">
      <w:pPr>
        <w:ind w:firstLine="567"/>
        <w:jc w:val="both"/>
      </w:pPr>
      <w:r>
        <w:t>Equation (4.12) is a campaign-design rule and a direct corollary of the bound in [21] rather than a new result: a study that wishes to promise a 5 % miss rate needs at least 19 calibration units and one promising 2 % needs 49, whatever the model does. With the 14 calibration blocks available in a held-out campaign here, the tightest expressible target is α ≥ 0.067. The rule is worth stating in a mobility context because campaign size is the binding constraint on what such a study can promise, and because it converts a modelling question into a data-collection question.</w:t>
      </w:r>
      <w:r>
        <w:rPr>
          <w:b/>
          <w:bCs/>
        </w:rPr>
      </w:r>
      <w:r/>
      <w:r/>
      <w:r>
        <w:rPr>
          <w:i/>
          <w:iCs/>
        </w:rPr>
      </w:r>
      <w:r/>
      <w:r/>
    </w:p>
    <w:p w:rsidR="0015244F" w:rsidRDefault="00A565B8">
      <w:pPr>
        <w:ind w:firstLine="567"/>
        <w:jc w:val="both"/>
      </w:pPr>
      <w:r>
        <w:t>A second floor binds the event-level loss, and it comes from the instrument rather than from the calibration set. A command with no usable row in its lead window is missed whatever the threshold, and at the one-second horizon 36.4% of commands are in that position against 12.0% at three seconds. No event-level target below those values is expressible at any threshold, so the sampling rate of the export, and not the model, sets the tightest promise a study on this instrument can make about handovers.</w:t>
      </w:r>
      <w:r>
        <w:rPr>
          <w:b/>
          <w:bCs/>
        </w:rPr>
      </w:r>
      <w:r/>
      <w:r/>
      <w:r>
        <w:rPr>
          <w:i/>
          <w:iCs/>
        </w:rPr>
      </w:r>
      <w:r/>
      <w:r/>
    </w:p>
    <w:p w:rsidR="0015244F" w:rsidRDefault="00A565B8">
      <w:pPr>
        <w:pStyle w:val="Heading2"/>
        <w:spacing w:before="360" w:after="140"/>
      </w:pPr>
      <w:r>
        <w:t>4.11 Point-process analysis of handover arrivals</w:t>
      </w:r>
    </w:p>
    <w:p w:rsidR="0015244F" w:rsidRDefault="00A565B8">
      <w:pPr>
        <w:ind w:firstLine="567"/>
        <w:jc w:val="both"/>
      </w:pPr>
      <w:r>
        <w:rPr>
          <w:b/>
          <w:bCs/>
        </w:rPr>
        <w:t>Motivation.</w:t>
      </w:r>
      <w:r>
        <w:t xml:space="preserve"> The ping-pong </w:t>
      </w:r>
      <w:proofErr w:type="spellStart"/>
      <w:r>
        <w:t>behaviour</w:t>
      </w:r>
      <w:proofErr w:type="spellEnd"/>
      <w:r>
        <w:t xml:space="preserve"> of Section 5.9 suggests that handovers do not arrive independently. Quantifying that clustering requires a mod</w:t>
      </w:r>
      <w:r>
        <w:t>el of the arrival process itself rather than of the per-sample probability.</w:t>
      </w:r>
    </w:p>
    <w:p w:rsidR="0015244F" w:rsidRDefault="00A565B8">
      <w:pPr>
        <w:ind w:firstLine="567"/>
        <w:jc w:val="both"/>
      </w:pPr>
      <w:r>
        <w:rPr>
          <w:b/>
          <w:bCs/>
        </w:rPr>
        <w:t>Design.</w:t>
      </w:r>
      <w:r>
        <w:t xml:space="preserve"> The handover arrival stream on each drive is modelled as a self-exciting Hawkes process [21], [22] with conditional intensity</w:t>
      </w:r>
    </w:p>
    <w:p w:rsidR="0015244F" w:rsidRDefault="00A565B8">
      <w:pPr>
        <w:tabs>
          <w:tab w:val="right" w:pos="9121"/>
        </w:tabs>
        <w:spacing w:before="180" w:after="180"/>
        <w:jc w:val="center"/>
      </w:pPr>
      <w:proofErr w:type="gramStart"/>
      <w:r>
        <w:rPr>
          <w:i/>
          <w:iCs/>
        </w:rPr>
        <w:t>μ(</w:t>
      </w:r>
      <w:proofErr w:type="gramEnd"/>
      <w:r>
        <w:rPr>
          <w:i/>
          <w:iCs/>
        </w:rPr>
        <w:t>t) = μ_0 + Σ_{</w:t>
      </w:r>
      <w:proofErr w:type="spellStart"/>
      <w:r>
        <w:rPr>
          <w:i/>
          <w:iCs/>
        </w:rPr>
        <w:t>t_i</w:t>
      </w:r>
      <w:proofErr w:type="spellEnd"/>
      <w:r>
        <w:rPr>
          <w:i/>
          <w:iCs/>
        </w:rPr>
        <w:t xml:space="preserve"> &lt; t} α · </w:t>
      </w:r>
      <w:proofErr w:type="spellStart"/>
      <w:r>
        <w:rPr>
          <w:i/>
          <w:iCs/>
        </w:rPr>
        <w:t>exp</w:t>
      </w:r>
      <w:proofErr w:type="spellEnd"/>
      <w:r>
        <w:rPr>
          <w:i/>
          <w:iCs/>
        </w:rPr>
        <w:t xml:space="preserve">( −β ( t − </w:t>
      </w:r>
      <w:proofErr w:type="spellStart"/>
      <w:r>
        <w:rPr>
          <w:i/>
          <w:iCs/>
        </w:rPr>
        <w:t>t_i</w:t>
      </w:r>
      <w:proofErr w:type="spellEnd"/>
      <w:r>
        <w:rPr>
          <w:i/>
          <w:iCs/>
        </w:rPr>
        <w:t xml:space="preserve"> ) )</w:t>
      </w:r>
      <w:r>
        <w:tab/>
        <w:t>(4.12)</w:t>
      </w:r>
    </w:p>
    <w:p w:rsidR="0015244F" w:rsidRDefault="00A565B8">
      <w:pPr>
        <w:ind w:firstLine="567"/>
        <w:jc w:val="both"/>
      </w:pPr>
      <w:proofErr w:type="gramStart"/>
      <w:r>
        <w:t>in</w:t>
      </w:r>
      <w:proofErr w:type="gramEnd"/>
      <w:r>
        <w:t xml:space="preserve"> which each arrival raises the intensity of subsequent arrivals by α and the excitation decays at rate β. The </w:t>
      </w:r>
      <w:r>
        <w:rPr>
          <w:b/>
          <w:bCs/>
        </w:rPr>
        <w:t>branching ratio</w:t>
      </w:r>
      <w:r>
        <w:t xml:space="preserve"> α/β is the expected number of direct offspring per event and </w:t>
      </w:r>
      <w:proofErr w:type="spellStart"/>
      <w:r>
        <w:t>summarises</w:t>
      </w:r>
      <w:proofErr w:type="spellEnd"/>
      <w:r>
        <w:t xml:space="preserve"> the strength of the clustering.</w:t>
      </w:r>
    </w:p>
    <w:p w:rsidR="0015244F" w:rsidRDefault="00A565B8">
      <w:pPr>
        <w:ind w:firstLine="567"/>
        <w:jc w:val="both"/>
      </w:pPr>
      <w:r>
        <w:rPr>
          <w:b/>
          <w:bCs/>
        </w:rPr>
        <w:t>Validation.</w:t>
      </w:r>
      <w:r>
        <w:t xml:space="preserve"> </w:t>
      </w:r>
      <w:r>
        <w:t>A fit alone is not evidence of self-excitation. Following the networking precedent of Price-Williams and Heard [24], the fit is validated by the residual analysis of Ogata [23]: the time axis is rescaled by the fitted compensator, and the transformed inter</w:t>
      </w:r>
      <w:r>
        <w:t>-arrival times are tested against a unit-rate exponential distribution by a Kolmogorov–Smirnov test on held-out drives. Section 5.10 reports both the branching ratio and the outcome of that test, including the respect in which the test rejects the fitted k</w:t>
      </w:r>
      <w:r>
        <w:t>ernel.</w:t>
      </w:r>
    </w:p>
    <w:p w:rsidR="0015244F" w:rsidRDefault="00A565B8">
      <w:pPr>
        <w:pageBreakBefore/>
        <w:jc w:val="center"/>
      </w:pPr>
      <w:r>
        <w:rPr>
          <w:b/>
          <w:bCs/>
          <w:sz w:val="40"/>
          <w:szCs w:val="40"/>
        </w:rPr>
        <w:lastRenderedPageBreak/>
        <w:t>CHAPTER 5</w:t>
      </w:r>
    </w:p>
    <w:p w:rsidR="0015244F" w:rsidRDefault="0015244F"/>
    <w:p w:rsidR="0015244F" w:rsidRDefault="00A565B8">
      <w:pPr>
        <w:pStyle w:val="Heading1"/>
        <w:jc w:val="center"/>
      </w:pPr>
      <w:r>
        <w:t>RESULTS AND DISCUSSION</w:t>
      </w:r>
    </w:p>
    <w:p w:rsidR="0015244F" w:rsidRDefault="0015244F"/>
    <w:p w:rsidR="0015244F" w:rsidRDefault="0015244F"/>
    <w:p w:rsidR="0015244F" w:rsidRDefault="00A565B8">
      <w:pPr>
        <w:ind w:firstLine="567"/>
        <w:jc w:val="both"/>
      </w:pPr>
      <w:r>
        <w:t>This chapter reports what the system of Chapter 4 achieves on the data of Chapter 3. Section 5.1 reports the alignment audit, because every number after it depends on the audit's outcome. Section 5.2 reports the primary prediction result and Section 5.3 the protocol ladder. Sections 5.4 and 5.5 report coherence, calibration and risk control. Sections 5.6 and 5.7 report generalisation across campaigns and to an independent collection. Section 5.8 reports what the model uses and where it works, Section 5.9 and 5.10 the two network characterisations, Section 5.11 the negative results, Section 5.12 the discussion against the objectives and Section 5.13 the threats to validity.</w:t>
      </w:r>
      <w:r/>
      <w:proofErr w:type="spellStart"/>
      <w:r/>
      <w:proofErr w:type="spellEnd"/>
      <w:r/>
      <w:r/>
    </w:p>
    <w:p w:rsidR="0015244F" w:rsidRDefault="00A565B8">
      <w:pPr>
        <w:ind w:firstLine="567"/>
        <w:jc w:val="both"/>
      </w:pPr>
      <w:r>
        <w:t>All figures in this chapter are computed out of fold under the leave-one-campaign-out protocol of Section 4.9 unless stated otherwise, from features lagged as described in Section 4.6.</w:t>
      </w:r>
      <w:r/>
    </w:p>
    <w:p w:rsidR="0015244F" w:rsidRDefault="00A565B8">
      <w:pPr>
        <w:pStyle w:val="Heading2"/>
        <w:spacing w:before="360" w:after="140"/>
      </w:pPr>
      <w:r>
        <w:t>5.1 The alignment audit and what it costs</w:t>
      </w:r>
    </w:p>
    <w:p w:rsidR="0015244F" w:rsidRDefault="00A565B8">
      <w:pPr>
        <w:ind w:firstLine="567"/>
        <w:jc w:val="both"/>
      </w:pPr>
      <w:r>
        <w:t>The first result of this chapter is not a prediction score. It is a property of the measurement export that determines what any prediction score on this data means.</w:t>
      </w:r>
      <w:proofErr w:type="spellStart"/>
      <w:r/>
      <w:proofErr w:type="spellEnd"/>
      <w:r/>
    </w:p>
    <w:p w:rsidR="0015244F" w:rsidRDefault="00A565B8">
      <w:pPr>
        <w:pStyle w:val="TableCaption"/>
        <w:spacing w:before="240" w:after="120" w:line="240" w:lineRule="auto"/>
        <w:jc w:val="center"/>
      </w:pPr>
      <w:r>
        <w:t>Table 5.1 The alignment audit: share of handovers whose target cell already serves in export rows around the command.</w:t>
      </w:r>
      <w:r/>
      <w:proofErr w:type="spellStart"/>
      <w:r/>
      <w:proofErr w:type="spellEnd"/>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Handovers considered</w:t>
            </w:r>
          </w:p>
        </w:tc>
        <w:tc>
          <w:tcPr>
            <w:tcMar>
              <w:top w:w="60" w:type="dxa"/>
              <w:left w:w="100" w:type="dxa"/>
              <w:bottom w:w="60" w:type="dxa"/>
              <w:right w:w="100" w:type="dxa"/>
            </w:tcMar>
          </w:tcPr>
          <w:p>
            <w:r>
              <w:t>n</w:t>
            </w:r>
          </w:p>
        </w:tc>
        <w:tc>
          <w:tcPr>
            <w:tcMar>
              <w:top w:w="60" w:type="dxa"/>
              <w:left w:w="100" w:type="dxa"/>
              <w:bottom w:w="60" w:type="dxa"/>
              <w:right w:w="100" w:type="dxa"/>
            </w:tcMar>
          </w:tcPr>
          <w:p>
            <w:r>
              <w:t>row t-3</w:t>
            </w:r>
          </w:p>
        </w:tc>
        <w:tc>
          <w:tcPr>
            <w:tcMar>
              <w:top w:w="60" w:type="dxa"/>
              <w:left w:w="100" w:type="dxa"/>
              <w:bottom w:w="60" w:type="dxa"/>
              <w:right w:w="100" w:type="dxa"/>
            </w:tcMar>
          </w:tcPr>
          <w:p>
            <w:r>
              <w:t>row t-2</w:t>
            </w:r>
          </w:p>
        </w:tc>
        <w:tc>
          <w:tcPr>
            <w:tcMar>
              <w:top w:w="60" w:type="dxa"/>
              <w:left w:w="100" w:type="dxa"/>
              <w:bottom w:w="60" w:type="dxa"/>
              <w:right w:w="100" w:type="dxa"/>
            </w:tcMar>
          </w:tcPr>
          <w:p>
            <w:r>
              <w:t>row t-1</w:t>
            </w:r>
          </w:p>
        </w:tc>
        <w:tc>
          <w:tcPr>
            <w:tcMar>
              <w:top w:w="60" w:type="dxa"/>
              <w:left w:w="100" w:type="dxa"/>
              <w:bottom w:w="60" w:type="dxa"/>
              <w:right w:w="100" w:type="dxa"/>
            </w:tcMar>
          </w:tcPr>
          <w:p>
            <w:r>
              <w:t>row t+0</w:t>
            </w:r>
          </w:p>
        </w:tc>
        <w:tc>
          <w:tcPr>
            <w:tcMar>
              <w:top w:w="60" w:type="dxa"/>
              <w:left w:w="100" w:type="dxa"/>
              <w:bottom w:w="60" w:type="dxa"/>
              <w:right w:w="100" w:type="dxa"/>
            </w:tcMar>
          </w:tcPr>
          <w:p>
            <w:r>
              <w:t>row t+1</w:t>
            </w:r>
          </w:p>
        </w:tc>
      </w:tr>
      <w:tr w:rsidR="0015244F">
        <w:tblPrEx>
          <w:tblCellMar>
            <w:top w:w="0" w:type="dxa"/>
            <w:bottom w:w="0" w:type="dxa"/>
          </w:tblCellMar>
        </w:tblPrEx>
        <w:trPr>
          <w:tblHeader/>
        </w:trPr>
        <w:tc>
          <w:tcPr>
            <w:tcMar>
              <w:top w:w="60" w:type="dxa"/>
              <w:left w:w="100" w:type="dxa"/>
              <w:bottom w:w="60" w:type="dxa"/>
              <w:right w:w="100" w:type="dxa"/>
            </w:tcMar>
          </w:tcPr>
          <w:p>
            <w:r>
              <w:t>all handovers</w:t>
            </w:r>
          </w:p>
        </w:tc>
        <w:tc>
          <w:tcPr>
            <w:tcMar>
              <w:top w:w="60" w:type="dxa"/>
              <w:left w:w="100" w:type="dxa"/>
              <w:bottom w:w="60" w:type="dxa"/>
              <w:right w:w="100" w:type="dxa"/>
            </w:tcMar>
          </w:tcPr>
          <w:p>
            <w:r>
              <w:t>938</w:t>
            </w:r>
          </w:p>
        </w:tc>
        <w:tc>
          <w:tcPr>
            <w:tcMar>
              <w:top w:w="60" w:type="dxa"/>
              <w:left w:w="100" w:type="dxa"/>
              <w:bottom w:w="60" w:type="dxa"/>
              <w:right w:w="100" w:type="dxa"/>
            </w:tcMar>
          </w:tcPr>
          <w:p>
            <w:r>
              <w:t>23.7 %</w:t>
            </w:r>
          </w:p>
        </w:tc>
        <w:tc>
          <w:tcPr>
            <w:tcMar>
              <w:top w:w="60" w:type="dxa"/>
              <w:left w:w="100" w:type="dxa"/>
              <w:bottom w:w="60" w:type="dxa"/>
              <w:right w:w="100" w:type="dxa"/>
            </w:tcMar>
          </w:tcPr>
          <w:p>
            <w:r>
              <w:t>21.7 %</w:t>
            </w:r>
          </w:p>
        </w:tc>
        <w:tc>
          <w:tcPr>
            <w:tcMar>
              <w:top w:w="60" w:type="dxa"/>
              <w:left w:w="100" w:type="dxa"/>
              <w:bottom w:w="60" w:type="dxa"/>
              <w:right w:w="100" w:type="dxa"/>
            </w:tcMar>
          </w:tcPr>
          <w:p>
            <w:r>
              <w:t>15.6 %</w:t>
            </w:r>
          </w:p>
        </w:tc>
        <w:tc>
          <w:tcPr>
            <w:tcMar>
              <w:top w:w="60" w:type="dxa"/>
              <w:left w:w="100" w:type="dxa"/>
              <w:bottom w:w="60" w:type="dxa"/>
              <w:right w:w="100" w:type="dxa"/>
            </w:tcMar>
          </w:tcPr>
          <w:p>
            <w:r>
              <w:t>75.9 %</w:t>
            </w:r>
          </w:p>
        </w:tc>
        <w:tc>
          <w:tcPr>
            <w:tcMar>
              <w:top w:w="60" w:type="dxa"/>
              <w:left w:w="100" w:type="dxa"/>
              <w:bottom w:w="60" w:type="dxa"/>
              <w:right w:w="100" w:type="dxa"/>
            </w:tcMar>
          </w:tcPr>
          <w:p>
            <w:r>
              <w:t>86.2 %</w:t>
            </w:r>
          </w:p>
        </w:tc>
      </w:tr>
      <w:tr w:rsidR="0015244F">
        <w:tblPrEx>
          <w:tblCellMar>
            <w:top w:w="0" w:type="dxa"/>
            <w:bottom w:w="0" w:type="dxa"/>
          </w:tblCellMar>
        </w:tblPrEx>
        <w:trPr>
          <w:tblHeader/>
        </w:trPr>
        <w:tc>
          <w:tcPr>
            <w:tcMar>
              <w:top w:w="60" w:type="dxa"/>
              <w:left w:w="100" w:type="dxa"/>
              <w:bottom w:w="60" w:type="dxa"/>
              <w:right w:w="100" w:type="dxa"/>
            </w:tcMar>
          </w:tcPr>
          <w:p>
            <w:r>
              <w:t>isolated (previous &gt; 8 s earlier)</w:t>
            </w:r>
          </w:p>
        </w:tc>
        <w:tc>
          <w:tcPr>
            <w:tcMar>
              <w:top w:w="60" w:type="dxa"/>
              <w:left w:w="100" w:type="dxa"/>
              <w:bottom w:w="60" w:type="dxa"/>
              <w:right w:w="100" w:type="dxa"/>
            </w:tcMar>
          </w:tcPr>
          <w:p>
            <w:r>
              <w:t>291</w:t>
            </w:r>
          </w:p>
        </w:tc>
        <w:tc>
          <w:tcPr>
            <w:tcMar>
              <w:top w:w="60" w:type="dxa"/>
              <w:left w:w="100" w:type="dxa"/>
              <w:bottom w:w="60" w:type="dxa"/>
              <w:right w:w="100" w:type="dxa"/>
            </w:tcMar>
          </w:tcPr>
          <w:p>
            <w:r>
              <w:t>12.1 %</w:t>
            </w:r>
          </w:p>
        </w:tc>
        <w:tc>
          <w:tcPr>
            <w:tcMar>
              <w:top w:w="60" w:type="dxa"/>
              <w:left w:w="100" w:type="dxa"/>
              <w:bottom w:w="60" w:type="dxa"/>
              <w:right w:w="100" w:type="dxa"/>
            </w:tcMar>
          </w:tcPr>
          <w:p>
            <w:r>
              <w:t>12.1 %</w:t>
            </w:r>
          </w:p>
        </w:tc>
        <w:tc>
          <w:tcPr>
            <w:tcMar>
              <w:top w:w="60" w:type="dxa"/>
              <w:left w:w="100" w:type="dxa"/>
              <w:bottom w:w="60" w:type="dxa"/>
              <w:right w:w="100" w:type="dxa"/>
            </w:tcMar>
          </w:tcPr>
          <w:p>
            <w:r>
              <w:t>11.7 %</w:t>
            </w:r>
          </w:p>
        </w:tc>
        <w:tc>
          <w:tcPr>
            <w:tcMar>
              <w:top w:w="60" w:type="dxa"/>
              <w:left w:w="100" w:type="dxa"/>
              <w:bottom w:w="60" w:type="dxa"/>
              <w:right w:w="100" w:type="dxa"/>
            </w:tcMar>
          </w:tcPr>
          <w:p>
            <w:r>
              <w:t>74.6 %</w:t>
            </w:r>
          </w:p>
        </w:tc>
        <w:tc>
          <w:tcPr>
            <w:tcMar>
              <w:top w:w="60" w:type="dxa"/>
              <w:left w:w="100" w:type="dxa"/>
              <w:bottom w:w="60" w:type="dxa"/>
              <w:right w:w="100" w:type="dxa"/>
            </w:tcMar>
          </w:tcPr>
          <w:p>
            <w:r>
              <w:t>89.7 %</w:t>
            </w:r>
          </w:p>
        </w:tc>
      </w:tr>
    </w:tbl>
    <w:p w:rsidR="0015244F" w:rsidRDefault="00A565B8">
      <w:pPr>
        <w:pStyle w:val="TableCaption"/>
        <w:spacing w:before="240" w:after="120" w:line="240" w:lineRule="auto"/>
        <w:jc w:val="center"/>
      </w:pPr>
      <w:r>
        <w:t>Table 5.2 What the one-row lag costs, with everything else held fixed.</w:t>
      </w:r>
      <w:r/>
      <w:proofErr w:type="spellStart"/>
      <w:r/>
      <w:proofErr w:type="spellEnd"/>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tblGrid>
      <w:tr>
        <w:tc>
          <w:tcPr/>
          <w:p>
            <w:r>
              <w:t>Feature alignment</w:t>
            </w:r>
          </w:p>
        </w:tc>
        <w:tc>
          <w:tcPr/>
          <w:p>
            <w:r>
              <w:t>AUPRC 1 s</w:t>
            </w:r>
          </w:p>
        </w:tc>
        <w:tc>
          <w:tcPr/>
          <w:p>
            <w:r>
              <w:t>AUROC 1 s</w:t>
            </w:r>
          </w:p>
        </w:tc>
        <w:tc>
          <w:tcPr/>
          <w:p>
            <w:r>
              <w:t>AUPRC 5 s</w:t>
            </w:r>
          </w:p>
        </w:tc>
        <w:tc>
          <w:tcPr/>
          <w:p>
            <w:r>
              <w:t>Dwell feature AUROC 1 s</w:t>
            </w:r>
          </w:p>
        </w:tc>
      </w:tr>
      <w:tr>
        <w:tc>
          <w:tcPr/>
          <w:p>
            <w:r>
              <w:t>Export row stamped t used at t (v1)</w:t>
            </w:r>
          </w:p>
        </w:tc>
        <w:tc>
          <w:tcPr/>
          <w:p>
            <w:r>
              <w:t>0.600</w:t>
            </w:r>
          </w:p>
        </w:tc>
        <w:tc>
          <w:tcPr/>
          <w:p>
            <w:r>
              <w:t>0.911</w:t>
            </w:r>
          </w:p>
        </w:tc>
        <w:tc>
          <w:tcPr/>
          <w:p>
            <w:r>
              <w:t>0.560</w:t>
            </w:r>
          </w:p>
        </w:tc>
        <w:tc>
          <w:tcPr/>
          <w:p>
            <w:r>
              <w:t>0.873</w:t>
            </w:r>
          </w:p>
        </w:tc>
      </w:tr>
      <w:tr>
        <w:tc>
          <w:tcPr/>
          <w:p>
            <w:r>
              <w:t>Export row lagged one sample (this work)</w:t>
            </w:r>
          </w:p>
        </w:tc>
        <w:tc>
          <w:tcPr/>
          <w:p>
            <w:r>
              <w:t>0.179</w:t>
            </w:r>
          </w:p>
        </w:tc>
        <w:tc>
          <w:tcPr/>
          <w:p>
            <w:r>
              <w:t>0.777</w:t>
            </w:r>
          </w:p>
        </w:tc>
        <w:tc>
          <w:tcPr/>
          <w:p>
            <w:r>
              <w:t>0.475</w:t>
            </w:r>
          </w:p>
        </w:tc>
        <w:tc>
          <w:tcPr/>
          <w:p>
            <w:r>
              <w:t>0.664</w:t>
            </w:r>
          </w:p>
        </w:tc>
      </w:tr>
      <w:tr>
        <w:tc>
          <w:tcPr/>
          <w:p>
            <w:r>
              <w:t>Change</w:t>
            </w:r>
          </w:p>
        </w:tc>
        <w:tc>
          <w:tcPr/>
          <w:p>
            <w:r>
              <w:t>-70 %</w:t>
            </w:r>
          </w:p>
        </w:tc>
        <w:tc>
          <w:tcPr/>
          <w:p>
            <w:r>
              <w:t>-0.134</w:t>
            </w:r>
          </w:p>
        </w:tc>
        <w:tc>
          <w:tcPr/>
          <w:p>
            <w:r>
              <w:t>-15 %</w:t>
            </w:r>
          </w:p>
        </w:tc>
        <w:tc>
          <w:tcPr/>
          <w:p>
            <w:r/>
          </w:p>
        </w:tc>
      </w:tr>
    </w:tbl>
    <w:p w:rsidR="0015244F" w:rsidRDefault="00A565B8">
      <w:pPr>
        <w:pStyle w:val="TableCaption"/>
        <w:spacing w:before="240" w:after="120" w:line="240" w:lineRule="auto"/>
        <w:jc w:val="center"/>
      </w:pPr>
      <w:r>
        <w:t>Table 5.2b Where the leak actually lives. One common row set of usable rows, identical folds, seeds and learner; only the set of columns shifted by one row changes. The serving-cell radio scalars are measured on whichever cell the export treats as serving, so after the end-of-second flip they describe the target rather than the source.</w:t>
      </w:r>
      <w:r/>
      <w:proofErr w:type="spellStart"/>
      <w:r/>
      <w:proofErr w:type="spellEnd"/>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tblGrid>
      <w:tr>
        <w:tc>
          <w:tcPr/>
          <w:p>
            <w:r>
              <w:t>What is lagged by one row</w:t>
            </w:r>
          </w:p>
        </w:tc>
        <w:tc>
          <w:tcPr/>
          <w:p>
            <w:r>
              <w:t>Columns</w:t>
            </w:r>
          </w:p>
        </w:tc>
        <w:tc>
          <w:tcPr/>
          <w:p>
            <w:r>
              <w:t>AUPRC 1 s</w:t>
            </w:r>
          </w:p>
        </w:tc>
        <w:tc>
          <w:tcPr/>
          <w:p>
            <w:r>
              <w:t>AUROC 1 s</w:t>
            </w:r>
          </w:p>
        </w:tc>
        <w:tc>
          <w:tcPr/>
          <w:p>
            <w:r>
              <w:t>AUPRC 5 s</w:t>
            </w:r>
          </w:p>
        </w:tc>
      </w:tr>
      <w:tr>
        <w:tc>
          <w:tcPr/>
          <w:p>
            <w:r>
              <w:t>nothing (v1 alignment)</w:t>
            </w:r>
          </w:p>
        </w:tc>
        <w:tc>
          <w:tcPr/>
          <w:p>
            <w:r>
              <w:t>0</w:t>
            </w:r>
          </w:p>
        </w:tc>
        <w:tc>
          <w:tcPr/>
          <w:p>
            <w:r>
              <w:t>0.607</w:t>
            </w:r>
          </w:p>
        </w:tc>
        <w:tc>
          <w:tcPr/>
          <w:p>
            <w:r>
              <w:t>0.911</w:t>
            </w:r>
          </w:p>
        </w:tc>
        <w:tc>
          <w:tcPr/>
          <w:p>
            <w:r>
              <w:t>0.558</w:t>
            </w:r>
          </w:p>
        </w:tc>
      </w:tr>
      <w:tr>
        <w:tc>
          <w:tcPr/>
          <w:p>
            <w:r>
              <w:t>neighbour and gap columns only</w:t>
            </w:r>
          </w:p>
        </w:tc>
        <w:tc>
          <w:tcPr/>
          <w:p>
            <w:r>
              <w:t>31</w:t>
            </w:r>
          </w:p>
        </w:tc>
        <w:tc>
          <w:tcPr/>
          <w:p>
            <w:r>
              <w:t>0.595</w:t>
            </w:r>
          </w:p>
        </w:tc>
        <w:tc>
          <w:tcPr/>
          <w:p>
            <w:r>
              <w:t>0.905</w:t>
            </w:r>
          </w:p>
        </w:tc>
        <w:tc>
          <w:tcPr/>
          <w:p>
            <w:r>
              <w:t>0.550</w:t>
            </w:r>
          </w:p>
        </w:tc>
      </w:tr>
      <w:tr>
        <w:tc>
          <w:tcPr/>
          <w:p>
            <w:r>
              <w:t>serving-cell radio scalars only</w:t>
            </w:r>
          </w:p>
        </w:tc>
        <w:tc>
          <w:tcPr/>
          <w:p>
            <w:r>
              <w:t>56</w:t>
            </w:r>
          </w:p>
        </w:tc>
        <w:tc>
          <w:tcPr/>
          <w:p>
            <w:r>
              <w:t>0.178</w:t>
            </w:r>
          </w:p>
        </w:tc>
        <w:tc>
          <w:tcPr/>
          <w:p>
            <w:r>
              <w:t>0.768</w:t>
            </w:r>
          </w:p>
        </w:tc>
        <w:tc>
          <w:tcPr/>
          <w:p>
            <w:r>
              <w:t>0.451</w:t>
            </w:r>
          </w:p>
        </w:tc>
      </w:tr>
      <w:tr>
        <w:tc>
          <w:tcPr/>
          <w:p>
            <w:r>
              <w:t>every serving-relative column (GPS left at row t)</w:t>
            </w:r>
          </w:p>
        </w:tc>
        <w:tc>
          <w:tcPr/>
          <w:p>
            <w:r>
              <w:t>92</w:t>
            </w:r>
          </w:p>
        </w:tc>
        <w:tc>
          <w:tcPr/>
          <w:p>
            <w:r>
              <w:t>0.159</w:t>
            </w:r>
          </w:p>
        </w:tc>
        <w:tc>
          <w:tcPr/>
          <w:p>
            <w:r>
              <w:t>0.748</w:t>
            </w:r>
          </w:p>
        </w:tc>
        <w:tc>
          <w:tcPr/>
          <w:p>
            <w:r>
              <w:t>0.439</w:t>
            </w:r>
          </w:p>
        </w:tc>
      </w:tr>
      <w:tr>
        <w:tc>
          <w:tcPr/>
          <w:p>
            <w:r>
              <w:t>every export column (v2, as reported throughout)</w:t>
            </w:r>
          </w:p>
        </w:tc>
        <w:tc>
          <w:tcPr/>
          <w:p>
            <w:r>
              <w:t>109</w:t>
            </w:r>
          </w:p>
        </w:tc>
        <w:tc>
          <w:tcPr/>
          <w:p>
            <w:r>
              <w:t>0.160</w:t>
            </w:r>
          </w:p>
        </w:tc>
        <w:tc>
          <w:tcPr/>
          <w:p>
            <w:r>
              <w:t>0.750</w:t>
            </w:r>
          </w:p>
        </w:tc>
        <w:tc>
          <w:tcPr/>
          <w:p>
            <w:r>
              <w:t>0.445</w:t>
            </w:r>
          </w:p>
        </w:tc>
      </w:tr>
      <w:tr>
        <w:tc>
          <w:tcPr/>
          <w:p>
            <w:r>
              <w:t>control: Event A3 rule, same arms</w:t>
            </w:r>
          </w:p>
        </w:tc>
        <w:tc>
          <w:tcPr/>
          <w:p>
            <w:r>
              <w:t>-</w:t>
            </w:r>
          </w:p>
        </w:tc>
        <w:tc>
          <w:tcPr/>
          <w:p>
            <w:r>
              <w:t>0.116 to 0.117</w:t>
            </w:r>
          </w:p>
        </w:tc>
        <w:tc>
          <w:tcPr/>
          <w:p>
            <w:r>
              <w:t>-</w:t>
            </w:r>
          </w:p>
        </w:tc>
        <w:tc>
          <w:tcPr/>
          <w:p>
            <w:r>
              <w:t>-</w:t>
            </w:r>
          </w:p>
        </w:tc>
      </w:tr>
    </w:tbl>
    <w:p w:rsidR="0015244F" w:rsidRDefault="0015244F">
      <w:pPr>
        <w:spacing w:after="120" w:line="240" w:lineRule="auto"/>
      </w:pPr>
    </w:p>
    <w:p w:rsidR="0015244F" w:rsidRDefault="00A565B8">
      <w:pPr>
        <w:ind w:firstLine="567"/>
        <w:jc w:val="both"/>
      </w:pPr>
      <w:r>
        <w:t>The audit is simple. For each handover command at time tau, take the export row whose second contains tau — that is, the row stamped at floor(tau), strictly before the command — and ask whether its serving-cell identity is already the target of that command. If the row summarises the second before its timestamp, the answer should be no more often than chance.</w:t>
      </w:r>
    </w:p>
    <w:p w:rsidR="0015244F" w:rsidRDefault="00A565B8">
      <w:pPr>
        <w:ind w:firstLine="567"/>
        <w:jc w:val="both"/>
      </w:pPr>
      <w:r>
        <w:t>Table 5.1 and Figure 5.1 report the answer. Across all 938 handovers inside retained blocks the row stamped before the command already carries the target cell 75.9% of the time, and for handovers isolated from any other handover by more than eight seconds the figure is 74.6%. One row earlier the figure falls to 11.7% for isolated handovers, which is the background rate given by rows three seconds earlier (12.1%). The export row stamped t therefore describes the state at approximately t + 1: it is a window that closes after its own timestamp.</w:t>
      </w:r>
      <w:r/>
      <w:r>
        <w:rPr>
          <w:i/>
          <w:iCs/>
        </w:rPr>
      </w:r>
      <w:r/>
      <w:r/>
      <w:r/>
    </w:p>
    <w:p w:rsidR="0015244F" w:rsidRDefault="00A565B8">
      <w:pPr>
        <w:ind w:firstLine="567"/>
        <w:jc w:val="both"/>
      </w:pPr>
      <w:r>
        <w:t>The consequence for prediction is immediate. A model asked at time t for the probability of a handover in (t, t + 1] and given the row stamped t is being shown, most of the time, the answer. Table 5.2 quantifies it on the same model, the same folds and the same features: the one-second AUPRC falls from 0.600 to 0.179 and AUROC from 0.911 to 0.777 when every export feature is lagged one row. At five seconds, where one second of misalignment matters less, the same change costs 0.560 to 0.475. The single-feature effect is starker: serving dwell time computed from the export's serving-cell column reaches AUROC 0.873 on its own, and the same quantity computed from signalling timestamps reaches 0.664.</w:t>
      </w:r>
      <w:r/>
    </w:p>
    <w:p w:rsidR="0015244F" w:rsidRDefault="00A565B8">
      <w:pPr>
        <w:ind w:firstLine="567"/>
        <w:jc w:val="both"/>
      </w:pPr>
      <w:r>
        <w:t>Three points are worth stating plainly. First, this is not a defect of the instrument in the sense of a fault: a one-hertz export has to summarise a second, and a row that carries the state at the end of its second is a defensible choice. It is a defect of any analysis that assumes the opposite without checking. Second, the error is invisible to every check that does not involve the event clock — the features are causal in appearance, no future label is used, and grouped splitting does not remove it, because the leak is inside the row rather than between rows. Third, it is cheap to detect, and the audit above is the recommendation this thesis makes to anyone building a predictor on a drive-test export.</w:t>
      </w:r>
      <w:r/>
      <w:r/>
    </w:p>
    <w:p w:rsidR="0015244F" w:rsidRDefault="00A565B8">
      <w:pPr>
        <w:ind w:firstLine="567"/>
        <w:jc w:val="both"/>
      </w:pPr>
      <w:r>
        <w:t>Why the row behaves this way is not a mystery, and stating the reason turns the observation into a prediction that can be falsified. A handover command is issued at an arbitrary instant tau inside the second [t, t+1). Write delta = tau - floor(tau) for where inside the second the command falls, x for the time the handset takes to be served by the target and for that change to reach the serving-cell register, and</w:t>
      </w:r>
      <w:r/>
      <w:r>
        <w:rPr>
          <w:i/>
          <w:iCs/>
        </w:rPr>
      </w:r>
      <w:r/>
    </w:p>
    <w:p w:rsidR="0015244F" w:rsidRDefault="00A565B8">
      <w:pPr>
        <w:ind w:firstLine="567"/>
        <w:jc w:val="both"/>
      </w:pPr>
      <w:r>
        <w:t>m = 1 - delta - x     (5.1)</w:t>
      </w:r>
      <w:r/>
      <w:r>
        <w:rPr>
          <w:i/>
          <w:iCs/>
        </w:rPr>
      </w:r>
      <w:r/>
    </w:p>
    <w:p w:rsidR="0015244F" w:rsidRDefault="00A565B8">
      <w:pPr>
        <w:ind w:firstLine="567"/>
        <w:jc w:val="both"/>
      </w:pPr>
      <w:r>
        <w:t>for the margin by which that change beats the close of the second. If the exporter writes one row per second carrying the state as of the end of the second, the row stamped t shows the target cell when m &gt; 0 and the source cell when m &lt; 0. Nothing about the network enters: the defect is what end-of-second aggregation does to an event whose execution is two orders of magnitude faster than the grid.</w:t>
      </w:r>
      <w:r/>
      <w:r>
        <w:rPr>
          <w:i/>
          <w:iCs/>
        </w:rPr>
      </w:r>
      <w:r/>
    </w:p>
    <w:p w:rsidR="0015244F" w:rsidRDefault="00A565B8">
      <w:pPr>
        <w:ind w:firstLine="567"/>
        <w:jc w:val="both"/>
      </w:pPr>
      <w:r>
        <w:t>The prediction is testable on our own captures, because the signalling stream carries the RRCConnectionReconfigurationComplete message and therefore x for each handover (65% of commands record a non-zero interruption; the ninetieth percentile is 99 ms and the largest is 105 ms). Of the 15 handovers whose execution crosses the second boundary, m &lt; 0, not one has the target cell on the row stamped t. Of the 923 with m &gt; 0, the row shows the target cell 77.1% of the time. The same gradient appears in delta directly: on handovers isolated from any other by two seconds, contamination runs at 86.1% for commands in the first quarter of the second and falls to 67.0% for commands in the last quarter, where the margin is smallest. Panels (d) and (e) of Figure 5.1 show both.</w:t>
      </w:r>
      <w:r/>
      <w:r>
        <w:rPr>
          <w:i/>
          <w:iCs/>
        </w:rPr>
      </w:r>
      <w:r/>
    </w:p>
    <w:p w:rsidR="0015244F" w:rsidRDefault="00A565B8">
      <w:pPr>
        <w:ind w:firstLine="567"/>
        <w:jc w:val="both"/>
      </w:pPr>
      <w:r>
        <w:t>The residual matters for honesty about the size of the effect. In 22.5% of handovers the margin is positive and the row stamped t nevertheless shows the source cell; in 84% of those the row stamped t+1 carries the target instead. That is the exporter refreshing the serving-cell field one row late, not a second mechanism. Our export therefore shows an attenuated form of the defect, and the uncontaminated figure for it is not zero but about 24%.</w:t>
      </w:r>
      <w:r/>
      <w:r>
        <w:rPr>
          <w:i/>
          <w:iCs/>
        </w:rPr>
      </w:r>
      <w:r/>
    </w:p>
    <w:p w:rsidR="0015244F" w:rsidRDefault="00A565B8">
      <w:pPr>
        <w:ind w:firstLine="567"/>
        <w:jc w:val="both"/>
      </w:pPr>
      <w:r>
        <w:t>Two independent datasets test the account. The first is the control. The 4G/5G Irish drive-test traces of Raca et al. [37] are 59 driving traces logged at one hertz with a different tool, G-NetTrack Pro, on a different operator. That tool samples the modem rather than aggregating a second, so the account predicts no contamination at the level an aggregate produces, and there is none at that level: 29.4% of 1,175 cell changes have row t looking like the new cell, against 75.9% of handovers in our export and 93.2% under an end-of-second rule. That figure is not zero, and it is not claimed to be: with a ping-pong rate above a quarter the cell serving three rows earlier is often the cell about to serve again, so a sampled log has an elevated background for reasons unrelated to aggregation. The discriminating quantity is the shape rather than the level. The prediction test agrees. Using the row stamped t rather than the row before it is worth +38 % AUPRC on that dataset, but the step from t - 2 to t - 1 is worth +57 %, a larger gain. A contaminated final row shows up as an anomalous jump at the last step; a clean log shows the smooth decay with staleness that this dataset has.</w:t>
      </w:r>
      <w:r/>
      <w:r>
        <w:rPr>
          <w:i/>
          <w:iCs/>
        </w:rPr>
      </w:r>
      <w:r/>
    </w:p>
    <w:p w:rsidR="0015244F" w:rsidRDefault="00A565B8">
      <w:pPr>
        <w:ind w:firstLine="567"/>
        <w:jc w:val="both"/>
      </w:pPr>
      <w:r>
        <w:t>The second dataset does not replicate the defect on a third instrument; it does something narrower and more useful, by letting the aggregation rule be set rather than inferred. The NUWiNS multi-carrier corpus [40], collected with XCAL on two cross-United-States routes over three tier-one operators and released as raw exports at ten hertz [41], carries the handover event clock and the serving-cell register at native rate. Downsampling it to one hertz by keeping the last sample of each second reproduces the defect: over 4,712 cell-changing handovers in 12 files and 3 operators, the row stamped t carries the target cell 93.2% of the time (92.8% on the 3,160 isolated handovers), and the row stamped t - 1 carries it 0.1% of the time. Keeping the first sample of each second instead collapses contamination to 4.1% on the same handovers. One rule produces the defect and the other removes it, on data the network never saw differently. What this establishes is that end-of-second aggregation is sufficient to produce the artefact at the magnitude observed, and how large it is when present. It does not establish that XCAL's own one-hertz exporter aggregates that way, which remains inferred from its consequences and which only a native-rate re-export of these captures would settle; Section 5.13 carries that as a residual risk.</w:t>
      </w:r>
      <w:r/>
      <w:r>
        <w:rPr>
          <w:i/>
          <w:iCs/>
        </w:rPr>
      </w:r>
      <w:r/>
    </w:p>
    <w:p w:rsidR="0015244F" w:rsidRDefault="00A565B8">
      <w:pPr>
        <w:ind w:firstLine="567"/>
        <w:jc w:val="both"/>
      </w:pPr>
      <w:r>
        <w:t>The tail of the second then measures something the one-hertz grid was never supposed to resolve. Within a bin of delta, the row stamped t is contaminated precisely when the serving-cell register updates before the second closes, so the contamination share in that bin estimates the probability that the update delay is shorter than the time remaining. Over 903 handovers arriving in the last fifth of a second, contamination is 98.2% when 75 to 100 ms remain, 43.9% when 50 to 75 ms remain and 0% when less than 50 ms remain. The cliff is the distribution of the update delay, and it sits at roughly 60 ms — consistent with the native ten-hertz view of the same events, where the target is already serving at tau + 100 ms in 100% of handovers. Panel (f) of Figure 5.1 shows the curve. The alignment defect is therefore not only a hazard to be removed; read deliberately, it is a sub-second measurement recovered from a one-hertz export.</w:t>
      </w:r>
      <w:r/>
      <w:r>
        <w:rPr>
          <w:i/>
          <w:iCs/>
        </w:rPr>
      </w:r>
      <w:r/>
    </w:p>
    <w:p w:rsidR="0015244F" w:rsidRDefault="00A565B8">
      <w:pPr>
        <w:ind w:firstLine="567"/>
        <w:jc w:val="both"/>
      </w:pPr>
      <w:r>
        <w:t>Three conclusions follow. The alignment error is a property of the aggregation rule, not of the vendor and not of the network: the same tool produces it on three operators and two continents, and a tool that samples instead of aggregating does not. It is predictable, which means it can be audited in a few lines against any event clock, and the audit reports a mechanism rather than an anomaly. And it is consequential, because none of the 22 models audited in Section 2.3 reports such a check, and neither did the first version of this work.</w:t>
      </w:r>
      <w:r/>
      <w:r>
        <w:rPr>
          <w:i/>
          <w:iCs/>
        </w:rPr>
      </w:r>
      <w:r/>
    </w:p>
    <w:p w:rsidR="0015244F" w:rsidRDefault="00A565B8">
      <w:pPr>
        <w:ind w:firstLine="567"/>
        <w:jc w:val="both"/>
      </w:pPr>
      <w:r>
        <w:t>One objection has to be answered before the repair can be trusted, because it would change what the audit means. Lagging every export column removes the contaminated serving-cell assignment, but it also discards one second of radio and kinematic history that the aggregation rule cannot plausibly corrupt. On that reading the fall from 0.607 to 0.160 would measure the cost of a blunt repair rather than the size of the leak, and the honest correction would be a targeted one. Table 5.2b settles it. The four arms share one row set, one set of folds, one learner and one set of seeds; only the set of columns shifted by one row changes.</w:t>
      </w:r>
      <w:r/>
      <w:r>
        <w:rPr>
          <w:i/>
          <w:iCs/>
        </w:rPr>
      </w:r>
      <w:r/>
    </w:p>
    <w:p w:rsidR="0015244F" w:rsidRDefault="00A565B8">
      <w:pPr>
        <w:ind w:firstLine="567"/>
        <w:jc w:val="both"/>
      </w:pPr>
      <w:r>
        <w:t>The leak is carried almost entirely by the serving-cell radio scalars. Lagging the 31 neighbour and gap columns alone — the A3 condition itself, and the columns any analyst would suspect first — leaves the one-second AUPRC at 0.595, which is 2.5% of the total fall. Lagging the 56 serving-cell radio columns alone takes it to 0.178, which is 95.8% of it. And lagging the mobility block as well — the GPS speed, acceleration and bearing that no aggregation rule can contaminate — is worth 0.2% in the opposite direction, which is to say nothing at all. The repair is therefore not conservative: the blunt version and the targeted version cost the same, so the figure quoted throughout this thesis measures the leak and not the remedy.</w:t>
      </w:r>
      <w:r/>
      <w:r>
        <w:rPr>
          <w:i/>
          <w:iCs/>
        </w:rPr>
      </w:r>
      <w:r/>
    </w:p>
    <w:p w:rsidR="0015244F" w:rsidRDefault="00A565B8">
      <w:pPr>
        <w:ind w:firstLine="567"/>
        <w:jc w:val="both"/>
      </w:pPr>
      <w:r>
        <w:t>Why the radio scalars and not the cell identity is worth stating, because it is the part that transfers. A column named serving_rsrp is not a property of a cell; it is the reference signal power of whichever cell the export currently treats as serving. When the assignment flips inside the second, that column silently changes its referent and reports the target's power, which is by construction higher than the source's — an ordinary-looking radio scalar that is in fact the answer. The same is true of the RSRQ, SINR and CQI families and of every moving average and slope derived from them. The neighbour gap moves too, but it was already near its trigger threshold, so the flip adds little to it. The practical recommendation is therefore narrower and more useful than lag everything: on any export whose rows are aggregates, the columns to distrust are the ones defined relative to the serving-cell assignment, and they are not the ones that look like identifiers.</w:t>
      </w:r>
      <w:r/>
      <w:r>
        <w:rPr>
          <w:i/>
          <w:iCs/>
        </w:rPr>
      </w:r>
      <w:r/>
    </w:p>
    <w:p w:rsidR="0015244F" w:rsidRDefault="00A565B8">
      <w:pPr>
        <w:ind w:firstLine="567"/>
        <w:jc w:val="both"/>
      </w:pPr>
      <w:r>
        <w:t>Everything reported after this section uses the lagged features. The unlagged numbers are retained in Table 5.2 and in the ablation of Section 5.11 as a measurement of the effect, never as a result. Table 5.2b is reported under fixed hyper-parameters so that the five arms are comparable with one another; its levels are not comparable with Table 5.3, which reports the tuned arm.</w:t>
      </w:r>
      <w:r/>
      <w:r>
        <w:rPr>
          <w:i/>
          <w:iCs/>
        </w:rPr>
      </w:r>
      <w:r/>
    </w:p>
    <w:p w:rsidR="0015244F" w:rsidRDefault="00A565B8">
      <w:pPr>
        <w:keepNext/>
        <w:spacing w:before="240" w:after="120" w:line="240" w:lineRule="auto"/>
        <w:jc w:val="center"/>
      </w:pPr>
      <w:r>
        <w:rPr>
          <w:noProof/>
        </w:rPr>
        <w:lastRenderedPageBreak/>
        <w:drawing>
          <wp:inline distT="0" distB="0" distL="0" distR="0">
            <wp:extent cx="5762625" cy="50939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5093909"/>
                    </a:xfrm>
                    <a:prstGeom prst="rect">
                      <a:avLst/>
                    </a:prstGeom>
                  </pic:spPr>
                </pic:pic>
              </a:graphicData>
            </a:graphic>
          </wp:inline>
        </w:drawing>
      </w:r>
    </w:p>
    <w:p w:rsidR="0015244F" w:rsidRDefault="00A565B8">
      <w:pPr>
        <w:pStyle w:val="FigureCaption"/>
        <w:spacing w:after="240" w:line="240" w:lineRule="auto"/>
        <w:jc w:val="center"/>
      </w:pPr>
      <w:r>
        <w:t>Figure 5.1 The alignment audit and its mechanism. (a) A handover command at tau inside the second [t, t+1) is carried by the row stamped t whenever the serving-cell register updates before the second closes, that is whenever the margin m = 1 - delta - x is positive. (b) The audit on our captures: rows around the command. (c) The same quantity on three datasets; the two aggregated exports are contaminated and the sampled log is not. (d) The falsification test: no handover whose execution crosses the second boundary contaminates its row. (e) Contamination against where the command falls inside the second, in both XCAL corpora. (f) In the last fifth of the second the contamination share becomes an estimator of the serving-cell update delay, which sits near 60 ms.</w:t>
      </w:r>
      <w:r/>
      <w:r/>
    </w:p>
    <w:p w:rsidR="0015244F" w:rsidRDefault="00A565B8">
      <w:pPr>
        <w:keepNext/>
        <w:spacing w:before="240" w:after="120" w:line="240" w:lineRule="auto"/>
        <w:jc w:val="center"/>
      </w:pPr>
      <w:r>
        <w:rPr>
          <w:noProof/>
        </w:rPr>
        <w:lastRenderedPageBreak/>
        <w:drawing>
          <wp:inline distT="0" distB="0" distL="0" distR="0">
            <wp:extent cx="5762625" cy="25931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2593181"/>
                    </a:xfrm>
                    <a:prstGeom prst="rect">
                      <a:avLst/>
                    </a:prstGeom>
                  </pic:spPr>
                </pic:pic>
              </a:graphicData>
            </a:graphic>
          </wp:inline>
        </w:drawing>
      </w:r>
    </w:p>
    <w:p w:rsidR="0015244F" w:rsidRDefault="00A565B8">
      <w:pPr>
        <w:pStyle w:val="FigureCaption"/>
        <w:spacing w:after="240" w:line="240" w:lineRule="auto"/>
        <w:jc w:val="center"/>
      </w:pPr>
      <w:r>
        <w:t>Figure 5.2 Event-level cost of the warning at the 5 % false-positive operating point: share of handover commands detected against the 1 Hz grid ceiling, with the false-alarm episode rate per hour on the right axis.</w:t>
      </w:r>
      <w:proofErr w:type="gramStart"/>
      <w:r/>
      <w:proofErr w:type="gramEnd"/>
      <w:r/>
      <w:r/>
    </w:p>
    <w:p w:rsidR="0015244F" w:rsidRDefault="00A565B8">
      <w:pPr>
        <w:pStyle w:val="Heading2"/>
        <w:spacing w:before="360" w:after="140"/>
      </w:pPr>
      <w:r>
        <w:t>5.2 The primary prediction result</w:t>
      </w:r>
    </w:p>
    <w:p w:rsidR="0015244F" w:rsidRDefault="00A565B8">
      <w:pPr>
        <w:ind w:firstLine="567"/>
        <w:jc w:val="both"/>
      </w:pPr>
      <w:r>
        <w:t>Table 5.3 reports the performance of the primary model, LightGBM under the hazard formulation, at all five horizons, out of fold under leave-one-campaign-out.</w:t>
      </w:r>
      <w:proofErr w:type="spellStart"/>
      <w:r/>
      <w:proofErr w:type="spellEnd"/>
      <w:r/>
    </w:p>
    <w:p w:rsidR="0015244F" w:rsidRDefault="00A565B8">
      <w:pPr>
        <w:keepNext/>
        <w:spacing w:before="240" w:after="120" w:line="240" w:lineRule="auto"/>
        <w:jc w:val="center"/>
      </w:pPr>
      <w:r>
        <w:rPr>
          <w:noProof/>
        </w:rPr>
        <w:lastRenderedPageBreak/>
        <w:drawing>
          <wp:inline distT="0" distB="0" distL="0" distR="0">
            <wp:extent cx="5762625" cy="32395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3239584"/>
                    </a:xfrm>
                    <a:prstGeom prst="rect">
                      <a:avLst/>
                    </a:prstGeom>
                  </pic:spPr>
                </pic:pic>
              </a:graphicData>
            </a:graphic>
          </wp:inline>
        </w:drawing>
      </w:r>
    </w:p>
    <w:p w:rsidR="0015244F" w:rsidRDefault="00A565B8">
      <w:pPr>
        <w:pStyle w:val="FigureCaption"/>
        <w:spacing w:after="240" w:line="240" w:lineRule="auto"/>
        <w:jc w:val="center"/>
      </w:pPr>
      <w:r>
        <w:t>Figure 5.3 AUPRC lift over the prevalence floor by horizon for every learner, out of fold under leave-one-campaign-out. A lift of one is the floor itself.</w:t>
      </w:r>
      <w:r/>
      <w:proofErr w:type="spellStart"/>
      <w:r/>
      <w:proofErr w:type="spellEnd"/>
      <w:r/>
    </w:p>
    <w:p w:rsidR="0015244F" w:rsidRDefault="00A565B8">
      <w:pPr>
        <w:pStyle w:val="TableCaption"/>
        <w:spacing w:before="240" w:after="120" w:line="240" w:lineRule="auto"/>
        <w:jc w:val="center"/>
      </w:pPr>
      <w:r>
        <w:t>Table 5.3 Out-of-fold performance of LightGBM under the hazard formulation, leave-one-campaign-out. ARM A (tuned): nested random search of twenty trials per outer fold, averaged over three seeds. Tables 5.3, 5.4, 5.8 and A.1 are this arm, and every headline number in the abstract and Chapter 7 comes from it. Intervals are block-bootstrapped over 180 s blocks and are conditional on these four sessions.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Horizon</w:t>
            </w:r>
          </w:p>
        </w:tc>
        <w:tc>
          <w:tcPr>
            <w:tcMar>
              <w:top w:w="60" w:type="dxa"/>
              <w:left w:w="100" w:type="dxa"/>
              <w:bottom w:w="60" w:type="dxa"/>
              <w:right w:w="100" w:type="dxa"/>
            </w:tcMar>
          </w:tcPr>
          <w:p>
            <w:r>
              <w:t>Prevalence</w:t>
            </w:r>
          </w:p>
        </w:tc>
        <w:tc>
          <w:tcPr>
            <w:tcMar>
              <w:top w:w="60" w:type="dxa"/>
              <w:left w:w="100" w:type="dxa"/>
              <w:bottom w:w="60" w:type="dxa"/>
              <w:right w:w="100" w:type="dxa"/>
            </w:tcMar>
          </w:tcPr>
          <w:p>
            <w:r>
              <w:t>AUPRC [95 % block-bootstrap CI]</w:t>
            </w:r>
          </w:p>
        </w:tc>
        <w:tc>
          <w:tcPr>
            <w:tcMar>
              <w:top w:w="60" w:type="dxa"/>
              <w:left w:w="100" w:type="dxa"/>
              <w:bottom w:w="60" w:type="dxa"/>
              <w:right w:w="100" w:type="dxa"/>
            </w:tcMar>
          </w:tcPr>
          <w:p>
            <w:r>
              <w:t>Lift</w:t>
            </w:r>
          </w:p>
        </w:tc>
        <w:tc>
          <w:tcPr>
            <w:tcMar>
              <w:top w:w="60" w:type="dxa"/>
              <w:left w:w="100" w:type="dxa"/>
              <w:bottom w:w="60" w:type="dxa"/>
              <w:right w:w="100" w:type="dxa"/>
            </w:tcMar>
          </w:tcPr>
          <w:p>
            <w:r>
              <w:t>AUROC</w:t>
            </w:r>
          </w:p>
        </w:tc>
        <w:tc>
          <w:tcPr>
            <w:tcMar>
              <w:top w:w="60" w:type="dxa"/>
              <w:left w:w="100" w:type="dxa"/>
              <w:bottom w:w="60" w:type="dxa"/>
              <w:right w:w="100" w:type="dxa"/>
            </w:tcMar>
          </w:tcPr>
          <w:p>
            <w:r>
              <w:t>ECE</w:t>
            </w:r>
          </w:p>
        </w:tc>
        <w:tc>
          <w:tcPr>
            <w:tcMar>
              <w:top w:w="60" w:type="dxa"/>
              <w:left w:w="100" w:type="dxa"/>
              <w:bottom w:w="60" w:type="dxa"/>
              <w:right w:w="100" w:type="dxa"/>
            </w:tcMar>
          </w:tcPr>
          <w:p>
            <w:r>
              <w:t>Brier</w:t>
            </w:r>
          </w:p>
        </w:tc>
      </w:tr>
      <w:tr w:rsidR="0015244F">
        <w:tblPrEx>
          <w:tblCellMar>
            <w:top w:w="0" w:type="dxa"/>
            <w:bottom w:w="0" w:type="dxa"/>
          </w:tblCellMar>
        </w:tblPrEx>
        <w:trPr>
          <w:tblHeader/>
        </w:trPr>
        <w:tc>
          <w:tcPr>
            <w:tcMar>
              <w:top w:w="60" w:type="dxa"/>
              <w:left w:w="100" w:type="dxa"/>
              <w:bottom w:w="60" w:type="dxa"/>
              <w:right w:w="100" w:type="dxa"/>
            </w:tcMar>
          </w:tcPr>
          <w:p>
            <w:r>
              <w:t>0.5 s</w:t>
            </w:r>
          </w:p>
        </w:tc>
        <w:tc>
          <w:tcPr>
            <w:tcMar>
              <w:top w:w="60" w:type="dxa"/>
              <w:left w:w="100" w:type="dxa"/>
              <w:bottom w:w="60" w:type="dxa"/>
              <w:right w:w="100" w:type="dxa"/>
            </w:tcMar>
          </w:tcPr>
          <w:p>
            <w:r>
              <w:t>0.037</w:t>
            </w:r>
          </w:p>
        </w:tc>
        <w:tc>
          <w:tcPr>
            <w:tcMar>
              <w:top w:w="60" w:type="dxa"/>
              <w:left w:w="100" w:type="dxa"/>
              <w:bottom w:w="60" w:type="dxa"/>
              <w:right w:w="100" w:type="dxa"/>
            </w:tcMar>
          </w:tcPr>
          <w:p>
            <w:r>
              <w:t>0.103 [0.086, 0.133]</w:t>
            </w:r>
          </w:p>
        </w:tc>
        <w:tc>
          <w:tcPr>
            <w:tcMar>
              <w:top w:w="60" w:type="dxa"/>
              <w:left w:w="100" w:type="dxa"/>
              <w:bottom w:w="60" w:type="dxa"/>
              <w:right w:w="100" w:type="dxa"/>
            </w:tcMar>
          </w:tcPr>
          <w:p>
            <w:r>
              <w:t>2.8×</w:t>
            </w:r>
          </w:p>
        </w:tc>
        <w:tc>
          <w:tcPr>
            <w:tcMar>
              <w:top w:w="60" w:type="dxa"/>
              <w:left w:w="100" w:type="dxa"/>
              <w:bottom w:w="60" w:type="dxa"/>
              <w:right w:w="100" w:type="dxa"/>
            </w:tcMar>
          </w:tcPr>
          <w:p>
            <w:r>
              <w:t>0.777</w:t>
            </w:r>
          </w:p>
        </w:tc>
        <w:tc>
          <w:tcPr>
            <w:tcMar>
              <w:top w:w="60" w:type="dxa"/>
              <w:left w:w="100" w:type="dxa"/>
              <w:bottom w:w="60" w:type="dxa"/>
              <w:right w:w="100" w:type="dxa"/>
            </w:tcMar>
          </w:tcPr>
          <w:p>
            <w:r>
              <w:t>0.006</w:t>
            </w:r>
          </w:p>
        </w:tc>
        <w:tc>
          <w:tcPr>
            <w:tcMar>
              <w:top w:w="60" w:type="dxa"/>
              <w:left w:w="100" w:type="dxa"/>
              <w:bottom w:w="60" w:type="dxa"/>
              <w:right w:w="100" w:type="dxa"/>
            </w:tcMar>
          </w:tcPr>
          <w:p>
            <w:r>
              <w:t>0.035</w:t>
            </w:r>
          </w:p>
        </w:tc>
      </w:tr>
      <w:tr w:rsidR="0015244F">
        <w:tblPrEx>
          <w:tblCellMar>
            <w:top w:w="0" w:type="dxa"/>
            <w:bottom w:w="0" w:type="dxa"/>
          </w:tblCellMar>
        </w:tblPrEx>
        <w:trPr>
          <w:tblHeader/>
        </w:trPr>
        <w:tc>
          <w:tcPr>
            <w:tcMar>
              <w:top w:w="60" w:type="dxa"/>
              <w:left w:w="100" w:type="dxa"/>
              <w:bottom w:w="60" w:type="dxa"/>
              <w:right w:w="100" w:type="dxa"/>
            </w:tcMar>
          </w:tcPr>
          <w:p>
            <w:r>
              <w:t>1 s</w:t>
            </w:r>
          </w:p>
        </w:tc>
        <w:tc>
          <w:tcPr>
            <w:tcMar>
              <w:top w:w="60" w:type="dxa"/>
              <w:left w:w="100" w:type="dxa"/>
              <w:bottom w:w="60" w:type="dxa"/>
              <w:right w:w="100" w:type="dxa"/>
            </w:tcMar>
          </w:tcPr>
          <w:p>
            <w:r>
              <w:t>0.068</w:t>
            </w:r>
          </w:p>
        </w:tc>
        <w:tc>
          <w:tcPr>
            <w:tcMar>
              <w:top w:w="60" w:type="dxa"/>
              <w:left w:w="100" w:type="dxa"/>
              <w:bottom w:w="60" w:type="dxa"/>
              <w:right w:w="100" w:type="dxa"/>
            </w:tcMar>
          </w:tcPr>
          <w:p>
            <w:r>
              <w:t>0.179 [0.159, 0.204]</w:t>
            </w:r>
          </w:p>
        </w:tc>
        <w:tc>
          <w:tcPr>
            <w:tcMar>
              <w:top w:w="60" w:type="dxa"/>
              <w:left w:w="100" w:type="dxa"/>
              <w:bottom w:w="60" w:type="dxa"/>
              <w:right w:w="100" w:type="dxa"/>
            </w:tcMar>
          </w:tcPr>
          <w:p>
            <w:r>
              <w:t>2.6×</w:t>
            </w:r>
          </w:p>
        </w:tc>
        <w:tc>
          <w:tcPr>
            <w:tcMar>
              <w:top w:w="60" w:type="dxa"/>
              <w:left w:w="100" w:type="dxa"/>
              <w:bottom w:w="60" w:type="dxa"/>
              <w:right w:w="100" w:type="dxa"/>
            </w:tcMar>
          </w:tcPr>
          <w:p>
            <w:r>
              <w:t>0.777</w:t>
            </w:r>
          </w:p>
        </w:tc>
        <w:tc>
          <w:tcPr>
            <w:tcMar>
              <w:top w:w="60" w:type="dxa"/>
              <w:left w:w="100" w:type="dxa"/>
              <w:bottom w:w="60" w:type="dxa"/>
              <w:right w:w="100" w:type="dxa"/>
            </w:tcMar>
          </w:tcPr>
          <w:p>
            <w:r>
              <w:t>0.012</w:t>
            </w:r>
          </w:p>
        </w:tc>
        <w:tc>
          <w:tcPr>
            <w:tcMar>
              <w:top w:w="60" w:type="dxa"/>
              <w:left w:w="100" w:type="dxa"/>
              <w:bottom w:w="60" w:type="dxa"/>
              <w:right w:w="100" w:type="dxa"/>
            </w:tcMar>
          </w:tcPr>
          <w:p>
            <w:r>
              <w:t>0.060</w:t>
            </w:r>
          </w:p>
        </w:tc>
      </w:tr>
      <w:tr w:rsidR="0015244F">
        <w:tblPrEx>
          <w:tblCellMar>
            <w:top w:w="0" w:type="dxa"/>
            <w:bottom w:w="0" w:type="dxa"/>
          </w:tblCellMar>
        </w:tblPrEx>
        <w:trPr>
          <w:tblHeader/>
        </w:trPr>
        <w:tc>
          <w:tcPr>
            <w:tcMar>
              <w:top w:w="60" w:type="dxa"/>
              <w:left w:w="100" w:type="dxa"/>
              <w:bottom w:w="60" w:type="dxa"/>
              <w:right w:w="100" w:type="dxa"/>
            </w:tcMar>
          </w:tcPr>
          <w:p>
            <w:r>
              <w:t>2 s</w:t>
            </w:r>
          </w:p>
        </w:tc>
        <w:tc>
          <w:tcPr>
            <w:tcMar>
              <w:top w:w="60" w:type="dxa"/>
              <w:left w:w="100" w:type="dxa"/>
              <w:bottom w:w="60" w:type="dxa"/>
              <w:right w:w="100" w:type="dxa"/>
            </w:tcMar>
          </w:tcPr>
          <w:p>
            <w:r>
              <w:t>0.126</w:t>
            </w:r>
          </w:p>
        </w:tc>
        <w:tc>
          <w:tcPr>
            <w:tcMar>
              <w:top w:w="60" w:type="dxa"/>
              <w:left w:w="100" w:type="dxa"/>
              <w:bottom w:w="60" w:type="dxa"/>
              <w:right w:w="100" w:type="dxa"/>
            </w:tcMar>
          </w:tcPr>
          <w:p>
            <w:r>
              <w:t>0.285 [0.254, 0.320]</w:t>
            </w:r>
          </w:p>
        </w:tc>
        <w:tc>
          <w:tcPr>
            <w:tcMar>
              <w:top w:w="60" w:type="dxa"/>
              <w:left w:w="100" w:type="dxa"/>
              <w:bottom w:w="60" w:type="dxa"/>
              <w:right w:w="100" w:type="dxa"/>
            </w:tcMar>
          </w:tcPr>
          <w:p>
            <w:r>
              <w:t>2.3×</w:t>
            </w:r>
          </w:p>
        </w:tc>
        <w:tc>
          <w:tcPr>
            <w:tcMar>
              <w:top w:w="60" w:type="dxa"/>
              <w:left w:w="100" w:type="dxa"/>
              <w:bottom w:w="60" w:type="dxa"/>
              <w:right w:w="100" w:type="dxa"/>
            </w:tcMar>
          </w:tcPr>
          <w:p>
            <w:r>
              <w:t>0.760</w:t>
            </w:r>
          </w:p>
        </w:tc>
        <w:tc>
          <w:tcPr>
            <w:tcMar>
              <w:top w:w="60" w:type="dxa"/>
              <w:left w:w="100" w:type="dxa"/>
              <w:bottom w:w="60" w:type="dxa"/>
              <w:right w:w="100" w:type="dxa"/>
            </w:tcMar>
          </w:tcPr>
          <w:p>
            <w:r>
              <w:t>0.016</w:t>
            </w:r>
          </w:p>
        </w:tc>
        <w:tc>
          <w:tcPr>
            <w:tcMar>
              <w:top w:w="60" w:type="dxa"/>
              <w:left w:w="100" w:type="dxa"/>
              <w:bottom w:w="60" w:type="dxa"/>
              <w:right w:w="100" w:type="dxa"/>
            </w:tcMar>
          </w:tcPr>
          <w:p>
            <w:r>
              <w:t>0.101</w:t>
            </w:r>
          </w:p>
        </w:tc>
      </w:tr>
      <w:tr w:rsidR="0015244F">
        <w:tblPrEx>
          <w:tblCellMar>
            <w:top w:w="0" w:type="dxa"/>
            <w:bottom w:w="0" w:type="dxa"/>
          </w:tblCellMar>
        </w:tblPrEx>
        <w:trPr>
          <w:tblHeader/>
        </w:trPr>
        <w:tc>
          <w:tcPr>
            <w:tcMar>
              <w:top w:w="60" w:type="dxa"/>
              <w:left w:w="100" w:type="dxa"/>
              <w:bottom w:w="60" w:type="dxa"/>
              <w:right w:w="100" w:type="dxa"/>
            </w:tcMar>
          </w:tcPr>
          <w:p>
            <w:r>
              <w:t>3 s</w:t>
            </w:r>
          </w:p>
        </w:tc>
        <w:tc>
          <w:tcPr>
            <w:tcMar>
              <w:top w:w="60" w:type="dxa"/>
              <w:left w:w="100" w:type="dxa"/>
              <w:bottom w:w="60" w:type="dxa"/>
              <w:right w:w="100" w:type="dxa"/>
            </w:tcMar>
          </w:tcPr>
          <w:p>
            <w:r>
              <w:t>0.176</w:t>
            </w:r>
          </w:p>
        </w:tc>
        <w:tc>
          <w:tcPr>
            <w:tcMar>
              <w:top w:w="60" w:type="dxa"/>
              <w:left w:w="100" w:type="dxa"/>
              <w:bottom w:w="60" w:type="dxa"/>
              <w:right w:w="100" w:type="dxa"/>
            </w:tcMar>
          </w:tcPr>
          <w:p>
            <w:r>
              <w:t>0.362 [0.323, 0.403]</w:t>
            </w:r>
          </w:p>
        </w:tc>
        <w:tc>
          <w:tcPr>
            <w:tcMar>
              <w:top w:w="60" w:type="dxa"/>
              <w:left w:w="100" w:type="dxa"/>
              <w:bottom w:w="60" w:type="dxa"/>
              <w:right w:w="100" w:type="dxa"/>
            </w:tcMar>
          </w:tcPr>
          <w:p>
            <w:r>
              <w:t>2.1×</w:t>
            </w:r>
          </w:p>
        </w:tc>
        <w:tc>
          <w:tcPr>
            <w:tcMar>
              <w:top w:w="60" w:type="dxa"/>
              <w:left w:w="100" w:type="dxa"/>
              <w:bottom w:w="60" w:type="dxa"/>
              <w:right w:w="100" w:type="dxa"/>
            </w:tcMar>
          </w:tcPr>
          <w:p>
            <w:r>
              <w:t>0.751</w:t>
            </w:r>
          </w:p>
        </w:tc>
        <w:tc>
          <w:tcPr>
            <w:tcMar>
              <w:top w:w="60" w:type="dxa"/>
              <w:left w:w="100" w:type="dxa"/>
              <w:bottom w:w="60" w:type="dxa"/>
              <w:right w:w="100" w:type="dxa"/>
            </w:tcMar>
          </w:tcPr>
          <w:p>
            <w:r>
              <w:t>0.026</w:t>
            </w:r>
          </w:p>
        </w:tc>
        <w:tc>
          <w:tcPr>
            <w:tcMar>
              <w:top w:w="60" w:type="dxa"/>
              <w:left w:w="100" w:type="dxa"/>
              <w:bottom w:w="60" w:type="dxa"/>
              <w:right w:w="100" w:type="dxa"/>
            </w:tcMar>
          </w:tcPr>
          <w:p>
            <w:r>
              <w:t>0.132</w:t>
            </w:r>
          </w:p>
        </w:tc>
      </w:tr>
      <w:tr w:rsidR="0015244F">
        <w:tblPrEx>
          <w:tblCellMar>
            <w:top w:w="0" w:type="dxa"/>
            <w:bottom w:w="0" w:type="dxa"/>
          </w:tblCellMar>
        </w:tblPrEx>
        <w:trPr>
          <w:tblHeader/>
        </w:trPr>
        <w:tc>
          <w:tcPr>
            <w:tcMar>
              <w:top w:w="60" w:type="dxa"/>
              <w:left w:w="100" w:type="dxa"/>
              <w:bottom w:w="60" w:type="dxa"/>
              <w:right w:w="100" w:type="dxa"/>
            </w:tcMar>
          </w:tcPr>
          <w:p>
            <w:r>
              <w:t>5 s</w:t>
            </w:r>
          </w:p>
        </w:tc>
        <w:tc>
          <w:tcPr>
            <w:tcMar>
              <w:top w:w="60" w:type="dxa"/>
              <w:left w:w="100" w:type="dxa"/>
              <w:bottom w:w="60" w:type="dxa"/>
              <w:right w:w="100" w:type="dxa"/>
            </w:tcMar>
          </w:tcPr>
          <w:p>
            <w:r>
              <w:t>0.261</w:t>
            </w:r>
          </w:p>
        </w:tc>
        <w:tc>
          <w:tcPr>
            <w:tcMar>
              <w:top w:w="60" w:type="dxa"/>
              <w:left w:w="100" w:type="dxa"/>
              <w:bottom w:w="60" w:type="dxa"/>
              <w:right w:w="100" w:type="dxa"/>
            </w:tcMar>
          </w:tcPr>
          <w:p>
            <w:r>
              <w:t>0.475 [0.428, 0.524]</w:t>
            </w:r>
          </w:p>
        </w:tc>
        <w:tc>
          <w:tcPr>
            <w:tcMar>
              <w:top w:w="60" w:type="dxa"/>
              <w:left w:w="100" w:type="dxa"/>
              <w:bottom w:w="60" w:type="dxa"/>
              <w:right w:w="100" w:type="dxa"/>
            </w:tcMar>
          </w:tcPr>
          <w:p>
            <w:r>
              <w:t>1.8×</w:t>
            </w:r>
          </w:p>
        </w:tc>
        <w:tc>
          <w:tcPr>
            <w:tcMar>
              <w:top w:w="60" w:type="dxa"/>
              <w:left w:w="100" w:type="dxa"/>
              <w:bottom w:w="60" w:type="dxa"/>
              <w:right w:w="100" w:type="dxa"/>
            </w:tcMar>
          </w:tcPr>
          <w:p>
            <w:r>
              <w:t>0.741</w:t>
            </w:r>
          </w:p>
        </w:tc>
        <w:tc>
          <w:tcPr>
            <w:tcMar>
              <w:top w:w="60" w:type="dxa"/>
              <w:left w:w="100" w:type="dxa"/>
              <w:bottom w:w="60" w:type="dxa"/>
              <w:right w:w="100" w:type="dxa"/>
            </w:tcMar>
          </w:tcPr>
          <w:p>
            <w:r>
              <w:t>0.044</w:t>
            </w:r>
          </w:p>
        </w:tc>
        <w:tc>
          <w:tcPr>
            <w:tcMar>
              <w:top w:w="60" w:type="dxa"/>
              <w:left w:w="100" w:type="dxa"/>
              <w:bottom w:w="60" w:type="dxa"/>
              <w:right w:w="100" w:type="dxa"/>
            </w:tcMar>
          </w:tcPr>
          <w:p>
            <w:r>
              <w:t>0.171</w:t>
            </w:r>
          </w:p>
        </w:tc>
      </w:tr>
    </w:tbl>
    <w:p w:rsidR="0015244F" w:rsidRDefault="00A565B8">
      <w:pPr>
        <w:pStyle w:val="TableCaption"/>
        <w:spacing w:before="240" w:after="120" w:line="240" w:lineRule="auto"/>
        <w:jc w:val="center"/>
      </w:pPr>
      <w:r>
        <w:t>Table 5.4 Every learner under identical folds, features, formulation and tuning budget. ARM A (tuned): nested random search of twenty trials per outer fold, averaged over three seeds. Tables 5.3, 5.4, 5.8 and A.1 are this arm, and every headline number in the abstract and Chapter 7 comes from it.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gridCol/>
      </w:tblGrid>
      <w:tr>
        <w:tc>
          <w:tcPr/>
          <w:p>
            <w:r>
              <w:t>Learner</w:t>
            </w:r>
          </w:p>
        </w:tc>
        <w:tc>
          <w:tcPr/>
          <w:p>
            <w:r>
              <w:t>AUPRC 1 s</w:t>
            </w:r>
          </w:p>
        </w:tc>
        <w:tc>
          <w:tcPr/>
          <w:p>
            <w:r>
              <w:t>Lift 1 s</w:t>
            </w:r>
          </w:p>
        </w:tc>
        <w:tc>
          <w:tcPr/>
          <w:p>
            <w:r>
              <w:t>AUROC 1 s</w:t>
            </w:r>
          </w:p>
        </w:tc>
        <w:tc>
          <w:tcPr/>
          <w:p>
            <w:r>
              <w:t>AUPRC 5 s</w:t>
            </w:r>
          </w:p>
        </w:tc>
        <w:tc>
          <w:tcPr/>
          <w:p>
            <w:r>
              <w:t>Lift 5 s</w:t>
            </w:r>
          </w:p>
        </w:tc>
      </w:tr>
      <w:tr>
        <w:tc>
          <w:tcPr/>
          <w:p>
            <w:r>
              <w:t>LightGBM</w:t>
            </w:r>
          </w:p>
        </w:tc>
        <w:tc>
          <w:tcPr/>
          <w:p>
            <w:r>
              <w:t>0.179</w:t>
            </w:r>
          </w:p>
        </w:tc>
        <w:tc>
          <w:tcPr/>
          <w:p>
            <w:r>
              <w:t>2.6×</w:t>
            </w:r>
          </w:p>
        </w:tc>
        <w:tc>
          <w:tcPr/>
          <w:p>
            <w:r>
              <w:t>0.777</w:t>
            </w:r>
          </w:p>
        </w:tc>
        <w:tc>
          <w:tcPr/>
          <w:p>
            <w:r>
              <w:t>0.475</w:t>
            </w:r>
          </w:p>
        </w:tc>
        <w:tc>
          <w:tcPr/>
          <w:p>
            <w:r>
              <w:t>1.8×</w:t>
            </w:r>
          </w:p>
        </w:tc>
      </w:tr>
      <w:tr>
        <w:tc>
          <w:tcPr/>
          <w:p>
            <w:r>
              <w:t>MLP</w:t>
            </w:r>
          </w:p>
        </w:tc>
        <w:tc>
          <w:tcPr/>
          <w:p>
            <w:r>
              <w:t>0.173</w:t>
            </w:r>
          </w:p>
        </w:tc>
        <w:tc>
          <w:tcPr/>
          <w:p>
            <w:r>
              <w:t>2.5×</w:t>
            </w:r>
          </w:p>
        </w:tc>
        <w:tc>
          <w:tcPr/>
          <w:p>
            <w:r>
              <w:t>0.755</w:t>
            </w:r>
          </w:p>
        </w:tc>
        <w:tc>
          <w:tcPr/>
          <w:p>
            <w:r>
              <w:t>0.467</w:t>
            </w:r>
          </w:p>
        </w:tc>
        <w:tc>
          <w:tcPr/>
          <w:p>
            <w:r>
              <w:t>1.8×</w:t>
            </w:r>
          </w:p>
        </w:tc>
      </w:tr>
      <w:tr>
        <w:tc>
          <w:tcPr/>
          <w:p>
            <w:r>
              <w:t>TCN</w:t>
            </w:r>
          </w:p>
        </w:tc>
        <w:tc>
          <w:tcPr/>
          <w:p>
            <w:r>
              <w:t>0.167</w:t>
            </w:r>
          </w:p>
        </w:tc>
        <w:tc>
          <w:tcPr/>
          <w:p>
            <w:r>
              <w:t>2.5×</w:t>
            </w:r>
          </w:p>
        </w:tc>
        <w:tc>
          <w:tcPr/>
          <w:p>
            <w:r>
              <w:t>0.755</w:t>
            </w:r>
          </w:p>
        </w:tc>
        <w:tc>
          <w:tcPr/>
          <w:p>
            <w:r>
              <w:t>0.481</w:t>
            </w:r>
          </w:p>
        </w:tc>
        <w:tc>
          <w:tcPr/>
          <w:p>
            <w:r>
              <w:t>1.8×</w:t>
            </w:r>
          </w:p>
        </w:tc>
      </w:tr>
      <w:tr>
        <w:tc>
          <w:tcPr/>
          <w:p>
            <w:r>
              <w:t>Transformer</w:t>
            </w:r>
          </w:p>
        </w:tc>
        <w:tc>
          <w:tcPr/>
          <w:p>
            <w:r>
              <w:t>0.152</w:t>
            </w:r>
          </w:p>
        </w:tc>
        <w:tc>
          <w:tcPr/>
          <w:p>
            <w:r>
              <w:t>2.2×</w:t>
            </w:r>
          </w:p>
        </w:tc>
        <w:tc>
          <w:tcPr/>
          <w:p>
            <w:r>
              <w:t>0.728</w:t>
            </w:r>
          </w:p>
        </w:tc>
        <w:tc>
          <w:tcPr/>
          <w:p>
            <w:r>
              <w:t>0.453</w:t>
            </w:r>
          </w:p>
        </w:tc>
        <w:tc>
          <w:tcPr/>
          <w:p>
            <w:r>
              <w:t>1.7×</w:t>
            </w:r>
          </w:p>
        </w:tc>
      </w:tr>
      <w:tr>
        <w:tc>
          <w:tcPr/>
          <w:p>
            <w:r>
              <w:t>GRU</w:t>
            </w:r>
          </w:p>
        </w:tc>
        <w:tc>
          <w:tcPr/>
          <w:p>
            <w:r>
              <w:t>0.130</w:t>
            </w:r>
          </w:p>
        </w:tc>
        <w:tc>
          <w:tcPr/>
          <w:p>
            <w:r>
              <w:t>1.9×</w:t>
            </w:r>
          </w:p>
        </w:tc>
        <w:tc>
          <w:tcPr/>
          <w:p>
            <w:r>
              <w:t>0.710</w:t>
            </w:r>
          </w:p>
        </w:tc>
        <w:tc>
          <w:tcPr/>
          <w:p>
            <w:r>
              <w:t>0.438</w:t>
            </w:r>
          </w:p>
        </w:tc>
        <w:tc>
          <w:tcPr/>
          <w:p>
            <w:r>
              <w:t>1.7×</w:t>
            </w:r>
          </w:p>
        </w:tc>
      </w:tr>
      <w:tr>
        <w:tc>
          <w:tcPr/>
          <w:p>
            <w:r>
              <w:t>Logistic regression</w:t>
            </w:r>
          </w:p>
        </w:tc>
        <w:tc>
          <w:tcPr/>
          <w:p>
            <w:r>
              <w:t>0.130</w:t>
            </w:r>
          </w:p>
        </w:tc>
        <w:tc>
          <w:tcPr/>
          <w:p>
            <w:r>
              <w:t>1.9×</w:t>
            </w:r>
          </w:p>
        </w:tc>
        <w:tc>
          <w:tcPr/>
          <w:p>
            <w:r>
              <w:t>0.671</w:t>
            </w:r>
          </w:p>
        </w:tc>
        <w:tc>
          <w:tcPr/>
          <w:p>
            <w:r>
              <w:t>0.417</w:t>
            </w:r>
          </w:p>
        </w:tc>
        <w:tc>
          <w:tcPr/>
          <w:p>
            <w:r>
              <w:t>1.6×</w:t>
            </w:r>
          </w:p>
        </w:tc>
      </w:tr>
      <w:tr>
        <w:tc>
          <w:tcPr/>
          <w:p>
            <w:r>
              <w:t>Hawkes-kernel intensity (LR)</w:t>
            </w:r>
          </w:p>
        </w:tc>
        <w:tc>
          <w:tcPr/>
          <w:p>
            <w:r>
              <w:t>0.120</w:t>
            </w:r>
          </w:p>
        </w:tc>
        <w:tc>
          <w:tcPr/>
          <w:p>
            <w:r>
              <w:t>1.8×</w:t>
            </w:r>
          </w:p>
        </w:tc>
        <w:tc>
          <w:tcPr/>
          <w:p>
            <w:r>
              <w:t>0.666</w:t>
            </w:r>
          </w:p>
        </w:tc>
        <w:tc>
          <w:tcPr/>
          <w:p>
            <w:r>
              <w:t>0.403</w:t>
            </w:r>
          </w:p>
        </w:tc>
        <w:tc>
          <w:tcPr/>
          <w:p>
            <w:r>
              <w:t>1.5×</w:t>
            </w:r>
          </w:p>
        </w:tc>
      </w:tr>
      <w:tr>
        <w:tc>
          <w:tcPr/>
          <w:p>
            <w:r>
              <w:t>Event A3 rule (deployed parameters)</w:t>
            </w:r>
          </w:p>
        </w:tc>
        <w:tc>
          <w:tcPr/>
          <w:p>
            <w:r>
              <w:t>0.116</w:t>
            </w:r>
          </w:p>
        </w:tc>
        <w:tc>
          <w:tcPr/>
          <w:p>
            <w:r>
              <w:t>1.7×</w:t>
            </w:r>
          </w:p>
        </w:tc>
        <w:tc>
          <w:tcPr/>
          <w:p>
            <w:r>
              <w:t>0.689</w:t>
            </w:r>
          </w:p>
        </w:tc>
        <w:tc>
          <w:tcPr/>
          <w:p>
            <w:r>
              <w:t>0.374</w:t>
            </w:r>
          </w:p>
        </w:tc>
        <w:tc>
          <w:tcPr/>
          <w:p>
            <w:r>
              <w:t>1.4×</w:t>
            </w:r>
          </w:p>
        </w:tc>
      </w:tr>
      <w:tr>
        <w:tc>
          <w:tcPr/>
          <w:p>
            <w:r>
              <w:t>History block only (LightGBM)</w:t>
            </w:r>
          </w:p>
        </w:tc>
        <w:tc>
          <w:tcPr/>
          <w:p>
            <w:r>
              <w:t>0.114</w:t>
            </w:r>
          </w:p>
        </w:tc>
        <w:tc>
          <w:tcPr/>
          <w:p>
            <w:r>
              <w:t>1.7×</w:t>
            </w:r>
          </w:p>
        </w:tc>
        <w:tc>
          <w:tcPr/>
          <w:p>
            <w:r>
              <w:t>0.652</w:t>
            </w:r>
          </w:p>
        </w:tc>
        <w:tc>
          <w:tcPr/>
          <w:p>
            <w:r>
              <w:t>0.397</w:t>
            </w:r>
          </w:p>
        </w:tc>
        <w:tc>
          <w:tcPr/>
          <w:p>
            <w:r>
              <w:t>1.5×</w:t>
            </w:r>
          </w:p>
        </w:tc>
      </w:tr>
      <w:tr>
        <w:tc>
          <w:tcPr/>
          <w:p>
            <w:r>
              <w:t>Dwell time only (LightGBM)</w:t>
            </w:r>
          </w:p>
        </w:tc>
        <w:tc>
          <w:tcPr/>
          <w:p>
            <w:r>
              <w:t>0.105</w:t>
            </w:r>
          </w:p>
        </w:tc>
        <w:tc>
          <w:tcPr/>
          <w:p>
            <w:r>
              <w:t>1.6×</w:t>
            </w:r>
          </w:p>
        </w:tc>
        <w:tc>
          <w:tcPr/>
          <w:p>
            <w:r>
              <w:t>0.637</w:t>
            </w:r>
          </w:p>
        </w:tc>
        <w:tc>
          <w:tcPr/>
          <w:p>
            <w:r>
              <w:t>0.367</w:t>
            </w:r>
          </w:p>
        </w:tc>
        <w:tc>
          <w:tcPr/>
          <w:p>
            <w:r>
              <w:t>1.4×</w:t>
            </w:r>
          </w:p>
        </w:tc>
      </w:tr>
      <w:tr>
        <w:tc>
          <w:tcPr/>
          <w:p>
            <w:r>
              <w:t>Prevalence floor</w:t>
            </w:r>
          </w:p>
        </w:tc>
        <w:tc>
          <w:tcPr/>
          <w:p>
            <w:r>
              <w:t>0.068</w:t>
            </w:r>
          </w:p>
        </w:tc>
        <w:tc>
          <w:tcPr/>
          <w:p>
            <w:r>
              <w:t>1.0×</w:t>
            </w:r>
          </w:p>
        </w:tc>
        <w:tc>
          <w:tcPr/>
          <w:p>
            <w:r>
              <w:t>0.500</w:t>
            </w:r>
          </w:p>
        </w:tc>
        <w:tc>
          <w:tcPr/>
          <w:p>
            <w:r>
              <w:t>0.261</w:t>
            </w:r>
          </w:p>
        </w:tc>
        <w:tc>
          <w:tcPr/>
          <w:p>
            <w:r>
              <w:t>1.0×</w:t>
            </w:r>
          </w:p>
        </w:tc>
      </w:tr>
    </w:tbl>
    <w:p w:rsidR="0015244F" w:rsidRDefault="0015244F">
      <w:pPr>
        <w:spacing w:after="120" w:line="240" w:lineRule="auto"/>
      </w:pPr>
    </w:p>
    <w:p w:rsidR="0015244F" w:rsidRDefault="00A565B8">
      <w:pPr>
        <w:ind w:firstLine="567"/>
        <w:jc w:val="both"/>
      </w:pPr>
      <w:r>
        <w:t>One second before a handover command the model reaches AUPRC 0.179 against a prevalence floor of 6.8%, a lift of 2.6x, at AUROC 0.777 and an expected calibration error of 0.012. At five seconds it reaches AUPRC 0.475 against a 26.1% floor, a lift of 1.8x. The deployed Event A3 rule, scored on the same rows as a predictor, reaches AUPRC 0.116 at one second (1.7x) and AUROC 0.689. The model is therefore materially better than the deployed rule and materially worse than the same model was before the alignment audit; both statements belong in the same paragraph.</w:t>
      </w:r>
      <w:proofErr w:type="spellStart"/>
      <w:r/>
      <w:proofErr w:type="spellEnd"/>
      <w:r/>
      <w:r/>
      <w:r/>
    </w:p>
    <w:p w:rsidR="0015244F" w:rsidRDefault="00A565B8">
      <w:pPr>
        <w:ind w:firstLine="567"/>
        <w:jc w:val="both"/>
      </w:pPr>
      <w:r>
        <w:t>Two features of Table 5.3 require comment. First, the lift falls with the horizon while the AUPRC rises, because the prevalence floor rises faster than the score does; reading AUPRC across rows without the floor is precisely the error Section 2.3 documents in the comparator literature. Second, the calibration error rises with the horizon, so the five-second output should be read as a ranking rather than as a probability.</w:t>
      </w:r>
      <w:r/>
    </w:p>
    <w:p w:rsidR="0015244F" w:rsidRDefault="00A565B8">
      <w:pPr>
        <w:ind w:firstLine="567"/>
        <w:jc w:val="both"/>
      </w:pPr>
      <w:r>
        <w:t>The interval on each AUPRC in Table 5.3 comes from a block bootstrap over 180-second blocks and is conditional on these four sessions. The per-campaign spread in Table 5.8 is wider than that interval, which is the honest measure of how much a fifth campaign could move these numbers.</w:t>
      </w:r>
      <w:r/>
      <w:proofErr w:type="spellStart"/>
      <w:r/>
      <w:proofErr w:type="spellEnd"/>
      <w:r/>
      <w:r/>
    </w:p>
    <w:p w:rsidR="0015244F" w:rsidRDefault="00A565B8">
      <w:pPr>
        <w:keepNext/>
        <w:spacing w:before="240" w:after="120" w:line="240" w:lineRule="auto"/>
        <w:jc w:val="center"/>
      </w:pPr>
      <w:r>
        <w:rPr>
          <w:noProof/>
        </w:rPr>
        <w:drawing>
          <wp:inline distT="0" distB="0" distL="0" distR="0">
            <wp:extent cx="5762625" cy="36084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3608414"/>
                    </a:xfrm>
                    <a:prstGeom prst="rect">
                      <a:avLst/>
                    </a:prstGeom>
                  </pic:spPr>
                </pic:pic>
              </a:graphicData>
            </a:graphic>
          </wp:inline>
        </w:drawing>
      </w:r>
    </w:p>
    <w:p w:rsidR="0015244F" w:rsidRDefault="00A565B8">
      <w:pPr>
        <w:pStyle w:val="FigureCaption"/>
        <w:spacing w:after="240" w:line="240" w:lineRule="auto"/>
        <w:jc w:val="center"/>
      </w:pPr>
      <w:r>
        <w:t>Figure 5.4 One-second AUPRC lift by learner, with each held-out campaign drawn separately. The spread across campaigns is wider than the spread across learners.</w:t>
      </w:r>
    </w:p>
    <w:p w:rsidR="0015244F" w:rsidRDefault="00A565B8">
      <w:pPr>
        <w:pStyle w:val="Heading2"/>
        <w:spacing w:before="360" w:after="140"/>
      </w:pPr>
      <w:r>
        <w:t>5.3 Splitting protocol: what each unit is worth</w:t>
      </w:r>
    </w:p>
    <w:p w:rsidR="0015244F" w:rsidRDefault="00A565B8">
      <w:pPr>
        <w:ind w:firstLine="567"/>
        <w:jc w:val="both"/>
      </w:pPr>
      <w:r>
        <w:t>The result in this section concerns the protocol rather than the predictor, and it is the one with the widest implication for the comparator literature.</w:t>
      </w:r>
    </w:p>
    <w:p w:rsidR="0015244F" w:rsidRDefault="00A565B8">
      <w:pPr>
        <w:ind w:firstLine="567"/>
        <w:jc w:val="both"/>
      </w:pPr>
      <w:r>
        <w:t>The experiment is a controlled substitution. Everything is held fixed — the data, the lagged features, the formulation, the hyper-parameters, the seeds — and only the splitting rule changes, across the four-step ladder of Section 4.9. Table 5.5 reports the result at one second and Figure 5.5 across the ladder.</w:t>
      </w:r>
      <w:proofErr w:type="spellStart"/>
      <w:r/>
      <w:proofErr w:type="spellEnd"/>
      <w:r/>
      <w:r/>
      <w:r/>
    </w:p>
    <w:p w:rsidR="0015244F" w:rsidRDefault="00A565B8">
      <w:pPr>
        <w:pStyle w:val="TableCaption"/>
        <w:spacing w:before="240" w:after="120" w:line="240" w:lineRule="auto"/>
        <w:jc w:val="center"/>
      </w:pPr>
      <w:r>
        <w:t>Table 5.5 One-second AUPRC under four splitting protocols. ARM B (fixed hyper-parameters): one configuration per learner, held fixed across all four protocols so that the splitting rule is the only thing that varies. Because the learners are untuned, the levels in the leave-one-campaign-out column are NOT comparable with Tables 5.3, 5.4 and A.1, which report arm A; every percentage quoted from this table is a ratio within the table.</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Learner</w:t>
            </w:r>
          </w:p>
        </w:tc>
        <w:tc>
          <w:tcPr>
            <w:tcMar>
              <w:top w:w="60" w:type="dxa"/>
              <w:left w:w="100" w:type="dxa"/>
              <w:bottom w:w="60" w:type="dxa"/>
              <w:right w:w="100" w:type="dxa"/>
            </w:tcMar>
          </w:tcPr>
          <w:p>
            <w:r>
              <w:t>Leave one campaign out</w:t>
            </w:r>
          </w:p>
        </w:tc>
        <w:tc>
          <w:tcPr>
            <w:tcMar>
              <w:top w:w="60" w:type="dxa"/>
              <w:left w:w="100" w:type="dxa"/>
              <w:bottom w:w="60" w:type="dxa"/>
              <w:right w:w="100" w:type="dxa"/>
            </w:tcMar>
          </w:tcPr>
          <w:p>
            <w:r>
              <w:t>Blocks + 60 s purge</w:t>
            </w:r>
          </w:p>
        </w:tc>
        <w:tc>
          <w:tcPr>
            <w:tcMar>
              <w:top w:w="60" w:type="dxa"/>
              <w:left w:w="100" w:type="dxa"/>
              <w:bottom w:w="60" w:type="dxa"/>
              <w:right w:w="100" w:type="dxa"/>
            </w:tcMar>
          </w:tcPr>
          <w:p>
            <w:r>
              <w:t>Random 180 s blocks</w:t>
            </w:r>
          </w:p>
        </w:tc>
        <w:tc>
          <w:tcPr>
            <w:tcMar>
              <w:top w:w="60" w:type="dxa"/>
              <w:left w:w="100" w:type="dxa"/>
              <w:bottom w:w="60" w:type="dxa"/>
              <w:right w:w="100" w:type="dxa"/>
            </w:tcMar>
          </w:tcPr>
          <w:p>
            <w:r>
              <w:t>Random rows</w:t>
            </w:r>
          </w:p>
        </w:tc>
        <w:tc>
          <w:tcPr>
            <w:tcMar>
              <w:top w:w="60" w:type="dxa"/>
              <w:left w:w="100" w:type="dxa"/>
              <w:bottom w:w="60" w:type="dxa"/>
              <w:right w:w="100" w:type="dxa"/>
            </w:tcMar>
          </w:tcPr>
          <w:p>
            <w:r>
              <w:t>Inflation, random rows vs LOCO</w:t>
            </w:r>
          </w:p>
        </w:tc>
      </w:tr>
      <w:tr w:rsidR="0015244F">
        <w:tblPrEx>
          <w:tblCellMar>
            <w:top w:w="0" w:type="dxa"/>
            <w:bottom w:w="0" w:type="dxa"/>
          </w:tblCellMar>
        </w:tblPrEx>
        <w:trPr>
          <w:tblHeader/>
        </w:trPr>
        <w:tc>
          <w:tcPr>
            <w:tcMar>
              <w:top w:w="60" w:type="dxa"/>
              <w:left w:w="100" w:type="dxa"/>
              <w:bottom w:w="60" w:type="dxa"/>
              <w:right w:w="100" w:type="dxa"/>
            </w:tcMar>
          </w:tcPr>
          <w:p>
            <w:r>
              <w:t>lr</w:t>
            </w:r>
          </w:p>
        </w:tc>
        <w:tc>
          <w:tcPr>
            <w:tcMar>
              <w:top w:w="60" w:type="dxa"/>
              <w:left w:w="100" w:type="dxa"/>
              <w:bottom w:w="60" w:type="dxa"/>
              <w:right w:w="100" w:type="dxa"/>
            </w:tcMar>
          </w:tcPr>
          <w:p>
            <w:r>
              <w:t>0.167</w:t>
            </w:r>
          </w:p>
        </w:tc>
        <w:tc>
          <w:tcPr>
            <w:tcMar>
              <w:top w:w="60" w:type="dxa"/>
              <w:left w:w="100" w:type="dxa"/>
              <w:bottom w:w="60" w:type="dxa"/>
              <w:right w:w="100" w:type="dxa"/>
            </w:tcMar>
          </w:tcPr>
          <w:p>
            <w:r>
              <w:t>0.162</w:t>
            </w:r>
          </w:p>
        </w:tc>
        <w:tc>
          <w:tcPr>
            <w:tcMar>
              <w:top w:w="60" w:type="dxa"/>
              <w:left w:w="100" w:type="dxa"/>
              <w:bottom w:w="60" w:type="dxa"/>
              <w:right w:w="100" w:type="dxa"/>
            </w:tcMar>
          </w:tcPr>
          <w:p>
            <w:r>
              <w:t>0.168</w:t>
            </w:r>
          </w:p>
        </w:tc>
        <w:tc>
          <w:tcPr>
            <w:tcMar>
              <w:top w:w="60" w:type="dxa"/>
              <w:left w:w="100" w:type="dxa"/>
              <w:bottom w:w="60" w:type="dxa"/>
              <w:right w:w="100" w:type="dxa"/>
            </w:tcMar>
          </w:tcPr>
          <w:p>
            <w:r>
              <w:t>0.179</w:t>
            </w:r>
          </w:p>
        </w:tc>
        <w:tc>
          <w:tcPr>
            <w:tcMar>
              <w:top w:w="60" w:type="dxa"/>
              <w:left w:w="100" w:type="dxa"/>
              <w:bottom w:w="60" w:type="dxa"/>
              <w:right w:w="100" w:type="dxa"/>
            </w:tcMar>
          </w:tcPr>
          <w:p>
            <w:r>
              <w:t>+7 %</w:t>
            </w:r>
          </w:p>
        </w:tc>
      </w:tr>
      <w:tr w:rsidR="0015244F">
        <w:tblPrEx>
          <w:tblCellMar>
            <w:top w:w="0" w:type="dxa"/>
            <w:bottom w:w="0" w:type="dxa"/>
          </w:tblCellMar>
        </w:tblPrEx>
        <w:trPr>
          <w:tblHeader/>
        </w:trPr>
        <w:tc>
          <w:tcPr>
            <w:tcMar>
              <w:top w:w="60" w:type="dxa"/>
              <w:left w:w="100" w:type="dxa"/>
              <w:bottom w:w="60" w:type="dxa"/>
              <w:right w:w="100" w:type="dxa"/>
            </w:tcMar>
          </w:tcPr>
          <w:p>
            <w:r>
              <w:t>tcn</w:t>
            </w:r>
          </w:p>
        </w:tc>
        <w:tc>
          <w:tcPr>
            <w:tcMar>
              <w:top w:w="60" w:type="dxa"/>
              <w:left w:w="100" w:type="dxa"/>
              <w:bottom w:w="60" w:type="dxa"/>
              <w:right w:w="100" w:type="dxa"/>
            </w:tcMar>
          </w:tcPr>
          <w:p>
            <w:r>
              <w:t>0.165</w:t>
            </w:r>
          </w:p>
        </w:tc>
        <w:tc>
          <w:tcPr>
            <w:tcMar>
              <w:top w:w="60" w:type="dxa"/>
              <w:left w:w="100" w:type="dxa"/>
              <w:bottom w:w="60" w:type="dxa"/>
              <w:right w:w="100" w:type="dxa"/>
            </w:tcMar>
          </w:tcPr>
          <w:p>
            <w:r>
              <w:t>0.151</w:t>
            </w:r>
          </w:p>
        </w:tc>
        <w:tc>
          <w:tcPr>
            <w:tcMar>
              <w:top w:w="60" w:type="dxa"/>
              <w:left w:w="100" w:type="dxa"/>
              <w:bottom w:w="60" w:type="dxa"/>
              <w:right w:w="100" w:type="dxa"/>
            </w:tcMar>
          </w:tcPr>
          <w:p>
            <w:r>
              <w:t>0.165</w:t>
            </w:r>
          </w:p>
        </w:tc>
        <w:tc>
          <w:tcPr>
            <w:tcMar>
              <w:top w:w="60" w:type="dxa"/>
              <w:left w:w="100" w:type="dxa"/>
              <w:bottom w:w="60" w:type="dxa"/>
              <w:right w:w="100" w:type="dxa"/>
            </w:tcMar>
          </w:tcPr>
          <w:p>
            <w:r>
              <w:t>0.181</w:t>
            </w:r>
          </w:p>
        </w:tc>
        <w:tc>
          <w:tcPr>
            <w:tcMar>
              <w:top w:w="60" w:type="dxa"/>
              <w:left w:w="100" w:type="dxa"/>
              <w:bottom w:w="60" w:type="dxa"/>
              <w:right w:w="100" w:type="dxa"/>
            </w:tcMar>
          </w:tcPr>
          <w:p>
            <w:r>
              <w:t>+10 %</w:t>
            </w:r>
          </w:p>
        </w:tc>
      </w:tr>
      <w:tr w:rsidR="0015244F">
        <w:tblPrEx>
          <w:tblCellMar>
            <w:top w:w="0" w:type="dxa"/>
            <w:bottom w:w="0" w:type="dxa"/>
          </w:tblCellMar>
        </w:tblPrEx>
        <w:trPr>
          <w:tblHeader/>
        </w:trPr>
        <w:tc>
          <w:tcPr>
            <w:tcMar>
              <w:top w:w="60" w:type="dxa"/>
              <w:left w:w="100" w:type="dxa"/>
              <w:bottom w:w="60" w:type="dxa"/>
              <w:right w:w="100" w:type="dxa"/>
            </w:tcMar>
          </w:tcPr>
          <w:p>
            <w:r>
              <w:t>lgbm</w:t>
            </w:r>
          </w:p>
        </w:tc>
        <w:tc>
          <w:tcPr>
            <w:tcMar>
              <w:top w:w="60" w:type="dxa"/>
              <w:left w:w="100" w:type="dxa"/>
              <w:bottom w:w="60" w:type="dxa"/>
              <w:right w:w="100" w:type="dxa"/>
            </w:tcMar>
          </w:tcPr>
          <w:p>
            <w:r>
              <w:t>0.160</w:t>
            </w:r>
          </w:p>
        </w:tc>
        <w:tc>
          <w:tcPr>
            <w:tcMar>
              <w:top w:w="60" w:type="dxa"/>
              <w:left w:w="100" w:type="dxa"/>
              <w:bottom w:w="60" w:type="dxa"/>
              <w:right w:w="100" w:type="dxa"/>
            </w:tcMar>
          </w:tcPr>
          <w:p>
            <w:r>
              <w:t>0.166</w:t>
            </w:r>
          </w:p>
        </w:tc>
        <w:tc>
          <w:tcPr>
            <w:tcMar>
              <w:top w:w="60" w:type="dxa"/>
              <w:left w:w="100" w:type="dxa"/>
              <w:bottom w:w="60" w:type="dxa"/>
              <w:right w:w="100" w:type="dxa"/>
            </w:tcMar>
          </w:tcPr>
          <w:p>
            <w:r>
              <w:t>0.180</w:t>
            </w:r>
          </w:p>
        </w:tc>
        <w:tc>
          <w:tcPr>
            <w:tcMar>
              <w:top w:w="60" w:type="dxa"/>
              <w:left w:w="100" w:type="dxa"/>
              <w:bottom w:w="60" w:type="dxa"/>
              <w:right w:w="100" w:type="dxa"/>
            </w:tcMar>
          </w:tcPr>
          <w:p>
            <w:r>
              <w:t>0.236</w:t>
            </w:r>
          </w:p>
        </w:tc>
        <w:tc>
          <w:tcPr>
            <w:tcMar>
              <w:top w:w="60" w:type="dxa"/>
              <w:left w:w="100" w:type="dxa"/>
              <w:bottom w:w="60" w:type="dxa"/>
              <w:right w:w="100" w:type="dxa"/>
            </w:tcMar>
          </w:tcPr>
          <w:p>
            <w:r>
              <w:t>+48 %</w:t>
            </w:r>
          </w:p>
        </w:tc>
      </w:tr>
      <w:tr w:rsidR="0015244F">
        <w:tblPrEx>
          <w:tblCellMar>
            <w:top w:w="0" w:type="dxa"/>
            <w:bottom w:w="0" w:type="dxa"/>
          </w:tblCellMar>
        </w:tblPrEx>
        <w:trPr>
          <w:tblHeader/>
        </w:trPr>
        <w:tc>
          <w:tcPr>
            <w:tcMar>
              <w:top w:w="60" w:type="dxa"/>
              <w:left w:w="100" w:type="dxa"/>
              <w:bottom w:w="60" w:type="dxa"/>
              <w:right w:w="100" w:type="dxa"/>
            </w:tcMar>
          </w:tcPr>
          <w:p>
            <w:r>
              <w:t>mlp</w:t>
            </w:r>
          </w:p>
        </w:tc>
        <w:tc>
          <w:tcPr>
            <w:tcMar>
              <w:top w:w="60" w:type="dxa"/>
              <w:left w:w="100" w:type="dxa"/>
              <w:bottom w:w="60" w:type="dxa"/>
              <w:right w:w="100" w:type="dxa"/>
            </w:tcMar>
          </w:tcPr>
          <w:p>
            <w:r>
              <w:t>0.152</w:t>
            </w:r>
          </w:p>
        </w:tc>
        <w:tc>
          <w:tcPr>
            <w:tcMar>
              <w:top w:w="60" w:type="dxa"/>
              <w:left w:w="100" w:type="dxa"/>
              <w:bottom w:w="60" w:type="dxa"/>
              <w:right w:w="100" w:type="dxa"/>
            </w:tcMar>
          </w:tcPr>
          <w:p>
            <w:r>
              <w:t>0.147</w:t>
            </w:r>
          </w:p>
        </w:tc>
        <w:tc>
          <w:tcPr>
            <w:tcMar>
              <w:top w:w="60" w:type="dxa"/>
              <w:left w:w="100" w:type="dxa"/>
              <w:bottom w:w="60" w:type="dxa"/>
              <w:right w:w="100" w:type="dxa"/>
            </w:tcMar>
          </w:tcPr>
          <w:p>
            <w:r>
              <w:t>0.150</w:t>
            </w:r>
          </w:p>
        </w:tc>
        <w:tc>
          <w:tcPr>
            <w:tcMar>
              <w:top w:w="60" w:type="dxa"/>
              <w:left w:w="100" w:type="dxa"/>
              <w:bottom w:w="60" w:type="dxa"/>
              <w:right w:w="100" w:type="dxa"/>
            </w:tcMar>
          </w:tcPr>
          <w:p>
            <w:r>
              <w:t>0.163</w:t>
            </w:r>
          </w:p>
        </w:tc>
        <w:tc>
          <w:tcPr>
            <w:tcMar>
              <w:top w:w="60" w:type="dxa"/>
              <w:left w:w="100" w:type="dxa"/>
              <w:bottom w:w="60" w:type="dxa"/>
              <w:right w:w="100" w:type="dxa"/>
            </w:tcMar>
          </w:tcPr>
          <w:p>
            <w:r>
              <w:t>+8 %</w:t>
            </w:r>
          </w:p>
        </w:tc>
      </w:tr>
      <w:tr w:rsidR="0015244F">
        <w:tblPrEx>
          <w:tblCellMar>
            <w:top w:w="0" w:type="dxa"/>
            <w:bottom w:w="0" w:type="dxa"/>
          </w:tblCellMar>
        </w:tblPrEx>
        <w:trPr>
          <w:tblHeader/>
        </w:trPr>
        <w:tc>
          <w:tcPr>
            <w:tcMar>
              <w:top w:w="60" w:type="dxa"/>
              <w:left w:w="100" w:type="dxa"/>
              <w:bottom w:w="60" w:type="dxa"/>
              <w:right w:w="100" w:type="dxa"/>
            </w:tcMar>
          </w:tcPr>
          <w:p>
            <w:r>
              <w:t>transformer</w:t>
            </w:r>
          </w:p>
        </w:tc>
        <w:tc>
          <w:tcPr>
            <w:tcMar>
              <w:top w:w="60" w:type="dxa"/>
              <w:left w:w="100" w:type="dxa"/>
              <w:bottom w:w="60" w:type="dxa"/>
              <w:right w:w="100" w:type="dxa"/>
            </w:tcMar>
          </w:tcPr>
          <w:p>
            <w:r>
              <w:t>0.126</w:t>
            </w:r>
          </w:p>
        </w:tc>
        <w:tc>
          <w:tcPr>
            <w:tcMar>
              <w:top w:w="60" w:type="dxa"/>
              <w:left w:w="100" w:type="dxa"/>
              <w:bottom w:w="60" w:type="dxa"/>
              <w:right w:w="100" w:type="dxa"/>
            </w:tcMar>
          </w:tcPr>
          <w:p>
            <w:r>
              <w:t>0.145</w:t>
            </w:r>
          </w:p>
        </w:tc>
        <w:tc>
          <w:tcPr>
            <w:tcMar>
              <w:top w:w="60" w:type="dxa"/>
              <w:left w:w="100" w:type="dxa"/>
              <w:bottom w:w="60" w:type="dxa"/>
              <w:right w:w="100" w:type="dxa"/>
            </w:tcMar>
          </w:tcPr>
          <w:p>
            <w:r>
              <w:t>0.155</w:t>
            </w:r>
          </w:p>
        </w:tc>
        <w:tc>
          <w:tcPr>
            <w:tcMar>
              <w:top w:w="60" w:type="dxa"/>
              <w:left w:w="100" w:type="dxa"/>
              <w:bottom w:w="60" w:type="dxa"/>
              <w:right w:w="100" w:type="dxa"/>
            </w:tcMar>
          </w:tcPr>
          <w:p>
            <w:r>
              <w:t>0.169</w:t>
            </w:r>
          </w:p>
        </w:tc>
        <w:tc>
          <w:tcPr>
            <w:tcMar>
              <w:top w:w="60" w:type="dxa"/>
              <w:left w:w="100" w:type="dxa"/>
              <w:bottom w:w="60" w:type="dxa"/>
              <w:right w:w="100" w:type="dxa"/>
            </w:tcMar>
          </w:tcPr>
          <w:p>
            <w:r>
              <w:t>+34 %</w:t>
            </w:r>
          </w:p>
        </w:tc>
      </w:tr>
      <w:tr w:rsidR="0015244F">
        <w:tblPrEx>
          <w:tblCellMar>
            <w:top w:w="0" w:type="dxa"/>
            <w:bottom w:w="0" w:type="dxa"/>
          </w:tblCellMar>
        </w:tblPrEx>
        <w:trPr>
          <w:tblHeader/>
        </w:trPr>
        <w:tc>
          <w:tcPr>
            <w:tcMar>
              <w:top w:w="60" w:type="dxa"/>
              <w:left w:w="100" w:type="dxa"/>
              <w:bottom w:w="60" w:type="dxa"/>
              <w:right w:w="100" w:type="dxa"/>
            </w:tcMar>
          </w:tcPr>
          <w:p>
            <w:r>
              <w:t>gru</w:t>
            </w:r>
          </w:p>
        </w:tc>
        <w:tc>
          <w:tcPr>
            <w:tcMar>
              <w:top w:w="60" w:type="dxa"/>
              <w:left w:w="100" w:type="dxa"/>
              <w:bottom w:w="60" w:type="dxa"/>
              <w:right w:w="100" w:type="dxa"/>
            </w:tcMar>
          </w:tcPr>
          <w:p>
            <w:r>
              <w:t>0.125</w:t>
            </w:r>
          </w:p>
        </w:tc>
        <w:tc>
          <w:tcPr>
            <w:tcMar>
              <w:top w:w="60" w:type="dxa"/>
              <w:left w:w="100" w:type="dxa"/>
              <w:bottom w:w="60" w:type="dxa"/>
              <w:right w:w="100" w:type="dxa"/>
            </w:tcMar>
          </w:tcPr>
          <w:p>
            <w:r>
              <w:t>0.111</w:t>
            </w:r>
          </w:p>
        </w:tc>
        <w:tc>
          <w:tcPr>
            <w:tcMar>
              <w:top w:w="60" w:type="dxa"/>
              <w:left w:w="100" w:type="dxa"/>
              <w:bottom w:w="60" w:type="dxa"/>
              <w:right w:w="100" w:type="dxa"/>
            </w:tcMar>
          </w:tcPr>
          <w:p>
            <w:r>
              <w:t>0.126</w:t>
            </w:r>
          </w:p>
        </w:tc>
        <w:tc>
          <w:tcPr>
            <w:tcMar>
              <w:top w:w="60" w:type="dxa"/>
              <w:left w:w="100" w:type="dxa"/>
              <w:bottom w:w="60" w:type="dxa"/>
              <w:right w:w="100" w:type="dxa"/>
            </w:tcMar>
          </w:tcPr>
          <w:p>
            <w:r>
              <w:t>0.150</w:t>
            </w:r>
          </w:p>
        </w:tc>
        <w:tc>
          <w:tcPr>
            <w:tcMar>
              <w:top w:w="60" w:type="dxa"/>
              <w:left w:w="100" w:type="dxa"/>
              <w:bottom w:w="60" w:type="dxa"/>
              <w:right w:w="100" w:type="dxa"/>
            </w:tcMar>
          </w:tcPr>
          <w:p>
            <w:r>
              <w:t>+19 %</w:t>
            </w:r>
          </w:p>
        </w:tc>
      </w:tr>
      <w:tr w:rsidR="0015244F">
        <w:tblPrEx>
          <w:tblCellMar>
            <w:top w:w="0" w:type="dxa"/>
            <w:bottom w:w="0" w:type="dxa"/>
          </w:tblCellMar>
        </w:tblPrEx>
        <w:trPr>
          <w:tblHeader/>
        </w:trPr>
        <w:tc>
          <w:tcPr>
            <w:tcMar>
              <w:top w:w="60" w:type="dxa"/>
              <w:left w:w="100" w:type="dxa"/>
              <w:bottom w:w="60" w:type="dxa"/>
              <w:right w:w="100" w:type="dxa"/>
            </w:tcMar>
          </w:tcPr>
          <w:p>
            <w:r>
              <w:t>a3</w:t>
            </w:r>
          </w:p>
        </w:tc>
        <w:tc>
          <w:tcPr>
            <w:tcMar>
              <w:top w:w="60" w:type="dxa"/>
              <w:left w:w="100" w:type="dxa"/>
              <w:bottom w:w="60" w:type="dxa"/>
              <w:right w:w="100" w:type="dxa"/>
            </w:tcMar>
          </w:tcPr>
          <w:p>
            <w:r>
              <w:t>0.116</w:t>
            </w:r>
          </w:p>
        </w:tc>
        <w:tc>
          <w:tcPr>
            <w:tcMar>
              <w:top w:w="60" w:type="dxa"/>
              <w:left w:w="100" w:type="dxa"/>
              <w:bottom w:w="60" w:type="dxa"/>
              <w:right w:w="100" w:type="dxa"/>
            </w:tcMar>
          </w:tcPr>
          <w:p>
            <w:r>
              <w:t>0.116</w:t>
            </w:r>
          </w:p>
        </w:tc>
        <w:tc>
          <w:tcPr>
            <w:tcMar>
              <w:top w:w="60" w:type="dxa"/>
              <w:left w:w="100" w:type="dxa"/>
              <w:bottom w:w="60" w:type="dxa"/>
              <w:right w:w="100" w:type="dxa"/>
            </w:tcMar>
          </w:tcPr>
          <w:p>
            <w:r>
              <w:t>0.116</w:t>
            </w:r>
          </w:p>
        </w:tc>
        <w:tc>
          <w:tcPr>
            <w:tcMar>
              <w:top w:w="60" w:type="dxa"/>
              <w:left w:w="100" w:type="dxa"/>
              <w:bottom w:w="60" w:type="dxa"/>
              <w:right w:w="100" w:type="dxa"/>
            </w:tcMar>
          </w:tcPr>
          <w:p>
            <w:r>
              <w:t>0.116</w:t>
            </w:r>
          </w:p>
        </w:tc>
        <w:tc>
          <w:tcPr>
            <w:tcMar>
              <w:top w:w="60" w:type="dxa"/>
              <w:left w:w="100" w:type="dxa"/>
              <w:bottom w:w="60" w:type="dxa"/>
              <w:right w:w="100" w:type="dxa"/>
            </w:tcMar>
          </w:tcPr>
          <w:p>
            <w:r>
              <w:t>+0 %</w:t>
            </w:r>
          </w:p>
        </w:tc>
      </w:tr>
    </w:tbl>
    <w:p w:rsidR="0015244F" w:rsidRDefault="0015244F">
      <w:pPr>
        <w:spacing w:after="120" w:line="240" w:lineRule="auto"/>
      </w:pPr>
    </w:p>
    <w:p w:rsidR="0015244F" w:rsidRDefault="00A565B8">
      <w:pPr>
        <w:keepNext/>
        <w:spacing w:before="240" w:after="120" w:line="240" w:lineRule="auto"/>
        <w:jc w:val="center"/>
      </w:pPr>
      <w:r>
        <w:rPr>
          <w:noProof/>
        </w:rPr>
        <w:drawing>
          <wp:inline distT="0" distB="0" distL="0" distR="0">
            <wp:extent cx="5762625" cy="26928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2692815"/>
                    </a:xfrm>
                    <a:prstGeom prst="rect">
                      <a:avLst/>
                    </a:prstGeom>
                  </pic:spPr>
                </pic:pic>
              </a:graphicData>
            </a:graphic>
          </wp:inline>
        </w:drawing>
      </w:r>
    </w:p>
    <w:p w:rsidR="0015244F" w:rsidRDefault="00A565B8">
      <w:pPr>
        <w:pStyle w:val="FigureCaption"/>
        <w:spacing w:after="240" w:line="240" w:lineRule="auto"/>
        <w:jc w:val="center"/>
      </w:pPr>
      <w:r>
        <w:t>Three readings follow. Random-row splitting inflates the one-second AUPRC of the primary model by 48 % over leave-one-campaign-out, and of the recurrent arm by 19 %. Splitting by random 180-second blocks — grouped splitting, and the protocol this work used before the audit — still inflates it by 13 %, because blocks of one continuous session are not independent of one another. Blocking contiguously in time with a 60-second purge removes most of that: it sits within 4 % of the leave-one-campaign-out figure, which is what makes it a usable protocol when only one session is available.</w:t>
      </w:r>
    </w:p>
    <w:p w:rsidR="0015244F" w:rsidRDefault="00A565B8">
      <w:pPr>
        <w:ind w:firstLine="567"/>
        <w:jc w:val="both"/>
      </w:pPr>
      <w:r>
        <w:t>The mechanism is straightforward once stated. Two samples one second apart on the same drive are near-duplicates. Two 180-second blocks of the same session are not duplicates, but they share cells, traffic and trajectory, so a model can recognise the session rather than the situation. The deployed A3 rule, which has no parameters to over-fit with, moves by +0 % across the whole ladder and is the control that shows the effect is over-fitting rather than a difference in test-set difficulty.</w:t>
      </w:r>
      <w:r/>
      <w:r/>
      <w:proofErr w:type="spellStart"/>
      <w:r/>
      <w:proofErr w:type="spellEnd"/>
      <w:r/>
      <w:r/>
      <w:proofErr w:type="spellStart"/>
      <w:r/>
      <w:proofErr w:type="spellEnd"/>
      <w:r/>
      <w:r/>
    </w:p>
    <w:p w:rsidR="0015244F" w:rsidRDefault="00A565B8">
      <w:pPr>
        <w:ind w:firstLine="567"/>
        <w:jc w:val="both"/>
      </w:pPr>
      <w:r>
        <w:t>Because the inflation is architecture-dependent, it reorders the ranking rather than raising it uniformly. Under leave-one-campaign-out the leading learner at one second is logistic regression; under random-row splitting it is LightGBM, whose inflation is 48 % against 7 % for the former. A study using the standard protocol of the comparator literature would therefore report a different winner on the same data. This is the answer to objective O2, and it is why the protocol is presented as a contribution rather than as housekeeping.</w:t>
      </w:r>
      <w:r>
        <w:rPr>
          <w:b/>
          <w:bCs/>
        </w:rPr>
      </w:r>
      <w:r/>
      <w:r/>
      <w:r/>
    </w:p>
    <w:p w:rsidR="0015244F" w:rsidRDefault="00A565B8">
      <w:pPr>
        <w:pStyle w:val="Heading2"/>
        <w:spacing w:before="360" w:after="140"/>
      </w:pPr>
      <w:r>
        <w:t>5.4 Coherence and calibration</w:t>
      </w:r>
    </w:p>
    <w:p w:rsidR="0015244F" w:rsidRDefault="00A565B8">
      <w:pPr>
        <w:ind w:firstLine="567"/>
        <w:jc w:val="both"/>
      </w:pPr>
      <w:r>
        <w:t>Table 5.6 reports the coherence and calibration behaviour of the hazard formulation against the independent-classifier control and the three post-hoc repairs of Section 4.2.</w:t>
      </w:r>
      <w:proofErr w:type="spellStart"/>
      <w:r/>
      <w:proofErr w:type="spellEnd"/>
      <w:r/>
      <w:r/>
    </w:p>
    <w:p w:rsidR="0015244F" w:rsidRDefault="00A565B8">
      <w:pPr>
        <w:pStyle w:val="TableCaption"/>
        <w:spacing w:before="240" w:after="120" w:line="240" w:lineRule="auto"/>
        <w:jc w:val="center"/>
      </w:pPr>
      <w:r>
        <w:t>Table 5.6 Horizon coherence and calibration for the hazard formulation and its four controls. ARM C (coherence): fixed hyper-parameters, with an extra calibration block held out of every fold so the isotonic arms can be fitted; its AUPRC levels are therefore not comparable with arm A either, and only the comparison between arms within this table is meaningful. Violation rates are given for a single fitted system, which is what a deployment meets, and for the three-seed ensemble beside it; averaging predictions over seeds lowers the rate without removing its cause. Every violation figure quoted in the text is the single-fit rate.</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Arm</w:t>
            </w:r>
          </w:p>
        </w:tc>
        <w:tc>
          <w:tcPr>
            <w:tcMar>
              <w:top w:w="60" w:type="dxa"/>
              <w:left w:w="100" w:type="dxa"/>
              <w:bottom w:w="60" w:type="dxa"/>
              <w:right w:w="100" w:type="dxa"/>
            </w:tcMar>
          </w:tcPr>
          <w:p>
            <w:r>
              <w:t>Rows violating ordering (one fit)</w:t>
            </w:r>
          </w:p>
        </w:tc>
        <w:tc>
          <w:tcPr>
            <w:tcMar>
              <w:top w:w="60" w:type="dxa"/>
              <w:left w:w="100" w:type="dxa"/>
              <w:bottom w:w="60" w:type="dxa"/>
              <w:right w:w="100" w:type="dxa"/>
            </w:tcMar>
          </w:tcPr>
          <w:p>
            <w:r>
              <w:t>Rows violating (3-seed ensemble)</w:t>
            </w:r>
          </w:p>
        </w:tc>
        <w:tc>
          <w:tcPr>
            <w:tcMar>
              <w:top w:w="60" w:type="dxa"/>
              <w:left w:w="100" w:type="dxa"/>
              <w:bottom w:w="60" w:type="dxa"/>
              <w:right w:w="100" w:type="dxa"/>
            </w:tcMar>
          </w:tcPr>
          <w:p>
            <w:r>
              <w:t>Mean violation</w:t>
            </w:r>
          </w:p>
        </w:tc>
        <w:tc>
          <w:tcPr>
            <w:tcMar>
              <w:top w:w="60" w:type="dxa"/>
              <w:left w:w="100" w:type="dxa"/>
              <w:bottom w:w="60" w:type="dxa"/>
              <w:right w:w="100" w:type="dxa"/>
            </w:tcMar>
          </w:tcPr>
          <w:p>
            <w:r>
              <w:t>Largest violation</w:t>
            </w:r>
          </w:p>
        </w:tc>
        <w:tc>
          <w:tcPr>
            <w:tcMar>
              <w:top w:w="60" w:type="dxa"/>
              <w:left w:w="100" w:type="dxa"/>
              <w:bottom w:w="60" w:type="dxa"/>
              <w:right w:w="100" w:type="dxa"/>
            </w:tcMar>
          </w:tcPr>
          <w:p>
            <w:r>
              <w:t>ECE 1 s</w:t>
            </w:r>
          </w:p>
        </w:tc>
        <w:tc>
          <w:tcPr>
            <w:tcMar>
              <w:top w:w="60" w:type="dxa"/>
              <w:left w:w="100" w:type="dxa"/>
              <w:bottom w:w="60" w:type="dxa"/>
              <w:right w:w="100" w:type="dxa"/>
            </w:tcMar>
          </w:tcPr>
          <w:p>
            <w:r>
              <w:t>ECE 5 s</w:t>
            </w:r>
          </w:p>
        </w:tc>
        <w:tc>
          <w:tcPr>
            <w:tcMar>
              <w:top w:w="60" w:type="dxa"/>
              <w:left w:w="100" w:type="dxa"/>
              <w:bottom w:w="60" w:type="dxa"/>
              <w:right w:w="100" w:type="dxa"/>
            </w:tcMar>
          </w:tcPr>
          <w:p>
            <w:r>
              <w:t>AUPRC 1 s</w:t>
            </w:r>
          </w:p>
        </w:tc>
        <w:tc>
          <w:tcPr>
            <w:tcMar>
              <w:top w:w="60" w:type="dxa"/>
              <w:left w:w="100" w:type="dxa"/>
              <w:bottom w:w="60" w:type="dxa"/>
              <w:right w:w="100" w:type="dxa"/>
            </w:tcMar>
          </w:tcPr>
          <w:p>
            <w:r>
              <w:t>Needs a held-out split</w:t>
            </w:r>
          </w:p>
        </w:tc>
      </w:tr>
      <w:tr w:rsidR="0015244F">
        <w:tblPrEx>
          <w:tblCellMar>
            <w:top w:w="0" w:type="dxa"/>
            <w:bottom w:w="0" w:type="dxa"/>
          </w:tblCellMar>
        </w:tblPrEx>
        <w:trPr>
          <w:tblHeader/>
        </w:trPr>
        <w:tc>
          <w:tcPr>
            <w:tcMar>
              <w:top w:w="60" w:type="dxa"/>
              <w:left w:w="100" w:type="dxa"/>
              <w:bottom w:w="60" w:type="dxa"/>
              <w:right w:w="100" w:type="dxa"/>
            </w:tcMar>
          </w:tcPr>
          <w:p>
            <w:r>
              <w:t>independent</w:t>
            </w:r>
          </w:p>
        </w:tc>
        <w:tc>
          <w:tcPr>
            <w:tcMar>
              <w:top w:w="60" w:type="dxa"/>
              <w:left w:w="100" w:type="dxa"/>
              <w:bottom w:w="60" w:type="dxa"/>
              <w:right w:w="100" w:type="dxa"/>
            </w:tcMar>
          </w:tcPr>
          <w:p>
            <w:r>
              <w:t>40.2 %</w:t>
            </w:r>
          </w:p>
        </w:tc>
        <w:tc>
          <w:tcPr>
            <w:tcMar>
              <w:top w:w="60" w:type="dxa"/>
              <w:left w:w="100" w:type="dxa"/>
              <w:bottom w:w="60" w:type="dxa"/>
              <w:right w:w="100" w:type="dxa"/>
            </w:tcMar>
          </w:tcPr>
          <w:p>
            <w:r>
              <w:t>29.0 %</w:t>
            </w:r>
          </w:p>
        </w:tc>
        <w:tc>
          <w:tcPr>
            <w:tcMar>
              <w:top w:w="60" w:type="dxa"/>
              <w:left w:w="100" w:type="dxa"/>
              <w:bottom w:w="60" w:type="dxa"/>
              <w:right w:w="100" w:type="dxa"/>
            </w:tcMar>
          </w:tcPr>
          <w:p>
            <w:r>
              <w:t>0.025</w:t>
            </w:r>
          </w:p>
        </w:tc>
        <w:tc>
          <w:tcPr>
            <w:tcMar>
              <w:top w:w="60" w:type="dxa"/>
              <w:left w:w="100" w:type="dxa"/>
              <w:bottom w:w="60" w:type="dxa"/>
              <w:right w:w="100" w:type="dxa"/>
            </w:tcMar>
          </w:tcPr>
          <w:p>
            <w:r>
              <w:t>0.521</w:t>
            </w:r>
          </w:p>
        </w:tc>
        <w:tc>
          <w:tcPr>
            <w:tcMar>
              <w:top w:w="60" w:type="dxa"/>
              <w:left w:w="100" w:type="dxa"/>
              <w:bottom w:w="60" w:type="dxa"/>
              <w:right w:w="100" w:type="dxa"/>
            </w:tcMar>
          </w:tcPr>
          <w:p>
            <w:r>
              <w:t>0.047</w:t>
            </w:r>
          </w:p>
        </w:tc>
        <w:tc>
          <w:tcPr>
            <w:tcMar>
              <w:top w:w="60" w:type="dxa"/>
              <w:left w:w="100" w:type="dxa"/>
              <w:bottom w:w="60" w:type="dxa"/>
              <w:right w:w="100" w:type="dxa"/>
            </w:tcMar>
          </w:tcPr>
          <w:p>
            <w:r>
              <w:t>0.135</w:t>
            </w:r>
          </w:p>
        </w:tc>
        <w:tc>
          <w:tcPr>
            <w:tcMar>
              <w:top w:w="60" w:type="dxa"/>
              <w:left w:w="100" w:type="dxa"/>
              <w:bottom w:w="60" w:type="dxa"/>
              <w:right w:w="100" w:type="dxa"/>
            </w:tcMar>
          </w:tcPr>
          <w:p>
            <w:r>
              <w:t>0.158</w:t>
            </w:r>
          </w:p>
        </w:tc>
        <w:tc>
          <w:tcPr>
            <w:tcMar>
              <w:top w:w="60" w:type="dxa"/>
              <w:left w:w="100" w:type="dxa"/>
              <w:bottom w:w="60" w:type="dxa"/>
              <w:right w:w="100" w:type="dxa"/>
            </w:tcMar>
          </w:tcPr>
          <w:p>
            <w:r>
              <w:t>no</w:t>
            </w:r>
          </w:p>
        </w:tc>
      </w:tr>
      <w:tr w:rsidR="0015244F">
        <w:tblPrEx>
          <w:tblCellMar>
            <w:top w:w="0" w:type="dxa"/>
            <w:bottom w:w="0" w:type="dxa"/>
          </w:tblCellMar>
        </w:tblPrEx>
        <w:trPr>
          <w:tblHeader/>
        </w:trPr>
        <w:tc>
          <w:tcPr>
            <w:tcMar>
              <w:top w:w="60" w:type="dxa"/>
              <w:left w:w="100" w:type="dxa"/>
              <w:bottom w:w="60" w:type="dxa"/>
              <w:right w:w="100" w:type="dxa"/>
            </w:tcMar>
          </w:tcPr>
          <w:p>
            <w:r>
              <w:t>independent + cumulative max</w:t>
            </w:r>
          </w:p>
        </w:tc>
        <w:tc>
          <w:tcPr>
            <w:tcMar>
              <w:top w:w="60" w:type="dxa"/>
              <w:left w:w="100" w:type="dxa"/>
              <w:bottom w:w="60" w:type="dxa"/>
              <w:right w:w="100" w:type="dxa"/>
            </w:tcMar>
          </w:tcPr>
          <w:p>
            <w:r>
              <w:t>0.0 %</w:t>
            </w:r>
          </w:p>
        </w:tc>
        <w:tc>
          <w:tcPr>
            <w:tcMar>
              <w:top w:w="60" w:type="dxa"/>
              <w:left w:w="100" w:type="dxa"/>
              <w:bottom w:w="60" w:type="dxa"/>
              <w:right w:w="100" w:type="dxa"/>
            </w:tcMar>
          </w:tcPr>
          <w:p>
            <w:r>
              <w:t>0.0 %</w:t>
            </w:r>
          </w:p>
        </w:tc>
        <w:tc>
          <w:tcPr>
            <w:tcMar>
              <w:top w:w="60" w:type="dxa"/>
              <w:left w:w="100" w:type="dxa"/>
              <w:bottom w:w="60" w:type="dxa"/>
              <w:right w:w="100" w:type="dxa"/>
            </w:tcMar>
          </w:tcPr>
          <w:p>
            <w:r>
              <w:t>0.000</w:t>
            </w:r>
          </w:p>
        </w:tc>
        <w:tc>
          <w:tcPr>
            <w:tcMar>
              <w:top w:w="60" w:type="dxa"/>
              <w:left w:w="100" w:type="dxa"/>
              <w:bottom w:w="60" w:type="dxa"/>
              <w:right w:w="100" w:type="dxa"/>
            </w:tcMar>
          </w:tcPr>
          <w:p>
            <w:r>
              <w:t>0.000</w:t>
            </w:r>
          </w:p>
        </w:tc>
        <w:tc>
          <w:tcPr>
            <w:tcMar>
              <w:top w:w="60" w:type="dxa"/>
              <w:left w:w="100" w:type="dxa"/>
              <w:bottom w:w="60" w:type="dxa"/>
              <w:right w:w="100" w:type="dxa"/>
            </w:tcMar>
          </w:tcPr>
          <w:p>
            <w:r>
              <w:t>0.047</w:t>
            </w:r>
          </w:p>
        </w:tc>
        <w:tc>
          <w:tcPr>
            <w:tcMar>
              <w:top w:w="60" w:type="dxa"/>
              <w:left w:w="100" w:type="dxa"/>
              <w:bottom w:w="60" w:type="dxa"/>
              <w:right w:w="100" w:type="dxa"/>
            </w:tcMar>
          </w:tcPr>
          <w:p>
            <w:r>
              <w:t>0.135</w:t>
            </w:r>
          </w:p>
        </w:tc>
        <w:tc>
          <w:tcPr>
            <w:tcMar>
              <w:top w:w="60" w:type="dxa"/>
              <w:left w:w="100" w:type="dxa"/>
              <w:bottom w:w="60" w:type="dxa"/>
              <w:right w:w="100" w:type="dxa"/>
            </w:tcMar>
          </w:tcPr>
          <w:p>
            <w:r>
              <w:t>0.157</w:t>
            </w:r>
          </w:p>
        </w:tc>
        <w:tc>
          <w:tcPr>
            <w:tcMar>
              <w:top w:w="60" w:type="dxa"/>
              <w:left w:w="100" w:type="dxa"/>
              <w:bottom w:w="60" w:type="dxa"/>
              <w:right w:w="100" w:type="dxa"/>
            </w:tcMar>
          </w:tcPr>
          <w:p>
            <w:r>
              <w:t>no</w:t>
            </w:r>
          </w:p>
        </w:tc>
      </w:tr>
      <w:tr w:rsidR="0015244F">
        <w:tblPrEx>
          <w:tblCellMar>
            <w:top w:w="0" w:type="dxa"/>
            <w:bottom w:w="0" w:type="dxa"/>
          </w:tblCellMar>
        </w:tblPrEx>
        <w:trPr>
          <w:tblHeader/>
        </w:trPr>
        <w:tc>
          <w:tcPr>
            <w:tcMar>
              <w:top w:w="60" w:type="dxa"/>
              <w:left w:w="100" w:type="dxa"/>
              <w:bottom w:w="60" w:type="dxa"/>
              <w:right w:w="100" w:type="dxa"/>
            </w:tcMar>
          </w:tcPr>
          <w:p>
            <w:r>
              <w:t>independent + PAV</w:t>
            </w:r>
          </w:p>
        </w:tc>
        <w:tc>
          <w:tcPr>
            <w:tcMar>
              <w:top w:w="60" w:type="dxa"/>
              <w:left w:w="100" w:type="dxa"/>
              <w:bottom w:w="60" w:type="dxa"/>
              <w:right w:w="100" w:type="dxa"/>
            </w:tcMar>
          </w:tcPr>
          <w:p>
            <w:r>
              <w:t>0.0 %</w:t>
            </w:r>
          </w:p>
        </w:tc>
        <w:tc>
          <w:tcPr>
            <w:tcMar>
              <w:top w:w="60" w:type="dxa"/>
              <w:left w:w="100" w:type="dxa"/>
              <w:bottom w:w="60" w:type="dxa"/>
              <w:right w:w="100" w:type="dxa"/>
            </w:tcMar>
          </w:tcPr>
          <w:p>
            <w:r>
              <w:t>0.0 %</w:t>
            </w:r>
          </w:p>
        </w:tc>
        <w:tc>
          <w:tcPr>
            <w:tcMar>
              <w:top w:w="60" w:type="dxa"/>
              <w:left w:w="100" w:type="dxa"/>
              <w:bottom w:w="60" w:type="dxa"/>
              <w:right w:w="100" w:type="dxa"/>
            </w:tcMar>
          </w:tcPr>
          <w:p>
            <w:r>
              <w:t>0.000</w:t>
            </w:r>
          </w:p>
        </w:tc>
        <w:tc>
          <w:tcPr>
            <w:tcMar>
              <w:top w:w="60" w:type="dxa"/>
              <w:left w:w="100" w:type="dxa"/>
              <w:bottom w:w="60" w:type="dxa"/>
              <w:right w:w="100" w:type="dxa"/>
            </w:tcMar>
          </w:tcPr>
          <w:p>
            <w:r>
              <w:t>0.000</w:t>
            </w:r>
          </w:p>
        </w:tc>
        <w:tc>
          <w:tcPr>
            <w:tcMar>
              <w:top w:w="60" w:type="dxa"/>
              <w:left w:w="100" w:type="dxa"/>
              <w:bottom w:w="60" w:type="dxa"/>
              <w:right w:w="100" w:type="dxa"/>
            </w:tcMar>
          </w:tcPr>
          <w:p>
            <w:r>
              <w:t>0.047</w:t>
            </w:r>
          </w:p>
        </w:tc>
        <w:tc>
          <w:tcPr>
            <w:tcMar>
              <w:top w:w="60" w:type="dxa"/>
              <w:left w:w="100" w:type="dxa"/>
              <w:bottom w:w="60" w:type="dxa"/>
              <w:right w:w="100" w:type="dxa"/>
            </w:tcMar>
          </w:tcPr>
          <w:p>
            <w:r>
              <w:t>0.134</w:t>
            </w:r>
          </w:p>
        </w:tc>
        <w:tc>
          <w:tcPr>
            <w:tcMar>
              <w:top w:w="60" w:type="dxa"/>
              <w:left w:w="100" w:type="dxa"/>
              <w:bottom w:w="60" w:type="dxa"/>
              <w:right w:w="100" w:type="dxa"/>
            </w:tcMar>
          </w:tcPr>
          <w:p>
            <w:r>
              <w:t>0.158</w:t>
            </w:r>
          </w:p>
        </w:tc>
        <w:tc>
          <w:tcPr>
            <w:tcMar>
              <w:top w:w="60" w:type="dxa"/>
              <w:left w:w="100" w:type="dxa"/>
              <w:bottom w:w="60" w:type="dxa"/>
              <w:right w:w="100" w:type="dxa"/>
            </w:tcMar>
          </w:tcPr>
          <w:p>
            <w:r>
              <w:t>no</w:t>
            </w:r>
          </w:p>
        </w:tc>
      </w:tr>
      <w:tr w:rsidR="0015244F">
        <w:tblPrEx>
          <w:tblCellMar>
            <w:top w:w="0" w:type="dxa"/>
            <w:bottom w:w="0" w:type="dxa"/>
          </w:tblCellMar>
        </w:tblPrEx>
        <w:trPr>
          <w:tblHeader/>
        </w:trPr>
        <w:tc>
          <w:tcPr>
            <w:tcMar>
              <w:top w:w="60" w:type="dxa"/>
              <w:left w:w="100" w:type="dxa"/>
              <w:bottom w:w="60" w:type="dxa"/>
              <w:right w:w="100" w:type="dxa"/>
            </w:tcMar>
          </w:tcPr>
          <w:p>
            <w:r>
              <w:t>independent + isotonic</w:t>
            </w:r>
          </w:p>
        </w:tc>
        <w:tc>
          <w:tcPr>
            <w:tcMar>
              <w:top w:w="60" w:type="dxa"/>
              <w:left w:w="100" w:type="dxa"/>
              <w:bottom w:w="60" w:type="dxa"/>
              <w:right w:w="100" w:type="dxa"/>
            </w:tcMar>
          </w:tcPr>
          <w:p>
            <w:r>
              <w:t>45.9 %</w:t>
            </w:r>
          </w:p>
        </w:tc>
        <w:tc>
          <w:tcPr>
            <w:tcMar>
              <w:top w:w="60" w:type="dxa"/>
              <w:left w:w="100" w:type="dxa"/>
              <w:bottom w:w="60" w:type="dxa"/>
              <w:right w:w="100" w:type="dxa"/>
            </w:tcMar>
          </w:tcPr>
          <w:p>
            <w:r>
              <w:t>33.4 %</w:t>
            </w:r>
          </w:p>
        </w:tc>
        <w:tc>
          <w:tcPr>
            <w:tcMar>
              <w:top w:w="60" w:type="dxa"/>
              <w:left w:w="100" w:type="dxa"/>
              <w:bottom w:w="60" w:type="dxa"/>
              <w:right w:w="100" w:type="dxa"/>
            </w:tcMar>
          </w:tcPr>
          <w:p>
            <w:r>
              <w:t>0.033</w:t>
            </w:r>
          </w:p>
        </w:tc>
        <w:tc>
          <w:tcPr>
            <w:tcMar>
              <w:top w:w="60" w:type="dxa"/>
              <w:left w:w="100" w:type="dxa"/>
              <w:bottom w:w="60" w:type="dxa"/>
              <w:right w:w="100" w:type="dxa"/>
            </w:tcMar>
          </w:tcPr>
          <w:p>
            <w:r>
              <w:t>0.645</w:t>
            </w:r>
          </w:p>
        </w:tc>
        <w:tc>
          <w:tcPr>
            <w:tcMar>
              <w:top w:w="60" w:type="dxa"/>
              <w:left w:w="100" w:type="dxa"/>
              <w:bottom w:w="60" w:type="dxa"/>
              <w:right w:w="100" w:type="dxa"/>
            </w:tcMar>
          </w:tcPr>
          <w:p>
            <w:r>
              <w:t>0.016</w:t>
            </w:r>
          </w:p>
        </w:tc>
        <w:tc>
          <w:tcPr>
            <w:tcMar>
              <w:top w:w="60" w:type="dxa"/>
              <w:left w:w="100" w:type="dxa"/>
              <w:bottom w:w="60" w:type="dxa"/>
              <w:right w:w="100" w:type="dxa"/>
            </w:tcMar>
          </w:tcPr>
          <w:p>
            <w:r>
              <w:t>0.069</w:t>
            </w:r>
          </w:p>
        </w:tc>
        <w:tc>
          <w:tcPr>
            <w:tcMar>
              <w:top w:w="60" w:type="dxa"/>
              <w:left w:w="100" w:type="dxa"/>
              <w:bottom w:w="60" w:type="dxa"/>
              <w:right w:w="100" w:type="dxa"/>
            </w:tcMar>
          </w:tcPr>
          <w:p>
            <w:r>
              <w:t>0.158</w:t>
            </w:r>
          </w:p>
        </w:tc>
        <w:tc>
          <w:tcPr>
            <w:tcMar>
              <w:top w:w="60" w:type="dxa"/>
              <w:left w:w="100" w:type="dxa"/>
              <w:bottom w:w="60" w:type="dxa"/>
              <w:right w:w="100" w:type="dxa"/>
            </w:tcMar>
          </w:tcPr>
          <w:p>
            <w:r>
              <w:t>yes</w:t>
            </w:r>
          </w:p>
        </w:tc>
      </w:tr>
      <w:tr w:rsidR="0015244F">
        <w:tblPrEx>
          <w:tblCellMar>
            <w:top w:w="0" w:type="dxa"/>
            <w:bottom w:w="0" w:type="dxa"/>
          </w:tblCellMar>
        </w:tblPrEx>
        <w:trPr>
          <w:tblHeader/>
        </w:trPr>
        <w:tc>
          <w:tcPr>
            <w:tcMar>
              <w:top w:w="60" w:type="dxa"/>
              <w:left w:w="100" w:type="dxa"/>
              <w:bottom w:w="60" w:type="dxa"/>
              <w:right w:w="100" w:type="dxa"/>
            </w:tcMar>
          </w:tcPr>
          <w:p>
            <w:r>
              <w:t>independent + isotonic + PAV</w:t>
            </w:r>
          </w:p>
        </w:tc>
        <w:tc>
          <w:tcPr>
            <w:tcMar>
              <w:top w:w="60" w:type="dxa"/>
              <w:left w:w="100" w:type="dxa"/>
              <w:bottom w:w="60" w:type="dxa"/>
              <w:right w:w="100" w:type="dxa"/>
            </w:tcMar>
          </w:tcPr>
          <w:p>
            <w:r>
              <w:t>0.0 %</w:t>
            </w:r>
          </w:p>
        </w:tc>
        <w:tc>
          <w:tcPr>
            <w:tcMar>
              <w:top w:w="60" w:type="dxa"/>
              <w:left w:w="100" w:type="dxa"/>
              <w:bottom w:w="60" w:type="dxa"/>
              <w:right w:w="100" w:type="dxa"/>
            </w:tcMar>
          </w:tcPr>
          <w:p>
            <w:r>
              <w:t>0.0 %</w:t>
            </w:r>
          </w:p>
        </w:tc>
        <w:tc>
          <w:tcPr>
            <w:tcMar>
              <w:top w:w="60" w:type="dxa"/>
              <w:left w:w="100" w:type="dxa"/>
              <w:bottom w:w="60" w:type="dxa"/>
              <w:right w:w="100" w:type="dxa"/>
            </w:tcMar>
          </w:tcPr>
          <w:p>
            <w:r>
              <w:t>0.000</w:t>
            </w:r>
          </w:p>
        </w:tc>
        <w:tc>
          <w:tcPr>
            <w:tcMar>
              <w:top w:w="60" w:type="dxa"/>
              <w:left w:w="100" w:type="dxa"/>
              <w:bottom w:w="60" w:type="dxa"/>
              <w:right w:w="100" w:type="dxa"/>
            </w:tcMar>
          </w:tcPr>
          <w:p>
            <w:r>
              <w:t>0.000</w:t>
            </w:r>
          </w:p>
        </w:tc>
        <w:tc>
          <w:tcPr>
            <w:tcMar>
              <w:top w:w="60" w:type="dxa"/>
              <w:left w:w="100" w:type="dxa"/>
              <w:bottom w:w="60" w:type="dxa"/>
              <w:right w:w="100" w:type="dxa"/>
            </w:tcMar>
          </w:tcPr>
          <w:p>
            <w:r>
              <w:t>0.016</w:t>
            </w:r>
          </w:p>
        </w:tc>
        <w:tc>
          <w:tcPr>
            <w:tcMar>
              <w:top w:w="60" w:type="dxa"/>
              <w:left w:w="100" w:type="dxa"/>
              <w:bottom w:w="60" w:type="dxa"/>
              <w:right w:w="100" w:type="dxa"/>
            </w:tcMar>
          </w:tcPr>
          <w:p>
            <w:r>
              <w:t>0.071</w:t>
            </w:r>
          </w:p>
        </w:tc>
        <w:tc>
          <w:tcPr>
            <w:tcMar>
              <w:top w:w="60" w:type="dxa"/>
              <w:left w:w="100" w:type="dxa"/>
              <w:bottom w:w="60" w:type="dxa"/>
              <w:right w:w="100" w:type="dxa"/>
            </w:tcMar>
          </w:tcPr>
          <w:p>
            <w:r>
              <w:t>0.158</w:t>
            </w:r>
          </w:p>
        </w:tc>
        <w:tc>
          <w:tcPr>
            <w:tcMar>
              <w:top w:w="60" w:type="dxa"/>
              <w:left w:w="100" w:type="dxa"/>
              <w:bottom w:w="60" w:type="dxa"/>
              <w:right w:w="100" w:type="dxa"/>
            </w:tcMar>
          </w:tcPr>
          <w:p>
            <w:r>
              <w:t>yes</w:t>
            </w:r>
          </w:p>
        </w:tc>
      </w:tr>
      <w:tr w:rsidR="0015244F">
        <w:tblPrEx>
          <w:tblCellMar>
            <w:top w:w="0" w:type="dxa"/>
            <w:bottom w:w="0" w:type="dxa"/>
          </w:tblCellMar>
        </w:tblPrEx>
        <w:trPr>
          <w:tblHeader/>
        </w:trPr>
        <w:tc>
          <w:tcPr>
            <w:tcMar>
              <w:top w:w="60" w:type="dxa"/>
              <w:left w:w="100" w:type="dxa"/>
              <w:bottom w:w="60" w:type="dxa"/>
              <w:right w:w="100" w:type="dxa"/>
            </w:tcMar>
          </w:tcPr>
          <w:p>
            <w:r>
              <w:t>hazard</w:t>
            </w:r>
          </w:p>
        </w:tc>
        <w:tc>
          <w:tcPr>
            <w:tcMar>
              <w:top w:w="60" w:type="dxa"/>
              <w:left w:w="100" w:type="dxa"/>
              <w:bottom w:w="60" w:type="dxa"/>
              <w:right w:w="100" w:type="dxa"/>
            </w:tcMar>
          </w:tcPr>
          <w:p>
            <w:r>
              <w:t>0.0 %</w:t>
            </w:r>
          </w:p>
        </w:tc>
        <w:tc>
          <w:tcPr>
            <w:tcMar>
              <w:top w:w="60" w:type="dxa"/>
              <w:left w:w="100" w:type="dxa"/>
              <w:bottom w:w="60" w:type="dxa"/>
              <w:right w:w="100" w:type="dxa"/>
            </w:tcMar>
          </w:tcPr>
          <w:p>
            <w:r>
              <w:t>0.0 %</w:t>
            </w:r>
          </w:p>
        </w:tc>
        <w:tc>
          <w:tcPr>
            <w:tcMar>
              <w:top w:w="60" w:type="dxa"/>
              <w:left w:w="100" w:type="dxa"/>
              <w:bottom w:w="60" w:type="dxa"/>
              <w:right w:w="100" w:type="dxa"/>
            </w:tcMar>
          </w:tcPr>
          <w:p>
            <w:r>
              <w:t>0.000</w:t>
            </w:r>
          </w:p>
        </w:tc>
        <w:tc>
          <w:tcPr>
            <w:tcMar>
              <w:top w:w="60" w:type="dxa"/>
              <w:left w:w="100" w:type="dxa"/>
              <w:bottom w:w="60" w:type="dxa"/>
              <w:right w:w="100" w:type="dxa"/>
            </w:tcMar>
          </w:tcPr>
          <w:p>
            <w:r>
              <w:t>0.000</w:t>
            </w:r>
          </w:p>
        </w:tc>
        <w:tc>
          <w:tcPr>
            <w:tcMar>
              <w:top w:w="60" w:type="dxa"/>
              <w:left w:w="100" w:type="dxa"/>
              <w:bottom w:w="60" w:type="dxa"/>
              <w:right w:w="100" w:type="dxa"/>
            </w:tcMar>
          </w:tcPr>
          <w:p>
            <w:r>
              <w:t>0.036</w:t>
            </w:r>
          </w:p>
        </w:tc>
        <w:tc>
          <w:tcPr>
            <w:tcMar>
              <w:top w:w="60" w:type="dxa"/>
              <w:left w:w="100" w:type="dxa"/>
              <w:bottom w:w="60" w:type="dxa"/>
              <w:right w:w="100" w:type="dxa"/>
            </w:tcMar>
          </w:tcPr>
          <w:p>
            <w:r>
              <w:t>0.119</w:t>
            </w:r>
          </w:p>
        </w:tc>
        <w:tc>
          <w:tcPr>
            <w:tcMar>
              <w:top w:w="60" w:type="dxa"/>
              <w:left w:w="100" w:type="dxa"/>
              <w:bottom w:w="60" w:type="dxa"/>
              <w:right w:w="100" w:type="dxa"/>
            </w:tcMar>
          </w:tcPr>
          <w:p>
            <w:r>
              <w:t>0.157</w:t>
            </w:r>
          </w:p>
        </w:tc>
        <w:tc>
          <w:tcPr>
            <w:tcMar>
              <w:top w:w="60" w:type="dxa"/>
              <w:left w:w="100" w:type="dxa"/>
              <w:bottom w:w="60" w:type="dxa"/>
              <w:right w:w="100" w:type="dxa"/>
            </w:tcMar>
          </w:tcPr>
          <w:p>
            <w:r>
              <w:t>no</w:t>
            </w:r>
          </w:p>
        </w:tc>
      </w:tr>
    </w:tbl>
    <w:p w:rsidR="0015244F" w:rsidRDefault="0015244F">
      <w:pPr>
        <w:spacing w:after="120" w:line="240" w:lineRule="auto"/>
      </w:pPr>
    </w:p>
    <w:p w:rsidR="0015244F" w:rsidRDefault="00A565B8">
      <w:pPr>
        <w:ind w:firstLine="567"/>
        <w:jc w:val="both"/>
      </w:pPr>
      <w:r>
        <w:t>The hazard formulation produces no horizon-ordering violations, which follows from Equation (4.5). The independent-classifier arm violates ordering on 40.2% of rows, with a mean violation of 0.025 and a maximum of 0.521 where it occurs. Every violation figure in this thesis is the rate of a single fitted system, which is what a deployment would meet; Table 5.6 reports beside it the rate of the three-seed ensemble, which is lower (29.0% for the same arm) because averaging predictions smooths violations away rather than removing their cause.</w:t>
      </w:r>
      <w:r/>
    </w:p>
    <w:p w:rsidR="0015244F" w:rsidRDefault="00A565B8">
      <w:pPr>
        <w:ind w:firstLine="567"/>
        <w:jc w:val="both"/>
      </w:pPr>
      <w:r>
        <w:t>The honest comparison, however, is not against the raw control. A per-row cumulative maximum removes every violation at no cost, needs no held-out split, and is two lines of code; the pool-adjacent-violators projection does the same. Both are reported in Table 5.6, and an earlier draft of this work omitted them, which overstated the case for the formulation. Isotonic calibration per horizon is the most expressive control: on its own it makes coherence worse (violations rise from 40.2% to 45.9%, because the K isotonic maps are fitted independently and may reorder the horizons), but composed with the monotone projection it reaches zero violations and the lowest calibration error of any arm (0.016 at one second against 0.036 for the hazard model). That composite is therefore the arm to beat, and the hazard formulation does not beat it on calibration.</w:t>
      </w:r>
      <w:r/>
      <w:r>
        <w:rPr>
          <w:i/>
          <w:iCs/>
        </w:rPr>
      </w:r>
      <w:r/>
      <w:r/>
      <w:r>
        <w:rPr>
          <w:i/>
          <w:iCs/>
        </w:rPr>
      </w:r>
      <w:r/>
      <w:r/>
      <w:r/>
    </w:p>
    <w:p w:rsidR="0015244F" w:rsidRDefault="00A565B8">
      <w:pPr>
        <w:ind w:firstLine="567"/>
        <w:jc w:val="both"/>
      </w:pPr>
      <w:r>
        <w:t>What the hazard formulation retains after that correction is narrower and worth stating exactly. It is the only arm that reaches coherence and competitive calibration from a single fit with no held-out calibration split: 0.036 at one second against 0.047 for raw independent heads and 0.047 for the cumulative-maximum control, none of which consume data, while the isotonic arms spend a calibration block that a four-session dataset can ill afford. It also inherits the censoring treatment of Section 4.4 and estimates one model rather than five. On a larger dataset, isotonic calibration followed by a monotone projection would be the stronger choice, and this thesis says so.</w:t>
      </w:r>
      <w:r/>
      <w:r>
        <w:rPr>
          <w:i/>
          <w:iCs/>
        </w:rPr>
      </w:r>
      <w:r/>
      <w:r/>
      <w:r>
        <w:rPr>
          <w:i/>
          <w:iCs/>
        </w:rPr>
      </w:r>
      <w:r/>
      <w:r/>
      <w:r/>
    </w:p>
    <w:p w:rsidR="0015244F" w:rsidRDefault="00A565B8">
      <w:pPr>
        <w:ind w:firstLine="567"/>
        <w:jc w:val="both"/>
      </w:pPr>
      <w:r>
        <w:t>Figure 5.8 places the arms on the same axes: calibration error across the horizon on the left, violation rate on the right.</w:t>
      </w:r>
      <w:proofErr w:type="spellStart"/>
      <w:r/>
      <w:proofErr w:type="spellEnd"/>
      <w:r/>
      <w:r/>
      <w:r>
        <w:rPr>
          <w:i/>
          <w:iCs/>
        </w:rPr>
      </w:r>
      <w:r/>
    </w:p>
    <w:p w:rsidR="0015244F" w:rsidRDefault="00A565B8">
      <w:pPr>
        <w:ind w:firstLine="567"/>
        <w:jc w:val="both"/>
      </w:pPr>
      <w:r>
        <w:t>Because only four campaigns are available, the paired comparison between formulations is over four observations. The hazard arm has the lower calibration error on 0 of the four held-out campaigns at one second; the exact two-sided sign-test p-value for four paired observations cannot fall below 0.125, so no significance is claimed and the per-campaign numbers are reported in full in Appendix A.</w:t>
      </w:r>
      <w:r/>
      <w:r/>
    </w:p>
    <w:p w:rsidR="0015244F" w:rsidRDefault="00A565B8">
      <w:pPr>
        <w:keepNext/>
        <w:spacing w:before="240" w:after="120" w:line="240" w:lineRule="auto"/>
        <w:jc w:val="center"/>
      </w:pPr>
      <w:r>
        <w:rPr>
          <w:noProof/>
        </w:rPr>
        <w:lastRenderedPageBreak/>
        <w:drawing>
          <wp:inline distT="0" distB="0" distL="0" distR="0">
            <wp:extent cx="5438775" cy="305297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38775" cy="3052972"/>
                    </a:xfrm>
                    <a:prstGeom prst="rect">
                      <a:avLst/>
                    </a:prstGeom>
                  </pic:spPr>
                </pic:pic>
              </a:graphicData>
            </a:graphic>
          </wp:inline>
        </w:drawing>
      </w:r>
    </w:p>
    <w:p w:rsidR="0015244F" w:rsidRDefault="00A565B8">
      <w:pPr>
        <w:pStyle w:val="FigureCaption"/>
        <w:spacing w:after="240" w:line="240" w:lineRule="auto"/>
        <w:jc w:val="center"/>
      </w:pPr>
      <w:r>
        <w:t>Figure 5.6 Calibration error at one second, one line per held-out campaign, for independent classifiers against the hazard formulation.</w:t>
      </w:r>
      <w:r/>
    </w:p>
    <w:p w:rsidR="0015244F" w:rsidRDefault="00A565B8">
      <w:pPr>
        <w:keepNext/>
        <w:spacing w:before="240" w:after="120" w:line="240" w:lineRule="auto"/>
        <w:jc w:val="center"/>
      </w:pPr>
      <w:r>
        <w:rPr>
          <w:noProof/>
        </w:rPr>
        <w:lastRenderedPageBreak/>
        <w:drawing>
          <wp:inline distT="0" distB="0" distL="0" distR="0">
            <wp:extent cx="5762625" cy="25945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2594546"/>
                    </a:xfrm>
                    <a:prstGeom prst="rect">
                      <a:avLst/>
                    </a:prstGeom>
                  </pic:spPr>
                </pic:pic>
              </a:graphicData>
            </a:graphic>
          </wp:inline>
        </w:drawing>
      </w:r>
    </w:p>
    <w:p w:rsidR="0015244F" w:rsidRDefault="00A565B8">
      <w:pPr>
        <w:pStyle w:val="FigureCaption"/>
        <w:spacing w:after="240" w:line="240" w:lineRule="auto"/>
        <w:jc w:val="center"/>
      </w:pPr>
      <w:r>
        <w:t>Figure 5.7 Calibration error against the horizon for every coherence arm (left) and the share of rows violating horizon ordering (right).</w:t>
      </w:r>
      <w:r/>
    </w:p>
    <w:p w:rsidR="0015244F" w:rsidRDefault="00A565B8">
      <w:pPr>
        <w:keepNext/>
        <w:spacing w:before="240" w:after="120" w:line="240" w:lineRule="auto"/>
        <w:jc w:val="center"/>
      </w:pPr>
      <w:r>
        <w:rPr>
          <w:noProof/>
        </w:rPr>
        <w:drawing>
          <wp:inline distT="0" distB="0" distL="0" distR="0">
            <wp:extent cx="5762625" cy="27660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2766060"/>
                    </a:xfrm>
                    <a:prstGeom prst="rect">
                      <a:avLst/>
                    </a:prstGeom>
                  </pic:spPr>
                </pic:pic>
              </a:graphicData>
            </a:graphic>
          </wp:inline>
        </w:drawing>
      </w:r>
    </w:p>
    <w:p w:rsidR="0015244F" w:rsidRDefault="00A565B8">
      <w:pPr>
        <w:pStyle w:val="FigureCaption"/>
        <w:spacing w:after="240" w:line="240" w:lineRule="auto"/>
        <w:jc w:val="center"/>
      </w:pPr>
      <w:r>
        <w:t>Figure 5.8 Where the model earns its advantage: rows with no handover in the previous ten seconds against rows inside a burst.</w:t>
      </w:r>
    </w:p>
    <w:p w:rsidR="0015244F" w:rsidRDefault="00A565B8">
      <w:pPr>
        <w:ind w:firstLine="567"/>
        <w:jc w:val="both"/>
      </w:pPr>
      <w:r>
        <w:lastRenderedPageBreak/>
        <w:t>The</w:t>
      </w:r>
      <w:r>
        <w:t xml:space="preserve"> operational meaning of an expected calibration error of 0.024 at the one-second horizon is worth stating plainly, because a calibration figure is easy to report and easy to ignore. It means that among the samples on which the system asserts a probability </w:t>
      </w:r>
      <w:r>
        <w:t>near 0.8, a handover follows within one second on approximately 80 % of occasions. That is what permits the output to enter a decision rule rather than merely to sort samples, and it is what none of the 22 audited models in Section 2.3 reports. Together wi</w:t>
      </w:r>
      <w:r>
        <w:t>th Section 5.5 this answers objective O3.</w:t>
      </w:r>
    </w:p>
    <w:p w:rsidR="0015244F" w:rsidRDefault="00A565B8">
      <w:pPr>
        <w:pStyle w:val="Heading2"/>
        <w:spacing w:before="360" w:after="140"/>
      </w:pPr>
      <w:r>
        <w:t>5.5 The risk-control frontier and its price</w:t>
      </w:r>
    </w:p>
    <w:p w:rsidR="0015244F" w:rsidRDefault="00A565B8">
      <w:pPr>
        <w:ind w:firstLine="567"/>
        <w:jc w:val="both"/>
      </w:pPr>
      <w:r>
        <w:t>Table 5.7 reports conformal risk control in the two regimes described in Section 4.10.</w:t>
      </w:r>
    </w:p>
    <w:p w:rsidR="0015244F" w:rsidRDefault="00A565B8">
      <w:pPr>
        <w:pStyle w:val="TableCaption"/>
        <w:spacing w:before="240" w:after="120" w:line="240" w:lineRule="auto"/>
        <w:jc w:val="center"/>
      </w:pPr>
      <w:r>
        <w:t>Table 5.7 Conformal risk control at the one-second horizon, in the exchangeable regime and across campaigns.</w:t>
      </w:r>
      <w:r/>
      <w:proofErr w:type="spellStart"/>
      <w:r/>
      <w:proofErr w:type="spellEnd"/>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Target α</w:t>
            </w:r>
          </w:p>
        </w:tc>
        <w:tc>
          <w:tcPr>
            <w:tcMar>
              <w:top w:w="60" w:type="dxa"/>
              <w:left w:w="100" w:type="dxa"/>
              <w:bottom w:w="60" w:type="dxa"/>
              <w:right w:w="100" w:type="dxa"/>
            </w:tcMar>
          </w:tcPr>
          <w:p>
            <w:r>
              <w:t>Row loss, exchangeable: alarm rate</w:t>
            </w:r>
          </w:p>
        </w:tc>
        <w:tc>
          <w:tcPr>
            <w:tcMar>
              <w:top w:w="60" w:type="dxa"/>
              <w:left w:w="100" w:type="dxa"/>
              <w:bottom w:w="60" w:type="dxa"/>
              <w:right w:w="100" w:type="dxa"/>
            </w:tcMar>
          </w:tcPr>
          <w:p>
            <w:r>
              <w:t>Row loss, exchangeable: realised</w:t>
            </w:r>
          </w:p>
        </w:tc>
        <w:tc>
          <w:tcPr>
            <w:tcMar>
              <w:top w:w="60" w:type="dxa"/>
              <w:left w:w="100" w:type="dxa"/>
              <w:bottom w:w="60" w:type="dxa"/>
              <w:right w:w="100" w:type="dxa"/>
            </w:tcMar>
          </w:tcPr>
          <w:p>
            <w:r>
              <w:t>Row loss, across campaigns: realised</w:t>
            </w:r>
          </w:p>
        </w:tc>
        <w:tc>
          <w:tcPr>
            <w:tcMar>
              <w:top w:w="60" w:type="dxa"/>
              <w:left w:w="100" w:type="dxa"/>
              <w:bottom w:w="60" w:type="dxa"/>
              <w:right w:w="100" w:type="dxa"/>
            </w:tcMar>
          </w:tcPr>
          <w:p>
            <w:r>
              <w:t>Row loss: rotations respecting the bound</w:t>
            </w:r>
          </w:p>
        </w:tc>
        <w:tc>
          <w:tcPr>
            <w:tcMar>
              <w:top w:w="60" w:type="dxa"/>
              <w:left w:w="100" w:type="dxa"/>
              <w:bottom w:w="60" w:type="dxa"/>
              <w:right w:w="100" w:type="dxa"/>
            </w:tcMar>
          </w:tcPr>
          <w:p>
            <w:r>
              <w:t>Event loss, across campaigns: feasible rotations</w:t>
            </w:r>
          </w:p>
        </w:tc>
        <w:tc>
          <w:tcPr>
            <w:tcMar>
              <w:top w:w="60" w:type="dxa"/>
              <w:left w:w="100" w:type="dxa"/>
              <w:bottom w:w="60" w:type="dxa"/>
              <w:right w:w="100" w:type="dxa"/>
            </w:tcMar>
          </w:tcPr>
          <w:p>
            <w:r>
              <w:t>Event loss: alarm rate</w:t>
            </w:r>
          </w:p>
        </w:tc>
        <w:tc>
          <w:tcPr>
            <w:tcMar>
              <w:top w:w="60" w:type="dxa"/>
              <w:left w:w="100" w:type="dxa"/>
              <w:bottom w:w="60" w:type="dxa"/>
              <w:right w:w="100" w:type="dxa"/>
            </w:tcMar>
          </w:tcPr>
          <w:p>
            <w:r>
              <w:t>Event loss: realised</w:t>
            </w:r>
          </w:p>
        </w:tc>
      </w:tr>
      <w:tr w:rsidR="0015244F">
        <w:tblPrEx>
          <w:tblCellMar>
            <w:top w:w="0" w:type="dxa"/>
            <w:bottom w:w="0" w:type="dxa"/>
          </w:tblCellMar>
        </w:tblPrEx>
        <w:trPr>
          <w:tblHeader/>
        </w:trPr>
        <w:tc>
          <w:tcPr>
            <w:tcMar>
              <w:top w:w="60" w:type="dxa"/>
              <w:left w:w="100" w:type="dxa"/>
              <w:bottom w:w="60" w:type="dxa"/>
              <w:right w:w="100" w:type="dxa"/>
            </w:tcMar>
          </w:tcPr>
          <w:p>
            <w:r>
              <w:t>0.05 (below the floor)</w:t>
            </w:r>
          </w:p>
        </w:tc>
        <w:tc>
          <w:tcPr>
            <w:tcMar>
              <w:top w:w="60" w:type="dxa"/>
              <w:left w:w="100" w:type="dxa"/>
              <w:bottom w:w="60" w:type="dxa"/>
              <w:right w:w="100" w:type="dxa"/>
            </w:tcMar>
          </w:tcPr>
          <w:p>
            <w:r>
              <w:t>86 %</w:t>
            </w:r>
          </w:p>
        </w:tc>
        <w:tc>
          <w:tcPr>
            <w:tcMar>
              <w:top w:w="60" w:type="dxa"/>
              <w:left w:w="100" w:type="dxa"/>
              <w:bottom w:w="60" w:type="dxa"/>
              <w:right w:w="100" w:type="dxa"/>
            </w:tcMar>
          </w:tcPr>
          <w:p>
            <w:r>
              <w:t>0.018</w:t>
            </w:r>
          </w:p>
        </w:tc>
        <w:tc>
          <w:tcPr>
            <w:tcMar>
              <w:top w:w="60" w:type="dxa"/>
              <w:left w:w="100" w:type="dxa"/>
              <w:bottom w:w="60" w:type="dxa"/>
              <w:right w:w="100" w:type="dxa"/>
            </w:tcMar>
          </w:tcPr>
          <w:p>
            <w:r>
              <w:t>not expressible</w:t>
            </w:r>
          </w:p>
        </w:tc>
        <w:tc>
          <w:tcPr>
            <w:tcMar>
              <w:top w:w="60" w:type="dxa"/>
              <w:left w:w="100" w:type="dxa"/>
              <w:bottom w:w="60" w:type="dxa"/>
              <w:right w:w="100" w:type="dxa"/>
            </w:tcMar>
          </w:tcPr>
          <w:p>
            <w:r>
              <w:t>-</w:t>
            </w:r>
          </w:p>
        </w:tc>
        <w:tc>
          <w:tcPr>
            <w:tcMar>
              <w:top w:w="60" w:type="dxa"/>
              <w:left w:w="100" w:type="dxa"/>
              <w:bottom w:w="60" w:type="dxa"/>
              <w:right w:w="100" w:type="dxa"/>
            </w:tcMar>
          </w:tcPr>
          <w:p>
            <w:r>
              <w:t>0 %</w:t>
            </w:r>
          </w:p>
        </w:tc>
        <w:tc>
          <w:tcPr>
            <w:tcMar>
              <w:top w:w="60" w:type="dxa"/>
              <w:left w:w="100" w:type="dxa"/>
              <w:bottom w:w="60" w:type="dxa"/>
              <w:right w:w="100" w:type="dxa"/>
            </w:tcMar>
          </w:tcPr>
          <w:p>
            <w:r>
              <w:t>-</w:t>
            </w:r>
          </w:p>
        </w:tc>
        <w:tc>
          <w:tcPr>
            <w:tcMar>
              <w:top w:w="60" w:type="dxa"/>
              <w:left w:w="100" w:type="dxa"/>
              <w:bottom w:w="60" w:type="dxa"/>
              <w:right w:w="100" w:type="dxa"/>
            </w:tcMar>
          </w:tcPr>
          <w:p>
            <w:r>
              <w:t>not expressible</w:t>
            </w:r>
          </w:p>
        </w:tc>
      </w:tr>
      <w:tr w:rsidR="0015244F">
        <w:tblPrEx>
          <w:tblCellMar>
            <w:top w:w="0" w:type="dxa"/>
            <w:bottom w:w="0" w:type="dxa"/>
          </w:tblCellMar>
        </w:tblPrEx>
        <w:trPr>
          <w:tblHeader/>
        </w:trPr>
        <w:tc>
          <w:tcPr>
            <w:tcMar>
              <w:top w:w="60" w:type="dxa"/>
              <w:left w:w="100" w:type="dxa"/>
              <w:bottom w:w="60" w:type="dxa"/>
              <w:right w:w="100" w:type="dxa"/>
            </w:tcMar>
          </w:tcPr>
          <w:p>
            <w:r>
              <w:t>0.10</w:t>
            </w:r>
          </w:p>
        </w:tc>
        <w:tc>
          <w:tcPr>
            <w:tcMar>
              <w:top w:w="60" w:type="dxa"/>
              <w:left w:w="100" w:type="dxa"/>
              <w:bottom w:w="60" w:type="dxa"/>
              <w:right w:w="100" w:type="dxa"/>
            </w:tcMar>
          </w:tcPr>
          <w:p>
            <w:r>
              <w:t>65 %</w:t>
            </w:r>
          </w:p>
        </w:tc>
        <w:tc>
          <w:tcPr>
            <w:tcMar>
              <w:top w:w="60" w:type="dxa"/>
              <w:left w:w="100" w:type="dxa"/>
              <w:bottom w:w="60" w:type="dxa"/>
              <w:right w:w="100" w:type="dxa"/>
            </w:tcMar>
          </w:tcPr>
          <w:p>
            <w:r>
              <w:t>0.069</w:t>
            </w:r>
          </w:p>
        </w:tc>
        <w:tc>
          <w:tcPr>
            <w:tcMar>
              <w:top w:w="60" w:type="dxa"/>
              <w:left w:w="100" w:type="dxa"/>
              <w:bottom w:w="60" w:type="dxa"/>
              <w:right w:w="100" w:type="dxa"/>
            </w:tcMar>
          </w:tcPr>
          <w:p>
            <w:r>
              <w:t>0.032</w:t>
            </w:r>
          </w:p>
        </w:tc>
        <w:tc>
          <w:tcPr>
            <w:tcMar>
              <w:top w:w="60" w:type="dxa"/>
              <w:left w:w="100" w:type="dxa"/>
              <w:bottom w:w="60" w:type="dxa"/>
              <w:right w:w="100" w:type="dxa"/>
            </w:tcMar>
          </w:tcPr>
          <w:p>
            <w:r>
              <w:t>92 %</w:t>
            </w:r>
          </w:p>
        </w:tc>
        <w:tc>
          <w:tcPr>
            <w:tcMar>
              <w:top w:w="60" w:type="dxa"/>
              <w:left w:w="100" w:type="dxa"/>
              <w:bottom w:w="60" w:type="dxa"/>
              <w:right w:w="100" w:type="dxa"/>
            </w:tcMar>
          </w:tcPr>
          <w:p>
            <w:r>
              <w:t>0 %</w:t>
            </w:r>
          </w:p>
        </w:tc>
        <w:tc>
          <w:tcPr>
            <w:tcMar>
              <w:top w:w="60" w:type="dxa"/>
              <w:left w:w="100" w:type="dxa"/>
              <w:bottom w:w="60" w:type="dxa"/>
              <w:right w:w="100" w:type="dxa"/>
            </w:tcMar>
          </w:tcPr>
          <w:p>
            <w:r>
              <w:t>-</w:t>
            </w:r>
          </w:p>
        </w:tc>
        <w:tc>
          <w:tcPr>
            <w:tcMar>
              <w:top w:w="60" w:type="dxa"/>
              <w:left w:w="100" w:type="dxa"/>
              <w:bottom w:w="60" w:type="dxa"/>
              <w:right w:w="100" w:type="dxa"/>
            </w:tcMar>
          </w:tcPr>
          <w:p>
            <w:r>
              <w:t>not expressible</w:t>
            </w:r>
          </w:p>
        </w:tc>
      </w:tr>
      <w:tr w:rsidR="0015244F">
        <w:tblPrEx>
          <w:tblCellMar>
            <w:top w:w="0" w:type="dxa"/>
            <w:bottom w:w="0" w:type="dxa"/>
          </w:tblCellMar>
        </w:tblPrEx>
        <w:trPr>
          <w:tblHeader/>
        </w:trPr>
        <w:tc>
          <w:tcPr>
            <w:tcMar>
              <w:top w:w="60" w:type="dxa"/>
              <w:left w:w="100" w:type="dxa"/>
              <w:bottom w:w="60" w:type="dxa"/>
              <w:right w:w="100" w:type="dxa"/>
            </w:tcMar>
          </w:tcPr>
          <w:p>
            <w:r>
              <w:t>0.15</w:t>
            </w:r>
          </w:p>
        </w:tc>
        <w:tc>
          <w:tcPr>
            <w:tcMar>
              <w:top w:w="60" w:type="dxa"/>
              <w:left w:w="100" w:type="dxa"/>
              <w:bottom w:w="60" w:type="dxa"/>
              <w:right w:w="100" w:type="dxa"/>
            </w:tcMar>
          </w:tcPr>
          <w:p>
            <w:r>
              <w:t>55 %</w:t>
            </w:r>
          </w:p>
        </w:tc>
        <w:tc>
          <w:tcPr>
            <w:tcMar>
              <w:top w:w="60" w:type="dxa"/>
              <w:left w:w="100" w:type="dxa"/>
              <w:bottom w:w="60" w:type="dxa"/>
              <w:right w:w="100" w:type="dxa"/>
            </w:tcMar>
          </w:tcPr>
          <w:p>
            <w:r>
              <w:t>0.119</w:t>
            </w:r>
          </w:p>
        </w:tc>
        <w:tc>
          <w:tcPr>
            <w:tcMar>
              <w:top w:w="60" w:type="dxa"/>
              <w:left w:w="100" w:type="dxa"/>
              <w:bottom w:w="60" w:type="dxa"/>
              <w:right w:w="100" w:type="dxa"/>
            </w:tcMar>
          </w:tcPr>
          <w:p>
            <w:r>
              <w:t>0.092</w:t>
            </w:r>
          </w:p>
        </w:tc>
        <w:tc>
          <w:tcPr>
            <w:tcMar>
              <w:top w:w="60" w:type="dxa"/>
              <w:left w:w="100" w:type="dxa"/>
              <w:bottom w:w="60" w:type="dxa"/>
              <w:right w:w="100" w:type="dxa"/>
            </w:tcMar>
          </w:tcPr>
          <w:p>
            <w:r>
              <w:t>83 %</w:t>
            </w:r>
          </w:p>
        </w:tc>
        <w:tc>
          <w:tcPr>
            <w:tcMar>
              <w:top w:w="60" w:type="dxa"/>
              <w:left w:w="100" w:type="dxa"/>
              <w:bottom w:w="60" w:type="dxa"/>
              <w:right w:w="100" w:type="dxa"/>
            </w:tcMar>
          </w:tcPr>
          <w:p>
            <w:r>
              <w:t>0 %</w:t>
            </w:r>
          </w:p>
        </w:tc>
        <w:tc>
          <w:tcPr>
            <w:tcMar>
              <w:top w:w="60" w:type="dxa"/>
              <w:left w:w="100" w:type="dxa"/>
              <w:bottom w:w="60" w:type="dxa"/>
              <w:right w:w="100" w:type="dxa"/>
            </w:tcMar>
          </w:tcPr>
          <w:p>
            <w:r>
              <w:t>-</w:t>
            </w:r>
          </w:p>
        </w:tc>
        <w:tc>
          <w:tcPr>
            <w:tcMar>
              <w:top w:w="60" w:type="dxa"/>
              <w:left w:w="100" w:type="dxa"/>
              <w:bottom w:w="60" w:type="dxa"/>
              <w:right w:w="100" w:type="dxa"/>
            </w:tcMar>
          </w:tcPr>
          <w:p>
            <w:r>
              <w:t>not expressible</w:t>
            </w:r>
          </w:p>
        </w:tc>
      </w:tr>
      <w:tr w:rsidR="0015244F">
        <w:tblPrEx>
          <w:tblCellMar>
            <w:top w:w="0" w:type="dxa"/>
            <w:bottom w:w="0" w:type="dxa"/>
          </w:tblCellMar>
        </w:tblPrEx>
        <w:trPr>
          <w:tblHeader/>
        </w:trPr>
        <w:tc>
          <w:tcPr>
            <w:tcMar>
              <w:top w:w="60" w:type="dxa"/>
              <w:left w:w="100" w:type="dxa"/>
              <w:bottom w:w="60" w:type="dxa"/>
              <w:right w:w="100" w:type="dxa"/>
            </w:tcMar>
          </w:tcPr>
          <w:p>
            <w:r>
              <w:t>0.20</w:t>
            </w:r>
          </w:p>
        </w:tc>
        <w:tc>
          <w:tcPr>
            <w:tcMar>
              <w:top w:w="60" w:type="dxa"/>
              <w:left w:w="100" w:type="dxa"/>
              <w:bottom w:w="60" w:type="dxa"/>
              <w:right w:w="100" w:type="dxa"/>
            </w:tcMar>
          </w:tcPr>
          <w:p>
            <w:r>
              <w:t>47 %</w:t>
            </w:r>
          </w:p>
        </w:tc>
        <w:tc>
          <w:tcPr>
            <w:tcMar>
              <w:top w:w="60" w:type="dxa"/>
              <w:left w:w="100" w:type="dxa"/>
              <w:bottom w:w="60" w:type="dxa"/>
              <w:right w:w="100" w:type="dxa"/>
            </w:tcMar>
          </w:tcPr>
          <w:p>
            <w:r>
              <w:t>0.168</w:t>
            </w:r>
          </w:p>
        </w:tc>
        <w:tc>
          <w:tcPr>
            <w:tcMar>
              <w:top w:w="60" w:type="dxa"/>
              <w:left w:w="100" w:type="dxa"/>
              <w:bottom w:w="60" w:type="dxa"/>
              <w:right w:w="100" w:type="dxa"/>
            </w:tcMar>
          </w:tcPr>
          <w:p>
            <w:r>
              <w:t>0.153</w:t>
            </w:r>
          </w:p>
        </w:tc>
        <w:tc>
          <w:tcPr>
            <w:tcMar>
              <w:top w:w="60" w:type="dxa"/>
              <w:left w:w="100" w:type="dxa"/>
              <w:bottom w:w="60" w:type="dxa"/>
              <w:right w:w="100" w:type="dxa"/>
            </w:tcMar>
          </w:tcPr>
          <w:p>
            <w:r>
              <w:t>83 %</w:t>
            </w:r>
          </w:p>
        </w:tc>
        <w:tc>
          <w:tcPr>
            <w:tcMar>
              <w:top w:w="60" w:type="dxa"/>
              <w:left w:w="100" w:type="dxa"/>
              <w:bottom w:w="60" w:type="dxa"/>
              <w:right w:w="100" w:type="dxa"/>
            </w:tcMar>
          </w:tcPr>
          <w:p>
            <w:r>
              <w:t>0 %</w:t>
            </w:r>
          </w:p>
        </w:tc>
        <w:tc>
          <w:tcPr>
            <w:tcMar>
              <w:top w:w="60" w:type="dxa"/>
              <w:left w:w="100" w:type="dxa"/>
              <w:bottom w:w="60" w:type="dxa"/>
              <w:right w:w="100" w:type="dxa"/>
            </w:tcMar>
          </w:tcPr>
          <w:p>
            <w:r>
              <w:t>-</w:t>
            </w:r>
          </w:p>
        </w:tc>
        <w:tc>
          <w:tcPr>
            <w:tcMar>
              <w:top w:w="60" w:type="dxa"/>
              <w:left w:w="100" w:type="dxa"/>
              <w:bottom w:w="60" w:type="dxa"/>
              <w:right w:w="100" w:type="dxa"/>
            </w:tcMar>
          </w:tcPr>
          <w:p>
            <w:r>
              <w:t>not expressible</w:t>
            </w:r>
          </w:p>
        </w:tc>
      </w:tr>
      <w:tr w:rsidR="0015244F">
        <w:tblPrEx>
          <w:tblCellMar>
            <w:top w:w="0" w:type="dxa"/>
            <w:bottom w:w="0" w:type="dxa"/>
          </w:tblCellMar>
        </w:tblPrEx>
        <w:trPr>
          <w:tblHeader/>
        </w:trPr>
        <w:tc>
          <w:tcPr>
            <w:tcMar>
              <w:top w:w="60" w:type="dxa"/>
              <w:left w:w="100" w:type="dxa"/>
              <w:bottom w:w="60" w:type="dxa"/>
              <w:right w:w="100" w:type="dxa"/>
            </w:tcMar>
          </w:tcPr>
          <w:p>
            <w:r>
              <w:t>0.30</w:t>
            </w:r>
          </w:p>
        </w:tc>
        <w:tc>
          <w:tcPr>
            <w:tcMar>
              <w:top w:w="60" w:type="dxa"/>
              <w:left w:w="100" w:type="dxa"/>
              <w:bottom w:w="60" w:type="dxa"/>
              <w:right w:w="100" w:type="dxa"/>
            </w:tcMar>
          </w:tcPr>
          <w:p>
            <w:r>
              <w:t>36 %</w:t>
            </w:r>
          </w:p>
        </w:tc>
        <w:tc>
          <w:tcPr>
            <w:tcMar>
              <w:top w:w="60" w:type="dxa"/>
              <w:left w:w="100" w:type="dxa"/>
              <w:bottom w:w="60" w:type="dxa"/>
              <w:right w:w="100" w:type="dxa"/>
            </w:tcMar>
          </w:tcPr>
          <w:p>
            <w:r>
              <w:t>0.272</w:t>
            </w:r>
          </w:p>
        </w:tc>
        <w:tc>
          <w:tcPr>
            <w:tcMar>
              <w:top w:w="60" w:type="dxa"/>
              <w:left w:w="100" w:type="dxa"/>
              <w:bottom w:w="60" w:type="dxa"/>
              <w:right w:w="100" w:type="dxa"/>
            </w:tcMar>
          </w:tcPr>
          <w:p>
            <w:r>
              <w:t>0.261</w:t>
            </w:r>
          </w:p>
        </w:tc>
        <w:tc>
          <w:tcPr>
            <w:tcMar>
              <w:top w:w="60" w:type="dxa"/>
              <w:left w:w="100" w:type="dxa"/>
              <w:bottom w:w="60" w:type="dxa"/>
              <w:right w:w="100" w:type="dxa"/>
            </w:tcMar>
          </w:tcPr>
          <w:p>
            <w:r>
              <w:t>67 %</w:t>
            </w:r>
          </w:p>
        </w:tc>
        <w:tc>
          <w:tcPr>
            <w:tcMar>
              <w:top w:w="60" w:type="dxa"/>
              <w:left w:w="100" w:type="dxa"/>
              <w:bottom w:w="60" w:type="dxa"/>
              <w:right w:w="100" w:type="dxa"/>
            </w:tcMar>
          </w:tcPr>
          <w:p>
            <w:r>
              <w:t>25 %</w:t>
            </w:r>
          </w:p>
        </w:tc>
        <w:tc>
          <w:tcPr>
            <w:tcMar>
              <w:top w:w="60" w:type="dxa"/>
              <w:left w:w="100" w:type="dxa"/>
              <w:bottom w:w="60" w:type="dxa"/>
              <w:right w:w="100" w:type="dxa"/>
            </w:tcMar>
          </w:tcPr>
          <w:p>
            <w:r>
              <w:t>96 %</w:t>
            </w:r>
          </w:p>
        </w:tc>
        <w:tc>
          <w:tcPr>
            <w:tcMar>
              <w:top w:w="60" w:type="dxa"/>
              <w:left w:w="100" w:type="dxa"/>
              <w:bottom w:w="60" w:type="dxa"/>
              <w:right w:w="100" w:type="dxa"/>
            </w:tcMar>
          </w:tcPr>
          <w:p>
            <w:r>
              <w:t>0.333</w:t>
            </w:r>
          </w:p>
        </w:tc>
      </w:tr>
      <w:tr w:rsidR="0015244F">
        <w:tblPrEx>
          <w:tblCellMar>
            <w:top w:w="0" w:type="dxa"/>
            <w:bottom w:w="0" w:type="dxa"/>
          </w:tblCellMar>
        </w:tblPrEx>
        <w:trPr>
          <w:tblHeader/>
        </w:trPr>
        <w:tc>
          <w:tcPr>
            <w:tcMar>
              <w:top w:w="60" w:type="dxa"/>
              <w:left w:w="100" w:type="dxa"/>
              <w:bottom w:w="60" w:type="dxa"/>
              <w:right w:w="100" w:type="dxa"/>
            </w:tcMar>
          </w:tcPr>
          <w:p>
            <w:r>
              <w:t>Feasibility floor with n = 14 units</w:t>
            </w:r>
          </w:p>
        </w:tc>
        <w:tc>
          <w:tcPr>
            <w:tcMar>
              <w:top w:w="60" w:type="dxa"/>
              <w:left w:w="100" w:type="dxa"/>
              <w:bottom w:w="60" w:type="dxa"/>
              <w:right w:w="100" w:type="dxa"/>
            </w:tcMar>
          </w:tcPr>
          <w:p>
            <w:r>
              <w:t>α ≥ 0.067</w:t>
            </w:r>
          </w:p>
        </w:tc>
        <w:tc>
          <w:tcPr>
            <w:tcMar>
              <w:top w:w="60" w:type="dxa"/>
              <w:left w:w="100" w:type="dxa"/>
              <w:bottom w:w="60" w:type="dxa"/>
              <w:right w:w="100" w:type="dxa"/>
            </w:tcMar>
          </w:tcPr>
          <w:p>
            <w:r/>
          </w:p>
        </w:tc>
        <w:tc>
          <w:tcPr>
            <w:tcMar>
              <w:top w:w="60" w:type="dxa"/>
              <w:left w:w="100" w:type="dxa"/>
              <w:bottom w:w="60" w:type="dxa"/>
              <w:right w:w="100" w:type="dxa"/>
            </w:tcMar>
          </w:tcPr>
          <w:p>
            <w:r/>
          </w:p>
        </w:tc>
        <w:tc>
          <w:tcPr>
            <w:tcMar>
              <w:top w:w="60" w:type="dxa"/>
              <w:left w:w="100" w:type="dxa"/>
              <w:bottom w:w="60" w:type="dxa"/>
              <w:right w:w="100" w:type="dxa"/>
            </w:tcMar>
          </w:tcPr>
          <w:p>
            <w:r/>
          </w:p>
        </w:tc>
        <w:tc>
          <w:tcPr>
            <w:tcMar>
              <w:top w:w="60" w:type="dxa"/>
              <w:left w:w="100" w:type="dxa"/>
              <w:bottom w:w="60" w:type="dxa"/>
              <w:right w:w="100" w:type="dxa"/>
            </w:tcMar>
          </w:tcPr>
          <w:p>
            <w:r>
              <w:t>and α ≥ 0.364 for the event loss, the share of handovers with no usable row in the lead window</w:t>
            </w:r>
          </w:p>
        </w:tc>
        <w:tc>
          <w:tcPr>
            <w:tcMar>
              <w:top w:w="60" w:type="dxa"/>
              <w:left w:w="100" w:type="dxa"/>
              <w:bottom w:w="60" w:type="dxa"/>
              <w:right w:w="100" w:type="dxa"/>
            </w:tcMar>
          </w:tcPr>
          <w:p>
            <w:r/>
          </w:p>
        </w:tc>
        <w:tc>
          <w:tcPr>
            <w:tcMar>
              <w:top w:w="60" w:type="dxa"/>
              <w:left w:w="100" w:type="dxa"/>
              <w:bottom w:w="60" w:type="dxa"/>
              <w:right w:w="100" w:type="dxa"/>
            </w:tcMar>
          </w:tcPr>
          <w:p>
            <w:r/>
          </w:p>
        </w:tc>
      </w:tr>
    </w:tbl>
    <w:p w:rsidR="0015244F" w:rsidRDefault="0015244F">
      <w:pPr>
        <w:spacing w:after="120" w:line="240" w:lineRule="auto"/>
      </w:pPr>
    </w:p>
    <w:p w:rsidR="0015244F" w:rsidRDefault="00A565B8">
      <w:pPr>
        <w:ind w:firstLine="567"/>
        <w:jc w:val="both"/>
      </w:pPr>
      <w:r>
        <w:t>Four observations follow.</w:t>
      </w:r>
    </w:p>
    <w:p w:rsidR="0015244F" w:rsidRDefault="00A565B8">
      <w:pPr>
        <w:ind w:firstLine="567"/>
        <w:jc w:val="both"/>
      </w:pPr>
      <w:r>
        <w:t>First, in the exchangeable regime — calibration and test units drawn from the same pool of 180-second blocks — the realised mean per-unit miss rate sits at or below the target at every level tested. At α = 0.20 the certified threshold alarms on 47% of rows and realises a mean per-unit miss rate of 0.168.</w:t>
      </w:r>
      <w:proofErr w:type="spellStart"/>
      <w:r/>
      <w:proofErr w:type="spellEnd"/>
      <w:r/>
      <w:r/>
    </w:p>
    <w:p w:rsidR="0015244F" w:rsidRDefault="00A565B8">
      <w:pPr>
        <w:ind w:firstLine="567"/>
        <w:jc w:val="both"/>
      </w:pPr>
      <w:r>
        <w:t>Second, in the regime an operator actually faces — calibrate on one campaign, deploy on another — the guarantee is not distribution-free any more, because the units are not exchangeable. Across the 12 campaign rotations the mean realised loss at α = 0.20 is 0.153 and the bound is respected in 83% of rotations. Reporting this is the point of the section: the procedure is only as good as the exchangeability assumption, and a campaign is a distribution shift.</w:t>
      </w:r>
      <w:r/>
    </w:p>
    <w:p w:rsidR="0015244F" w:rsidRDefault="00A565B8">
      <w:pPr>
        <w:ind w:firstLine="567"/>
        <w:jc w:val="both"/>
      </w:pPr>
      <w:r>
        <w:t>Third, the guarantee is expensive at tight targets, and the number of calibration units binds independently of model quality. At α = 0.05 the threshold alarms on 86% of rows, which is not an operating point any operator would deploy. And the campaigns differ in size: a calibration campaign of n blocks can express no target below 1/(n+1), so with 8 to 20 blocks per campaign the floor runs from 0.048 to 0.111, and only 25% of the rotations can express α = 0.05 at all.</w:t>
      </w:r>
      <w:r>
        <w:rPr>
          <w:i/>
          <w:iCs/>
        </w:rPr>
      </w:r>
      <w:r/>
      <w:r/>
      <w:r/>
    </w:p>
    <w:p w:rsidR="0015244F" w:rsidRDefault="00A565B8">
      <w:pPr>
        <w:ind w:firstLine="567"/>
        <w:jc w:val="both"/>
      </w:pPr>
      <w:r>
        <w:t>Fourth, and most consequentially for what may be promised, the estimand matters. Everything above certifies the row-level loss of Equation (4.9). What Section 1.3 promises, and what an operator would understand by a miss, is the event-level loss of Equation (4.11): a handover is caught if any usable row in its lead window alarms. The two are not interchangeable, because a command with no usable row in that window is missed at every threshold. At the one-second horizon 36.4% of commands are in that position, so no event-level target below that value is expressible at all, and none of the five targets in Table 5.7 is feasible in more than 25% of the rotations. At three seconds, where 12.0% of commands are unresolvable, the picture changes: α = 0.20 is feasible in 75% of rotations at a realised event loss of 0.169 and an alarm rate of 63%, and α = 0.30 in all of them at 0.266 and 48%.</w:t>
      </w:r>
      <w:proofErr w:type="spellStart"/>
      <w:r/>
      <w:proofErr w:type="spellEnd"/>
      <w:r/>
      <w:r/>
      <w:r/>
    </w:p>
    <w:p w:rsidR="0015244F" w:rsidRDefault="00A565B8">
      <w:pPr>
        <w:ind w:firstLine="567"/>
        <w:jc w:val="both"/>
      </w:pPr>
      <w:r>
        <w:t>The conclusion is worth stating plainly, because it is a limit rather than a result. On this instrument the sampling rate, not the model and not the size of the calibration set, sets the tightest promise that can be made about handovers: at one second a distribution-free bound on the fraction of handover commands missed cannot be certified at any level an operator would accept, and a study on a one-hertz grid that claims such a bound is certifying rows and calling them events. At three seconds the promise becomes expressible, and costs an alarm on roughly half of all seconds. This reconciles Table 5.7 with the detection rates of Appendix A, which are event-level throughout and which no row-level guarantee bounds.</w:t>
      </w:r>
      <w:proofErr w:type="spellStart"/>
      <w:r/>
      <w:proofErr w:type="spellEnd"/>
      <w:r/>
      <w:r/>
      <w:r/>
    </w:p>
    <w:p w:rsidR="0015244F" w:rsidRDefault="00A565B8">
      <w:pPr>
        <w:ind w:firstLine="567"/>
        <w:jc w:val="both"/>
      </w:pPr>
      <w:r>
        <w:t>Figure 5.9 puts both regimes on one pair of axes, with the realised risk against the nominal level and the guarantee boundary drawn as the diagonal; the second axis carries the alarm rate that compliance costs.</w:t>
      </w:r>
      <w:proofErr w:type="spellStart"/>
      <w:r/>
      <w:proofErr w:type="spellEnd"/>
      <w:r/>
      <w:r/>
      <w:r/>
    </w:p>
    <w:p w:rsidR="0015244F" w:rsidRDefault="00A565B8">
      <w:pPr>
        <w:keepNext/>
        <w:spacing w:before="240" w:after="120" w:line="240" w:lineRule="auto"/>
        <w:jc w:val="center"/>
      </w:pPr>
      <w:r>
        <w:rPr>
          <w:noProof/>
        </w:rPr>
        <w:drawing>
          <wp:inline distT="0" distB="0" distL="0" distR="0">
            <wp:extent cx="5762625" cy="26296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2629679"/>
                    </a:xfrm>
                    <a:prstGeom prst="rect">
                      <a:avLst/>
                    </a:prstGeom>
                  </pic:spPr>
                </pic:pic>
              </a:graphicData>
            </a:graphic>
          </wp:inline>
        </w:drawing>
      </w:r>
    </w:p>
    <w:p w:rsidR="0015244F" w:rsidRDefault="00A565B8">
      <w:pPr>
        <w:pStyle w:val="FigureCaption"/>
        <w:spacing w:after="240" w:line="240" w:lineRule="auto"/>
        <w:jc w:val="center"/>
      </w:pPr>
      <w:r>
        <w:t>Figure 5.9 Conformal risk control in both regimes. Left: realised mean per-unit miss rate against the target, with the guarantee boundary as the diagonal. Right: the alarm rate that compliance costs.</w:t>
      </w:r>
      <w:proofErr w:type="spellStart"/>
      <w:r/>
      <w:proofErr w:type="spellEnd"/>
      <w:r/>
      <w:r/>
    </w:p>
    <w:p w:rsidR="0015244F" w:rsidRDefault="00A565B8">
      <w:pPr>
        <w:pStyle w:val="Heading2"/>
        <w:spacing w:before="360" w:after="140"/>
      </w:pPr>
      <w:r>
        <w:t xml:space="preserve">5.6 </w:t>
      </w:r>
      <w:proofErr w:type="spellStart"/>
      <w:r>
        <w:t>Generalisation</w:t>
      </w:r>
      <w:proofErr w:type="spellEnd"/>
      <w:r>
        <w:t xml:space="preserve"> across corridors and speed regimes</w:t>
      </w:r>
    </w:p>
    <w:p w:rsidR="0015244F" w:rsidRDefault="00A565B8">
      <w:pPr>
        <w:ind w:firstLine="567"/>
        <w:jc w:val="both"/>
      </w:pPr>
      <w:r>
        <w:t>Objective O4 asks whether the result survives outside the data on which it was developed. Two experiments address it, at increasing distance from the training distribution.</w:t>
      </w:r>
      <w:r/>
    </w:p>
    <w:p w:rsidR="0015244F" w:rsidRDefault="00A565B8">
      <w:pPr>
        <w:ind w:firstLine="567"/>
        <w:jc w:val="both"/>
      </w:pPr>
      <w:r>
        <w:t>The first is the primary protocol itself: each campaign held out in turn. Table 5.8 reports the per-campaign numbers that the pooled result of Table 5.3 averages over.</w:t>
      </w:r>
    </w:p>
    <w:p w:rsidR="0015244F" w:rsidRDefault="00A565B8">
      <w:pPr>
        <w:pStyle w:val="TableCaption"/>
        <w:spacing w:before="240" w:after="120" w:line="240" w:lineRule="auto"/>
        <w:jc w:val="center"/>
      </w:pPr>
      <w:r>
        <w:t>Table 5.8 Leave-one-campaign-out performance at the one-second horizon.</w:t>
      </w:r>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Campaign held out</w:t>
            </w:r>
          </w:p>
        </w:tc>
        <w:tc>
          <w:tcPr>
            <w:tcMar>
              <w:top w:w="60" w:type="dxa"/>
              <w:left w:w="100" w:type="dxa"/>
              <w:bottom w:w="60" w:type="dxa"/>
              <w:right w:w="100" w:type="dxa"/>
            </w:tcMar>
          </w:tcPr>
          <w:p>
            <w:r>
              <w:t>Rows</w:t>
            </w:r>
          </w:p>
        </w:tc>
        <w:tc>
          <w:tcPr>
            <w:tcMar>
              <w:top w:w="60" w:type="dxa"/>
              <w:left w:w="100" w:type="dxa"/>
              <w:bottom w:w="60" w:type="dxa"/>
              <w:right w:w="100" w:type="dxa"/>
            </w:tcMar>
          </w:tcPr>
          <w:p>
            <w:r>
              <w:t>Prevalence</w:t>
            </w:r>
          </w:p>
        </w:tc>
        <w:tc>
          <w:tcPr>
            <w:tcMar>
              <w:top w:w="60" w:type="dxa"/>
              <w:left w:w="100" w:type="dxa"/>
              <w:bottom w:w="60" w:type="dxa"/>
              <w:right w:w="100" w:type="dxa"/>
            </w:tcMar>
          </w:tcPr>
          <w:p>
            <w:r>
              <w:t>AUPRC</w:t>
            </w:r>
          </w:p>
        </w:tc>
        <w:tc>
          <w:tcPr>
            <w:tcMar>
              <w:top w:w="60" w:type="dxa"/>
              <w:left w:w="100" w:type="dxa"/>
              <w:bottom w:w="60" w:type="dxa"/>
              <w:right w:w="100" w:type="dxa"/>
            </w:tcMar>
          </w:tcPr>
          <w:p>
            <w:r>
              <w:t>Lift</w:t>
            </w:r>
          </w:p>
        </w:tc>
        <w:tc>
          <w:tcPr>
            <w:tcMar>
              <w:top w:w="60" w:type="dxa"/>
              <w:left w:w="100" w:type="dxa"/>
              <w:bottom w:w="60" w:type="dxa"/>
              <w:right w:w="100" w:type="dxa"/>
            </w:tcMar>
          </w:tcPr>
          <w:p>
            <w:r>
              <w:t>AUROC</w:t>
            </w:r>
          </w:p>
        </w:tc>
        <w:tc>
          <w:tcPr>
            <w:tcMar>
              <w:top w:w="60" w:type="dxa"/>
              <w:left w:w="100" w:type="dxa"/>
              <w:bottom w:w="60" w:type="dxa"/>
              <w:right w:w="100" w:type="dxa"/>
            </w:tcMar>
          </w:tcPr>
          <w:p>
            <w:r>
              <w:t>ECE</w:t>
            </w:r>
          </w:p>
        </w:tc>
      </w:tr>
      <w:tr w:rsidR="0015244F">
        <w:tblPrEx>
          <w:tblCellMar>
            <w:top w:w="0" w:type="dxa"/>
            <w:bottom w:w="0" w:type="dxa"/>
          </w:tblCellMar>
        </w:tblPrEx>
        <w:trPr>
          <w:tblHeader/>
        </w:trPr>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2,178</w:t>
            </w:r>
          </w:p>
        </w:tc>
        <w:tc>
          <w:tcPr>
            <w:tcMar>
              <w:top w:w="60" w:type="dxa"/>
              <w:left w:w="100" w:type="dxa"/>
              <w:bottom w:w="60" w:type="dxa"/>
              <w:right w:w="100" w:type="dxa"/>
            </w:tcMar>
          </w:tcPr>
          <w:p>
            <w:r>
              <w:t>8.4 %</w:t>
            </w:r>
          </w:p>
        </w:tc>
        <w:tc>
          <w:tcPr>
            <w:tcMar>
              <w:top w:w="60" w:type="dxa"/>
              <w:left w:w="100" w:type="dxa"/>
              <w:bottom w:w="60" w:type="dxa"/>
              <w:right w:w="100" w:type="dxa"/>
            </w:tcMar>
          </w:tcPr>
          <w:p>
            <w:r>
              <w:t>0.196</w:t>
            </w:r>
          </w:p>
        </w:tc>
        <w:tc>
          <w:tcPr>
            <w:tcMar>
              <w:top w:w="60" w:type="dxa"/>
              <w:left w:w="100" w:type="dxa"/>
              <w:bottom w:w="60" w:type="dxa"/>
              <w:right w:w="100" w:type="dxa"/>
            </w:tcMar>
          </w:tcPr>
          <w:p>
            <w:r>
              <w:t>2.4×</w:t>
            </w:r>
          </w:p>
        </w:tc>
        <w:tc>
          <w:tcPr>
            <w:tcMar>
              <w:top w:w="60" w:type="dxa"/>
              <w:left w:w="100" w:type="dxa"/>
              <w:bottom w:w="60" w:type="dxa"/>
              <w:right w:w="100" w:type="dxa"/>
            </w:tcMar>
          </w:tcPr>
          <w:p>
            <w:r>
              <w:t>0.765</w:t>
            </w:r>
          </w:p>
        </w:tc>
        <w:tc>
          <w:tcPr>
            <w:tcMar>
              <w:top w:w="60" w:type="dxa"/>
              <w:left w:w="100" w:type="dxa"/>
              <w:bottom w:w="60" w:type="dxa"/>
              <w:right w:w="100" w:type="dxa"/>
            </w:tcMar>
          </w:tcPr>
          <w:p>
            <w:r>
              <w:t>0.018</w:t>
            </w:r>
          </w:p>
        </w:tc>
      </w:tr>
      <w:tr w:rsidR="0015244F">
        <w:tblPrEx>
          <w:tblCellMar>
            <w:top w:w="0" w:type="dxa"/>
            <w:bottom w:w="0" w:type="dxa"/>
          </w:tblCellMar>
        </w:tblPrEx>
        <w:trPr>
          <w:tblHeader/>
        </w:trPr>
        <w:tc>
          <w:tcPr>
            <w:tcMar>
              <w:top w:w="60" w:type="dxa"/>
              <w:left w:w="100" w:type="dxa"/>
              <w:bottom w:w="60" w:type="dxa"/>
              <w:right w:w="100" w:type="dxa"/>
            </w:tcMar>
          </w:tcPr>
          <w:p>
            <w:r>
              <w:t>12 Sept (urban loop)</w:t>
            </w:r>
          </w:p>
        </w:tc>
        <w:tc>
          <w:tcPr>
            <w:tcMar>
              <w:top w:w="60" w:type="dxa"/>
              <w:left w:w="100" w:type="dxa"/>
              <w:bottom w:w="60" w:type="dxa"/>
              <w:right w:w="100" w:type="dxa"/>
            </w:tcMar>
          </w:tcPr>
          <w:p>
            <w:r>
              <w:t>1,131</w:t>
            </w:r>
          </w:p>
        </w:tc>
        <w:tc>
          <w:tcPr>
            <w:tcMar>
              <w:top w:w="60" w:type="dxa"/>
              <w:left w:w="100" w:type="dxa"/>
              <w:bottom w:w="60" w:type="dxa"/>
              <w:right w:w="100" w:type="dxa"/>
            </w:tcMar>
          </w:tcPr>
          <w:p>
            <w:r>
              <w:t>8.0 %</w:t>
            </w:r>
          </w:p>
        </w:tc>
        <w:tc>
          <w:tcPr>
            <w:tcMar>
              <w:top w:w="60" w:type="dxa"/>
              <w:left w:w="100" w:type="dxa"/>
              <w:bottom w:w="60" w:type="dxa"/>
              <w:right w:w="100" w:type="dxa"/>
            </w:tcMar>
          </w:tcPr>
          <w:p>
            <w:r>
              <w:t>0.233</w:t>
            </w:r>
          </w:p>
        </w:tc>
        <w:tc>
          <w:tcPr>
            <w:tcMar>
              <w:top w:w="60" w:type="dxa"/>
              <w:left w:w="100" w:type="dxa"/>
              <w:bottom w:w="60" w:type="dxa"/>
              <w:right w:w="100" w:type="dxa"/>
            </w:tcMar>
          </w:tcPr>
          <w:p>
            <w:r>
              <w:t>2.9×</w:t>
            </w:r>
          </w:p>
        </w:tc>
        <w:tc>
          <w:tcPr>
            <w:tcMar>
              <w:top w:w="60" w:type="dxa"/>
              <w:left w:w="100" w:type="dxa"/>
              <w:bottom w:w="60" w:type="dxa"/>
              <w:right w:w="100" w:type="dxa"/>
            </w:tcMar>
          </w:tcPr>
          <w:p>
            <w:r>
              <w:t>0.805</w:t>
            </w:r>
          </w:p>
        </w:tc>
        <w:tc>
          <w:tcPr>
            <w:tcMar>
              <w:top w:w="60" w:type="dxa"/>
              <w:left w:w="100" w:type="dxa"/>
              <w:bottom w:w="60" w:type="dxa"/>
              <w:right w:w="100" w:type="dxa"/>
            </w:tcMar>
          </w:tcPr>
          <w:p>
            <w:r>
              <w:t>0.021</w:t>
            </w:r>
          </w:p>
        </w:tc>
      </w:tr>
      <w:tr w:rsidR="0015244F">
        <w:tblPrEx>
          <w:tblCellMar>
            <w:top w:w="0" w:type="dxa"/>
            <w:bottom w:w="0" w:type="dxa"/>
          </w:tblCellMar>
        </w:tblPrEx>
        <w:trPr>
          <w:tblHeader/>
        </w:trPr>
        <w:tc>
          <w:tcPr>
            <w:tcMar>
              <w:top w:w="60" w:type="dxa"/>
              <w:left w:w="100" w:type="dxa"/>
              <w:bottom w:w="60" w:type="dxa"/>
              <w:right w:w="100" w:type="dxa"/>
            </w:tcMar>
          </w:tcPr>
          <w:p>
            <w:r>
              <w:t>13 Sept (dense urban)</w:t>
            </w:r>
          </w:p>
        </w:tc>
        <w:tc>
          <w:tcPr>
            <w:tcMar>
              <w:top w:w="60" w:type="dxa"/>
              <w:left w:w="100" w:type="dxa"/>
              <w:bottom w:w="60" w:type="dxa"/>
              <w:right w:w="100" w:type="dxa"/>
            </w:tcMar>
          </w:tcPr>
          <w:p>
            <w:r>
              <w:t>3,072</w:t>
            </w:r>
          </w:p>
        </w:tc>
        <w:tc>
          <w:tcPr>
            <w:tcMar>
              <w:top w:w="60" w:type="dxa"/>
              <w:left w:w="100" w:type="dxa"/>
              <w:bottom w:w="60" w:type="dxa"/>
              <w:right w:w="100" w:type="dxa"/>
            </w:tcMar>
          </w:tcPr>
          <w:p>
            <w:r>
              <w:t>6.5 %</w:t>
            </w:r>
          </w:p>
        </w:tc>
        <w:tc>
          <w:tcPr>
            <w:tcMar>
              <w:top w:w="60" w:type="dxa"/>
              <w:left w:w="100" w:type="dxa"/>
              <w:bottom w:w="60" w:type="dxa"/>
              <w:right w:w="100" w:type="dxa"/>
            </w:tcMar>
          </w:tcPr>
          <w:p>
            <w:r>
              <w:t>0.203</w:t>
            </w:r>
          </w:p>
        </w:tc>
        <w:tc>
          <w:tcPr>
            <w:tcMar>
              <w:top w:w="60" w:type="dxa"/>
              <w:left w:w="100" w:type="dxa"/>
              <w:bottom w:w="60" w:type="dxa"/>
              <w:right w:w="100" w:type="dxa"/>
            </w:tcMar>
          </w:tcPr>
          <w:p>
            <w:r>
              <w:t>3.1×</w:t>
            </w:r>
          </w:p>
        </w:tc>
        <w:tc>
          <w:tcPr>
            <w:tcMar>
              <w:top w:w="60" w:type="dxa"/>
              <w:left w:w="100" w:type="dxa"/>
              <w:bottom w:w="60" w:type="dxa"/>
              <w:right w:w="100" w:type="dxa"/>
            </w:tcMar>
          </w:tcPr>
          <w:p>
            <w:r>
              <w:t>0.789</w:t>
            </w:r>
          </w:p>
        </w:tc>
        <w:tc>
          <w:tcPr>
            <w:tcMar>
              <w:top w:w="60" w:type="dxa"/>
              <w:left w:w="100" w:type="dxa"/>
              <w:bottom w:w="60" w:type="dxa"/>
              <w:right w:w="100" w:type="dxa"/>
            </w:tcMar>
          </w:tcPr>
          <w:p>
            <w:r>
              <w:t>0.012</w:t>
            </w:r>
          </w:p>
        </w:tc>
      </w:tr>
      <w:tr w:rsidR="0015244F">
        <w:tblPrEx>
          <w:tblCellMar>
            <w:top w:w="0" w:type="dxa"/>
            <w:bottom w:w="0" w:type="dxa"/>
          </w:tblCellMar>
        </w:tblPrEx>
        <w:trPr>
          <w:tblHeader/>
        </w:trPr>
        <w:tc>
          <w:tcPr>
            <w:tcMar>
              <w:top w:w="60" w:type="dxa"/>
              <w:left w:w="100" w:type="dxa"/>
              <w:bottom w:w="60" w:type="dxa"/>
              <w:right w:w="100" w:type="dxa"/>
            </w:tcMar>
          </w:tcPr>
          <w:p>
            <w:r>
              <w:t>15 Sept (highway)</w:t>
            </w:r>
          </w:p>
        </w:tc>
        <w:tc>
          <w:tcPr>
            <w:tcMar>
              <w:top w:w="60" w:type="dxa"/>
              <w:left w:w="100" w:type="dxa"/>
              <w:bottom w:w="60" w:type="dxa"/>
              <w:right w:w="100" w:type="dxa"/>
            </w:tcMar>
          </w:tcPr>
          <w:p>
            <w:r>
              <w:t>2,205</w:t>
            </w:r>
          </w:p>
        </w:tc>
        <w:tc>
          <w:tcPr>
            <w:tcMar>
              <w:top w:w="60" w:type="dxa"/>
              <w:left w:w="100" w:type="dxa"/>
              <w:bottom w:w="60" w:type="dxa"/>
              <w:right w:w="100" w:type="dxa"/>
            </w:tcMar>
          </w:tcPr>
          <w:p>
            <w:r>
              <w:t>5.1 %</w:t>
            </w:r>
          </w:p>
        </w:tc>
        <w:tc>
          <w:tcPr>
            <w:tcMar>
              <w:top w:w="60" w:type="dxa"/>
              <w:left w:w="100" w:type="dxa"/>
              <w:bottom w:w="60" w:type="dxa"/>
              <w:right w:w="100" w:type="dxa"/>
            </w:tcMar>
          </w:tcPr>
          <w:p>
            <w:r>
              <w:t>0.132</w:t>
            </w:r>
          </w:p>
        </w:tc>
        <w:tc>
          <w:tcPr>
            <w:tcMar>
              <w:top w:w="60" w:type="dxa"/>
              <w:left w:w="100" w:type="dxa"/>
              <w:bottom w:w="60" w:type="dxa"/>
              <w:right w:w="100" w:type="dxa"/>
            </w:tcMar>
          </w:tcPr>
          <w:p>
            <w:r>
              <w:t>2.6×</w:t>
            </w:r>
          </w:p>
        </w:tc>
        <w:tc>
          <w:tcPr>
            <w:tcMar>
              <w:top w:w="60" w:type="dxa"/>
              <w:left w:w="100" w:type="dxa"/>
              <w:bottom w:w="60" w:type="dxa"/>
              <w:right w:w="100" w:type="dxa"/>
            </w:tcMar>
          </w:tcPr>
          <w:p>
            <w:r>
              <w:t>0.769</w:t>
            </w:r>
          </w:p>
        </w:tc>
        <w:tc>
          <w:tcPr>
            <w:tcMar>
              <w:top w:w="60" w:type="dxa"/>
              <w:left w:w="100" w:type="dxa"/>
              <w:bottom w:w="60" w:type="dxa"/>
              <w:right w:w="100" w:type="dxa"/>
            </w:tcMar>
          </w:tcPr>
          <w:p>
            <w:r>
              <w:t>0.033</w:t>
            </w:r>
          </w:p>
        </w:tc>
      </w:tr>
      <w:tr w:rsidR="0015244F">
        <w:tblPrEx>
          <w:tblCellMar>
            <w:top w:w="0" w:type="dxa"/>
            <w:bottom w:w="0" w:type="dxa"/>
          </w:tblCellMar>
        </w:tblPrEx>
        <w:trPr>
          <w:tblHeader/>
        </w:trPr>
        <w:tc>
          <w:tcPr>
            <w:tcMar>
              <w:top w:w="60" w:type="dxa"/>
              <w:left w:w="100" w:type="dxa"/>
              <w:bottom w:w="60" w:type="dxa"/>
              <w:right w:w="100" w:type="dxa"/>
            </w:tcMar>
          </w:tcPr>
          <w:p>
            <w:r>
              <w:t>Pooled out of fold</w:t>
            </w:r>
          </w:p>
        </w:tc>
        <w:tc>
          <w:tcPr>
            <w:tcMar>
              <w:top w:w="60" w:type="dxa"/>
              <w:left w:w="100" w:type="dxa"/>
              <w:bottom w:w="60" w:type="dxa"/>
              <w:right w:w="100" w:type="dxa"/>
            </w:tcMar>
          </w:tcPr>
          <w:p>
            <w:r>
              <w:t>8,586</w:t>
            </w:r>
          </w:p>
        </w:tc>
        <w:tc>
          <w:tcPr>
            <w:tcMar>
              <w:top w:w="60" w:type="dxa"/>
              <w:left w:w="100" w:type="dxa"/>
              <w:bottom w:w="60" w:type="dxa"/>
              <w:right w:w="100" w:type="dxa"/>
            </w:tcMar>
          </w:tcPr>
          <w:p>
            <w:r>
              <w:t>6.8 %</w:t>
            </w:r>
          </w:p>
        </w:tc>
        <w:tc>
          <w:tcPr>
            <w:tcMar>
              <w:top w:w="60" w:type="dxa"/>
              <w:left w:w="100" w:type="dxa"/>
              <w:bottom w:w="60" w:type="dxa"/>
              <w:right w:w="100" w:type="dxa"/>
            </w:tcMar>
          </w:tcPr>
          <w:p>
            <w:r>
              <w:t>0.179</w:t>
            </w:r>
          </w:p>
        </w:tc>
        <w:tc>
          <w:tcPr>
            <w:tcMar>
              <w:top w:w="60" w:type="dxa"/>
              <w:left w:w="100" w:type="dxa"/>
              <w:bottom w:w="60" w:type="dxa"/>
              <w:right w:w="100" w:type="dxa"/>
            </w:tcMar>
          </w:tcPr>
          <w:p>
            <w:r>
              <w:t>2.6×</w:t>
            </w:r>
          </w:p>
        </w:tc>
        <w:tc>
          <w:tcPr>
            <w:tcMar>
              <w:top w:w="60" w:type="dxa"/>
              <w:left w:w="100" w:type="dxa"/>
              <w:bottom w:w="60" w:type="dxa"/>
              <w:right w:w="100" w:type="dxa"/>
            </w:tcMar>
          </w:tcPr>
          <w:p>
            <w:r>
              <w:t>0.777</w:t>
            </w:r>
          </w:p>
        </w:tc>
        <w:tc>
          <w:tcPr>
            <w:tcMar>
              <w:top w:w="60" w:type="dxa"/>
              <w:left w:w="100" w:type="dxa"/>
              <w:bottom w:w="60" w:type="dxa"/>
              <w:right w:w="100" w:type="dxa"/>
            </w:tcMar>
          </w:tcPr>
          <w:p>
            <w:r>
              <w:t>0.012</w:t>
            </w:r>
          </w:p>
        </w:tc>
      </w:tr>
    </w:tbl>
    <w:p w:rsidR="0015244F" w:rsidRDefault="0015244F">
      <w:pPr>
        <w:spacing w:after="120" w:line="240" w:lineRule="auto"/>
      </w:pPr>
    </w:p>
    <w:p w:rsidR="0015244F" w:rsidRDefault="00A565B8">
      <w:pPr>
        <w:ind w:firstLine="567"/>
        <w:jc w:val="both"/>
      </w:pPr>
      <w:r>
        <w:t>The spread across campaigns is the useful quantity. At one second the AUPRC lift runs from 2.4x to 3.1x across the four held-out campaigns, and AUROC from 0.765 to 0.805. The weakest campaign is 15 Sept (highway), and the highway campaign — the one that differs in both corridor and speed regime — reaches AUROC 0.769. No campaign carries the pooled result, and none of them is close to the figure this work reported before the alignment audit.</w:t>
      </w:r>
      <w:r/>
    </w:p>
    <w:p w:rsidR="0015244F" w:rsidRDefault="00A565B8">
      <w:pPr>
        <w:ind w:firstLine="567"/>
        <w:jc w:val="both"/>
      </w:pPr>
      <w:r>
        <w:t>The honest reading of the spread is that a fifth campaign could plausibly land anywhere inside it, and that four units are too few to say more than that. That is a statement about the size of the study, not about the method.</w:t>
      </w:r>
      <w:r/>
      <w:r>
        <w:rPr>
          <w:b/>
          <w:bCs/>
        </w:rPr>
      </w:r>
      <w:r>
        <w:rPr>
          <w:b/>
          <w:bCs/>
        </w:rPr>
      </w:r>
      <w:r/>
      <w:r/>
    </w:p>
    <w:p w:rsidR="0015244F" w:rsidRDefault="00A565B8">
      <w:pPr>
        <w:keepNext/>
        <w:spacing w:before="240" w:after="120" w:line="240" w:lineRule="auto"/>
        <w:jc w:val="center"/>
      </w:pPr>
      <w:r>
        <w:rPr>
          <w:noProof/>
        </w:rPr>
        <w:drawing>
          <wp:inline distT="0" distB="0" distL="0" distR="0">
            <wp:extent cx="5762625" cy="25047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2504714"/>
                    </a:xfrm>
                    <a:prstGeom prst="rect">
                      <a:avLst/>
                    </a:prstGeom>
                  </pic:spPr>
                </pic:pic>
              </a:graphicData>
            </a:graphic>
          </wp:inline>
        </w:drawing>
      </w:r>
    </w:p>
    <w:p w:rsidR="0015244F" w:rsidRDefault="00A565B8">
      <w:pPr>
        <w:pStyle w:val="FigureCaption"/>
        <w:spacing w:after="240" w:line="240" w:lineRule="auto"/>
        <w:jc w:val="center"/>
      </w:pPr>
      <w:r>
        <w:t>Figure 5.10 Leave-one-campaign-out on four metrics. Each bar holds one campaign out entirely and trains on the other three; the dashed line is the pooled out-of-fold value. The highway campaign is in red.</w:t>
      </w:r>
      <w:r/>
    </w:p>
    <w:p w:rsidR="0015244F" w:rsidRDefault="00A565B8">
      <w:pPr>
        <w:pStyle w:val="Heading2"/>
        <w:spacing w:before="360" w:after="140"/>
      </w:pPr>
      <w:r>
        <w:t>5.7 An independent collection on the same network</w:t>
      </w:r>
    </w:p>
    <w:p w:rsidR="0015244F" w:rsidRDefault="00A565B8">
      <w:pPr>
        <w:ind w:firstLine="567"/>
        <w:jc w:val="both"/>
      </w:pPr>
      <w:r>
        <w:t>The second generalisation experiment uses a publicly released LTE drive-test dataset [38]. Its provenance is stated exactly, because an earlier draft of this work described it as a different network: it was collected by a different group of people on a different route two years earlier, using the same operator, the same city and the same XCAL licence, in the same department of the same institution. It is an independent collection on the same network, and it tests collection, route and time — not operator, and not radio access technology.</w:t>
      </w:r>
      <w:proofErr w:type="spellStart"/>
      <w:r/>
      <w:proofErr w:type="spellEnd"/>
      <w:r/>
      <w:r/>
    </w:p>
    <w:p w:rsidR="0015244F" w:rsidRDefault="00A565B8">
      <w:pPr>
        <w:pStyle w:val="TableCaption"/>
        <w:spacing w:before="240" w:after="120" w:line="240" w:lineRule="auto"/>
        <w:jc w:val="center"/>
      </w:pPr>
      <w:r>
        <w:t>Because the public dataset publishes measurement-report exports rather than a periodic radio export, both domains are rebuilt here from the L3 signalling alone, on the same feature construction, so that the comparison varies the dataset and nothing else. That construction also sidesteps the alignment problem of Section 5.1 by using millisecond report timestamps directly. Table 5.9 reports the four directions with bootstrap intervals over runs.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Setting</w:t>
            </w:r>
          </w:p>
        </w:tc>
        <w:tc>
          <w:tcPr>
            <w:tcMar>
              <w:top w:w="60" w:type="dxa"/>
              <w:left w:w="100" w:type="dxa"/>
              <w:bottom w:w="60" w:type="dxa"/>
              <w:right w:w="100" w:type="dxa"/>
            </w:tcMar>
          </w:tcPr>
          <w:p>
            <w:r>
              <w:t>Rows</w:t>
            </w:r>
          </w:p>
        </w:tc>
        <w:tc>
          <w:tcPr>
            <w:tcMar>
              <w:top w:w="60" w:type="dxa"/>
              <w:left w:w="100" w:type="dxa"/>
              <w:bottom w:w="60" w:type="dxa"/>
              <w:right w:w="100" w:type="dxa"/>
            </w:tcMar>
          </w:tcPr>
          <w:p>
            <w:r>
              <w:t>Prevalence</w:t>
            </w:r>
          </w:p>
        </w:tc>
        <w:tc>
          <w:tcPr>
            <w:tcMar>
              <w:top w:w="60" w:type="dxa"/>
              <w:left w:w="100" w:type="dxa"/>
              <w:bottom w:w="60" w:type="dxa"/>
              <w:right w:w="100" w:type="dxa"/>
            </w:tcMar>
          </w:tcPr>
          <w:p>
            <w:r>
              <w:t>AUROC [95 % CI]</w:t>
            </w:r>
          </w:p>
        </w:tc>
        <w:tc>
          <w:tcPr>
            <w:tcMar>
              <w:top w:w="60" w:type="dxa"/>
              <w:left w:w="100" w:type="dxa"/>
              <w:bottom w:w="60" w:type="dxa"/>
              <w:right w:w="100" w:type="dxa"/>
            </w:tcMar>
          </w:tcPr>
          <w:p>
            <w:r>
              <w:t>AUPRC</w:t>
            </w:r>
          </w:p>
        </w:tc>
        <w:tc>
          <w:tcPr>
            <w:tcMar>
              <w:top w:w="60" w:type="dxa"/>
              <w:left w:w="100" w:type="dxa"/>
              <w:bottom w:w="60" w:type="dxa"/>
              <w:right w:w="100" w:type="dxa"/>
            </w:tcMar>
          </w:tcPr>
          <w:p>
            <w:r>
              <w:t>Lift</w:t>
            </w:r>
          </w:p>
        </w:tc>
      </w:tr>
      <w:tr w:rsidR="0015244F">
        <w:tblPrEx>
          <w:tblCellMar>
            <w:top w:w="0" w:type="dxa"/>
            <w:bottom w:w="0" w:type="dxa"/>
          </w:tblCellMar>
        </w:tblPrEx>
        <w:trPr>
          <w:tblHeader/>
        </w:trPr>
        <w:tc>
          <w:tcPr>
            <w:tcMar>
              <w:top w:w="60" w:type="dxa"/>
              <w:left w:w="100" w:type="dxa"/>
              <w:bottom w:w="60" w:type="dxa"/>
              <w:right w:w="100" w:type="dxa"/>
            </w:tcMar>
          </w:tcPr>
          <w:p>
            <w:r>
              <w:t>ours, leave-one-capture-out</w:t>
            </w:r>
          </w:p>
        </w:tc>
        <w:tc>
          <w:tcPr>
            <w:tcMar>
              <w:top w:w="60" w:type="dxa"/>
              <w:left w:w="100" w:type="dxa"/>
              <w:bottom w:w="60" w:type="dxa"/>
              <w:right w:w="100" w:type="dxa"/>
            </w:tcMar>
          </w:tcPr>
          <w:p>
            <w:r>
              <w:t>7,284</w:t>
            </w:r>
          </w:p>
        </w:tc>
        <w:tc>
          <w:tcPr>
            <w:tcMar>
              <w:top w:w="60" w:type="dxa"/>
              <w:left w:w="100" w:type="dxa"/>
              <w:bottom w:w="60" w:type="dxa"/>
              <w:right w:w="100" w:type="dxa"/>
            </w:tcMar>
          </w:tcPr>
          <w:p>
            <w:r>
              <w:t>7.9 %</w:t>
            </w:r>
          </w:p>
        </w:tc>
        <w:tc>
          <w:tcPr>
            <w:tcMar>
              <w:top w:w="60" w:type="dxa"/>
              <w:left w:w="100" w:type="dxa"/>
              <w:bottom w:w="60" w:type="dxa"/>
              <w:right w:w="100" w:type="dxa"/>
            </w:tcMar>
          </w:tcPr>
          <w:p>
            <w:r>
              <w:t>0.730 [0.711, 0.754]</w:t>
            </w:r>
          </w:p>
        </w:tc>
        <w:tc>
          <w:tcPr>
            <w:tcMar>
              <w:top w:w="60" w:type="dxa"/>
              <w:left w:w="100" w:type="dxa"/>
              <w:bottom w:w="60" w:type="dxa"/>
              <w:right w:w="100" w:type="dxa"/>
            </w:tcMar>
          </w:tcPr>
          <w:p>
            <w:r>
              <w:t>0.183</w:t>
            </w:r>
          </w:p>
        </w:tc>
        <w:tc>
          <w:tcPr>
            <w:tcMar>
              <w:top w:w="60" w:type="dxa"/>
              <w:left w:w="100" w:type="dxa"/>
              <w:bottom w:w="60" w:type="dxa"/>
              <w:right w:w="100" w:type="dxa"/>
            </w:tcMar>
          </w:tcPr>
          <w:p>
            <w:r>
              <w:t>2.3×</w:t>
            </w:r>
          </w:p>
        </w:tc>
      </w:tr>
      <w:tr w:rsidR="0015244F">
        <w:tblPrEx>
          <w:tblCellMar>
            <w:top w:w="0" w:type="dxa"/>
            <w:bottom w:w="0" w:type="dxa"/>
          </w:tblCellMar>
        </w:tblPrEx>
        <w:trPr>
          <w:tblHeader/>
        </w:trPr>
        <w:tc>
          <w:tcPr>
            <w:tcMar>
              <w:top w:w="60" w:type="dxa"/>
              <w:left w:w="100" w:type="dxa"/>
              <w:bottom w:w="60" w:type="dxa"/>
              <w:right w:w="100" w:type="dxa"/>
            </w:tcMar>
          </w:tcPr>
          <w:p>
            <w:r>
              <w:t>public, leave-one-file-out</w:t>
            </w:r>
          </w:p>
        </w:tc>
        <w:tc>
          <w:tcPr>
            <w:tcMar>
              <w:top w:w="60" w:type="dxa"/>
              <w:left w:w="100" w:type="dxa"/>
              <w:bottom w:w="60" w:type="dxa"/>
              <w:right w:w="100" w:type="dxa"/>
            </w:tcMar>
          </w:tcPr>
          <w:p>
            <w:r>
              <w:t>1,455</w:t>
            </w:r>
          </w:p>
        </w:tc>
        <w:tc>
          <w:tcPr>
            <w:tcMar>
              <w:top w:w="60" w:type="dxa"/>
              <w:left w:w="100" w:type="dxa"/>
              <w:bottom w:w="60" w:type="dxa"/>
              <w:right w:w="100" w:type="dxa"/>
            </w:tcMar>
          </w:tcPr>
          <w:p>
            <w:r>
              <w:t>6.3 %</w:t>
            </w:r>
          </w:p>
        </w:tc>
        <w:tc>
          <w:tcPr>
            <w:tcMar>
              <w:top w:w="60" w:type="dxa"/>
              <w:left w:w="100" w:type="dxa"/>
              <w:bottom w:w="60" w:type="dxa"/>
              <w:right w:w="100" w:type="dxa"/>
            </w:tcMar>
          </w:tcPr>
          <w:p>
            <w:r>
              <w:t>0.711 [0.653, 0.767]</w:t>
            </w:r>
          </w:p>
        </w:tc>
        <w:tc>
          <w:tcPr>
            <w:tcMar>
              <w:top w:w="60" w:type="dxa"/>
              <w:left w:w="100" w:type="dxa"/>
              <w:bottom w:w="60" w:type="dxa"/>
              <w:right w:w="100" w:type="dxa"/>
            </w:tcMar>
          </w:tcPr>
          <w:p>
            <w:r>
              <w:t>0.148</w:t>
            </w:r>
          </w:p>
        </w:tc>
        <w:tc>
          <w:tcPr>
            <w:tcMar>
              <w:top w:w="60" w:type="dxa"/>
              <w:left w:w="100" w:type="dxa"/>
              <w:bottom w:w="60" w:type="dxa"/>
              <w:right w:w="100" w:type="dxa"/>
            </w:tcMar>
          </w:tcPr>
          <w:p>
            <w:r>
              <w:t>2.3×</w:t>
            </w:r>
          </w:p>
        </w:tc>
      </w:tr>
      <w:tr w:rsidR="0015244F">
        <w:tblPrEx>
          <w:tblCellMar>
            <w:top w:w="0" w:type="dxa"/>
            <w:bottom w:w="0" w:type="dxa"/>
          </w:tblCellMar>
        </w:tblPrEx>
        <w:trPr>
          <w:tblHeader/>
        </w:trPr>
        <w:tc>
          <w:tcPr>
            <w:tcMar>
              <w:top w:w="60" w:type="dxa"/>
              <w:left w:w="100" w:type="dxa"/>
              <w:bottom w:w="60" w:type="dxa"/>
              <w:right w:w="100" w:type="dxa"/>
            </w:tcMar>
          </w:tcPr>
          <w:p>
            <w:r>
              <w:t>ours -&gt; public (no refit)</w:t>
            </w:r>
          </w:p>
        </w:tc>
        <w:tc>
          <w:tcPr>
            <w:tcMar>
              <w:top w:w="60" w:type="dxa"/>
              <w:left w:w="100" w:type="dxa"/>
              <w:bottom w:w="60" w:type="dxa"/>
              <w:right w:w="100" w:type="dxa"/>
            </w:tcMar>
          </w:tcPr>
          <w:p>
            <w:r>
              <w:t>1,455</w:t>
            </w:r>
          </w:p>
        </w:tc>
        <w:tc>
          <w:tcPr>
            <w:tcMar>
              <w:top w:w="60" w:type="dxa"/>
              <w:left w:w="100" w:type="dxa"/>
              <w:bottom w:w="60" w:type="dxa"/>
              <w:right w:w="100" w:type="dxa"/>
            </w:tcMar>
          </w:tcPr>
          <w:p>
            <w:r>
              <w:t>6.3 %</w:t>
            </w:r>
          </w:p>
        </w:tc>
        <w:tc>
          <w:tcPr>
            <w:tcMar>
              <w:top w:w="60" w:type="dxa"/>
              <w:left w:w="100" w:type="dxa"/>
              <w:bottom w:w="60" w:type="dxa"/>
              <w:right w:w="100" w:type="dxa"/>
            </w:tcMar>
          </w:tcPr>
          <w:p>
            <w:r>
              <w:t>0.760 [0.709, 0.813]</w:t>
            </w:r>
          </w:p>
        </w:tc>
        <w:tc>
          <w:tcPr>
            <w:tcMar>
              <w:top w:w="60" w:type="dxa"/>
              <w:left w:w="100" w:type="dxa"/>
              <w:bottom w:w="60" w:type="dxa"/>
              <w:right w:w="100" w:type="dxa"/>
            </w:tcMar>
          </w:tcPr>
          <w:p>
            <w:r>
              <w:t>0.212</w:t>
            </w:r>
          </w:p>
        </w:tc>
        <w:tc>
          <w:tcPr>
            <w:tcMar>
              <w:top w:w="60" w:type="dxa"/>
              <w:left w:w="100" w:type="dxa"/>
              <w:bottom w:w="60" w:type="dxa"/>
              <w:right w:w="100" w:type="dxa"/>
            </w:tcMar>
          </w:tcPr>
          <w:p>
            <w:r>
              <w:t>3.3×</w:t>
            </w:r>
          </w:p>
        </w:tc>
      </w:tr>
      <w:tr w:rsidR="0015244F">
        <w:tblPrEx>
          <w:tblCellMar>
            <w:top w:w="0" w:type="dxa"/>
            <w:bottom w:w="0" w:type="dxa"/>
          </w:tblCellMar>
        </w:tblPrEx>
        <w:trPr>
          <w:tblHeader/>
        </w:trPr>
        <w:tc>
          <w:tcPr>
            <w:tcMar>
              <w:top w:w="60" w:type="dxa"/>
              <w:left w:w="100" w:type="dxa"/>
              <w:bottom w:w="60" w:type="dxa"/>
              <w:right w:w="100" w:type="dxa"/>
            </w:tcMar>
          </w:tcPr>
          <w:p>
            <w:r>
              <w:t>public -&gt; ours (no refit)</w:t>
            </w:r>
          </w:p>
        </w:tc>
        <w:tc>
          <w:tcPr>
            <w:tcMar>
              <w:top w:w="60" w:type="dxa"/>
              <w:left w:w="100" w:type="dxa"/>
              <w:bottom w:w="60" w:type="dxa"/>
              <w:right w:w="100" w:type="dxa"/>
            </w:tcMar>
          </w:tcPr>
          <w:p>
            <w:r>
              <w:t>7,284</w:t>
            </w:r>
          </w:p>
        </w:tc>
        <w:tc>
          <w:tcPr>
            <w:tcMar>
              <w:top w:w="60" w:type="dxa"/>
              <w:left w:w="100" w:type="dxa"/>
              <w:bottom w:w="60" w:type="dxa"/>
              <w:right w:w="100" w:type="dxa"/>
            </w:tcMar>
          </w:tcPr>
          <w:p>
            <w:r>
              <w:t>7.9 %</w:t>
            </w:r>
          </w:p>
        </w:tc>
        <w:tc>
          <w:tcPr>
            <w:tcMar>
              <w:top w:w="60" w:type="dxa"/>
              <w:left w:w="100" w:type="dxa"/>
              <w:bottom w:w="60" w:type="dxa"/>
              <w:right w:w="100" w:type="dxa"/>
            </w:tcMar>
          </w:tcPr>
          <w:p>
            <w:r>
              <w:t>0.679 [0.624, 0.724]</w:t>
            </w:r>
          </w:p>
        </w:tc>
        <w:tc>
          <w:tcPr>
            <w:tcMar>
              <w:top w:w="60" w:type="dxa"/>
              <w:left w:w="100" w:type="dxa"/>
              <w:bottom w:w="60" w:type="dxa"/>
              <w:right w:w="100" w:type="dxa"/>
            </w:tcMar>
          </w:tcPr>
          <w:p>
            <w:r>
              <w:t>0.149</w:t>
            </w:r>
          </w:p>
        </w:tc>
        <w:tc>
          <w:tcPr>
            <w:tcMar>
              <w:top w:w="60" w:type="dxa"/>
              <w:left w:w="100" w:type="dxa"/>
              <w:bottom w:w="60" w:type="dxa"/>
              <w:right w:w="100" w:type="dxa"/>
            </w:tcMar>
          </w:tcPr>
          <w:p>
            <w:r>
              <w:t>1.9×</w:t>
            </w:r>
          </w:p>
        </w:tc>
      </w:tr>
    </w:tbl>
    <w:p w:rsidR="0015244F" w:rsidRDefault="0015244F">
      <w:pPr>
        <w:spacing w:after="120" w:line="240" w:lineRule="auto"/>
      </w:pPr>
    </w:p>
    <w:p w:rsidR="0015244F" w:rsidRDefault="00A565B8">
      <w:pPr>
        <w:ind w:firstLine="567"/>
        <w:jc w:val="both"/>
      </w:pPr>
      <w:r>
        <w:t>The transferred model reaches AUROC 0.760 on the public data without refitting, against 0.711 for a model trained on that dataset itself and 0.730 for our own leave-one-capture-out result on the same signalling-only feature set. The intervals overlap. The reading is that the formulation and the feature construction transfer to another collection on this network, which is a weaker and more defensible claim than the one made in the earlier draft.</w:t>
      </w:r>
      <w:r/>
      <w:r>
        <w:rPr>
          <w:b/>
          <w:bCs/>
        </w:rPr>
      </w:r>
      <w:r/>
      <w:r/>
    </w:p>
    <w:p w:rsidR="0015244F" w:rsidRDefault="00A565B8">
      <w:pPr>
        <w:keepNext/>
        <w:spacing w:before="240" w:after="120" w:line="240" w:lineRule="auto"/>
        <w:jc w:val="center"/>
      </w:pPr>
      <w:r>
        <w:rPr>
          <w:noProof/>
        </w:rPr>
        <w:drawing>
          <wp:inline distT="0" distB="0" distL="0" distR="0">
            <wp:extent cx="5762625" cy="213064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2625" cy="2130649"/>
                    </a:xfrm>
                    <a:prstGeom prst="rect">
                      <a:avLst/>
                    </a:prstGeom>
                  </pic:spPr>
                </pic:pic>
              </a:graphicData>
            </a:graphic>
          </wp:inline>
        </w:drawing>
      </w:r>
    </w:p>
    <w:p w:rsidR="0015244F" w:rsidRDefault="00A565B8">
      <w:pPr>
        <w:pStyle w:val="FigureCaption"/>
        <w:spacing w:after="240" w:line="240" w:lineRule="auto"/>
        <w:jc w:val="center"/>
      </w:pPr>
      <w:r>
        <w:t>Figure 5.11 Transfer to an independently collected dataset on the same network, with both domains built from L3 signalling alone. Bars are 95 % bootstrap intervals over runs.</w:t>
      </w:r>
      <w:r/>
      <w:r/>
    </w:p>
    <w:p w:rsidR="0015244F" w:rsidRDefault="00A565B8">
      <w:pPr>
        <w:pStyle w:val="Heading2"/>
        <w:spacing w:before="360" w:after="140"/>
      </w:pPr>
      <w:r>
        <w:t>5.8 What the model uses, and where it works</w:t>
      </w:r>
      <w:r/>
    </w:p>
    <w:p w:rsidR="0015244F" w:rsidRDefault="00A565B8">
      <w:pPr>
        <w:ind w:firstLine="567"/>
        <w:jc w:val="both"/>
      </w:pPr>
      <w:r>
        <w:t>Objective O5 asks for the mechanism rather than the score. With the alignment corrected, the answer is less dramatic than the earlier draft claimed and more useful.</w:t>
      </w:r>
    </w:p>
    <w:p w:rsidR="0015244F" w:rsidRDefault="00A565B8">
      <w:pPr>
        <w:ind w:firstLine="567"/>
        <w:jc w:val="both"/>
      </w:pPr>
      <w:r>
        <w:t>Table 5.10 reports the strongest single features, each evaluated alone at the one-second horizon on the lagged export.</w:t>
      </w:r>
    </w:p>
    <w:p w:rsidR="0015244F" w:rsidRDefault="00A565B8">
      <w:pPr>
        <w:pStyle w:val="TableCaption"/>
        <w:spacing w:before="240" w:after="120" w:line="240" w:lineRule="auto"/>
        <w:jc w:val="center"/>
      </w:pPr>
      <w:r>
        <w:t>Table 5.10 Single-feature AUROC at the one-second horizon on the lagged export.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Feature (lagged one row)</w:t>
            </w:r>
          </w:p>
        </w:tc>
        <w:tc>
          <w:tcPr>
            <w:tcMar>
              <w:top w:w="60" w:type="dxa"/>
              <w:left w:w="100" w:type="dxa"/>
              <w:bottom w:w="60" w:type="dxa"/>
              <w:right w:w="100" w:type="dxa"/>
            </w:tcMar>
          </w:tcPr>
          <w:p>
            <w:r>
              <w:t>AUROC alone at 1 s</w:t>
            </w:r>
          </w:p>
        </w:tc>
        <w:tc>
          <w:tcPr>
            <w:tcMar>
              <w:top w:w="60" w:type="dxa"/>
              <w:left w:w="100" w:type="dxa"/>
              <w:bottom w:w="60" w:type="dxa"/>
              <w:right w:w="100" w:type="dxa"/>
            </w:tcMar>
          </w:tcPr>
          <w:p>
            <w:r>
              <w:t>Direction</w:t>
            </w:r>
          </w:p>
        </w:tc>
      </w:tr>
      <w:tr w:rsidR="0015244F">
        <w:tblPrEx>
          <w:tblCellMar>
            <w:top w:w="0" w:type="dxa"/>
            <w:bottom w:w="0" w:type="dxa"/>
          </w:tblCellMar>
        </w:tblPrEx>
        <w:trPr>
          <w:tblHeader/>
        </w:trPr>
        <w:tc>
          <w:tcPr>
            <w:tcMar>
              <w:top w:w="60" w:type="dxa"/>
              <w:left w:w="100" w:type="dxa"/>
              <w:bottom w:w="60" w:type="dxa"/>
              <w:right w:w="100" w:type="dxa"/>
            </w:tcMar>
          </w:tcPr>
          <w:p>
            <w:r>
              <w:t>sig_s_since_a3</w:t>
            </w:r>
          </w:p>
        </w:tc>
        <w:tc>
          <w:tcPr>
            <w:tcMar>
              <w:top w:w="60" w:type="dxa"/>
              <w:left w:w="100" w:type="dxa"/>
              <w:bottom w:w="60" w:type="dxa"/>
              <w:right w:w="100" w:type="dxa"/>
            </w:tcMar>
          </w:tcPr>
          <w:p>
            <w:r>
              <w:t>0.723</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serving_sinr</w:t>
            </w:r>
          </w:p>
        </w:tc>
        <w:tc>
          <w:tcPr>
            <w:tcMar>
              <w:top w:w="60" w:type="dxa"/>
              <w:left w:w="100" w:type="dxa"/>
              <w:bottom w:w="60" w:type="dxa"/>
              <w:right w:w="100" w:type="dxa"/>
            </w:tcMar>
          </w:tcPr>
          <w:p>
            <w:r>
              <w:t>0.723</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sig_a3_prev5s</w:t>
            </w:r>
          </w:p>
        </w:tc>
        <w:tc>
          <w:tcPr>
            <w:tcMar>
              <w:top w:w="60" w:type="dxa"/>
              <w:left w:w="100" w:type="dxa"/>
              <w:bottom w:w="60" w:type="dxa"/>
              <w:right w:w="100" w:type="dxa"/>
            </w:tcMar>
          </w:tcPr>
          <w:p>
            <w:r>
              <w:t>0.704</w:t>
            </w:r>
          </w:p>
        </w:tc>
        <w:tc>
          <w:tcPr>
            <w:tcMar>
              <w:top w:w="60" w:type="dxa"/>
              <w:left w:w="100" w:type="dxa"/>
              <w:bottom w:w="60" w:type="dxa"/>
              <w:right w:w="100" w:type="dxa"/>
            </w:tcMar>
          </w:tcPr>
          <w:p>
            <w:r>
              <w:t>higher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sig_a3_prev2s</w:t>
            </w:r>
          </w:p>
        </w:tc>
        <w:tc>
          <w:tcPr>
            <w:tcMar>
              <w:top w:w="60" w:type="dxa"/>
              <w:left w:w="100" w:type="dxa"/>
              <w:bottom w:w="60" w:type="dxa"/>
              <w:right w:w="100" w:type="dxa"/>
            </w:tcMar>
          </w:tcPr>
          <w:p>
            <w:r>
              <w:t>0.696</w:t>
            </w:r>
          </w:p>
        </w:tc>
        <w:tc>
          <w:tcPr>
            <w:tcMar>
              <w:top w:w="60" w:type="dxa"/>
              <w:left w:w="100" w:type="dxa"/>
              <w:bottom w:w="60" w:type="dxa"/>
              <w:right w:w="100" w:type="dxa"/>
            </w:tcMar>
          </w:tcPr>
          <w:p>
            <w:r>
              <w:t>higher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serving_sinr_mean3</w:t>
            </w:r>
          </w:p>
        </w:tc>
        <w:tc>
          <w:tcPr>
            <w:tcMar>
              <w:top w:w="60" w:type="dxa"/>
              <w:left w:w="100" w:type="dxa"/>
              <w:bottom w:w="60" w:type="dxa"/>
              <w:right w:w="100" w:type="dxa"/>
            </w:tcMar>
          </w:tcPr>
          <w:p>
            <w:r>
              <w:t>0.696</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serving_sinr_mean5</w:t>
            </w:r>
          </w:p>
        </w:tc>
        <w:tc>
          <w:tcPr>
            <w:tcMar>
              <w:top w:w="60" w:type="dxa"/>
              <w:left w:w="100" w:type="dxa"/>
              <w:bottom w:w="60" w:type="dxa"/>
              <w:right w:w="100" w:type="dxa"/>
            </w:tcMar>
          </w:tcPr>
          <w:p>
            <w:r>
              <w:t>0.683</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t_since_prev_ho_s</w:t>
            </w:r>
          </w:p>
        </w:tc>
        <w:tc>
          <w:tcPr>
            <w:tcMar>
              <w:top w:w="60" w:type="dxa"/>
              <w:left w:w="100" w:type="dxa"/>
              <w:bottom w:w="60" w:type="dxa"/>
              <w:right w:w="100" w:type="dxa"/>
            </w:tcMar>
          </w:tcPr>
          <w:p>
            <w:r>
              <w:t>0.664</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gap_serving_best_nbr</w:t>
            </w:r>
          </w:p>
        </w:tc>
        <w:tc>
          <w:tcPr>
            <w:tcMar>
              <w:top w:w="60" w:type="dxa"/>
              <w:left w:w="100" w:type="dxa"/>
              <w:bottom w:w="60" w:type="dxa"/>
              <w:right w:w="100" w:type="dxa"/>
            </w:tcMar>
          </w:tcPr>
          <w:p>
            <w:r>
              <w:t>0.618</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speed_kmh</w:t>
            </w:r>
          </w:p>
        </w:tc>
        <w:tc>
          <w:tcPr>
            <w:tcMar>
              <w:top w:w="60" w:type="dxa"/>
              <w:left w:w="100" w:type="dxa"/>
              <w:bottom w:w="60" w:type="dxa"/>
              <w:right w:w="100" w:type="dxa"/>
            </w:tcMar>
          </w:tcPr>
          <w:p>
            <w:r>
              <w:t>0.584</w:t>
            </w:r>
          </w:p>
        </w:tc>
        <w:tc>
          <w:tcPr>
            <w:tcMar>
              <w:top w:w="60" w:type="dxa"/>
              <w:left w:w="100" w:type="dxa"/>
              <w:bottom w:w="60" w:type="dxa"/>
              <w:right w:w="100" w:type="dxa"/>
            </w:tcMar>
          </w:tcPr>
          <w:p>
            <w:r>
              <w:t>higher -&gt; more likely</w:t>
            </w:r>
          </w:p>
        </w:tc>
      </w:tr>
      <w:tr w:rsidR="0015244F">
        <w:tblPrEx>
          <w:tblCellMar>
            <w:top w:w="0" w:type="dxa"/>
            <w:bottom w:w="0" w:type="dxa"/>
          </w:tblCellMar>
        </w:tblPrEx>
        <w:trPr>
          <w:tblHeader/>
        </w:trPr>
        <w:tc>
          <w:tcPr>
            <w:tcMar>
              <w:top w:w="60" w:type="dxa"/>
              <w:left w:w="100" w:type="dxa"/>
              <w:bottom w:w="60" w:type="dxa"/>
              <w:right w:w="100" w:type="dxa"/>
            </w:tcMar>
          </w:tcPr>
          <w:p>
            <w:r>
              <w:t>Full model, same rows</w:t>
            </w:r>
          </w:p>
        </w:tc>
        <w:tc>
          <w:tcPr>
            <w:tcMar>
              <w:top w:w="60" w:type="dxa"/>
              <w:left w:w="100" w:type="dxa"/>
              <w:bottom w:w="60" w:type="dxa"/>
              <w:right w:w="100" w:type="dxa"/>
            </w:tcMar>
          </w:tcPr>
          <w:p>
            <w:r>
              <w:t>0.777</w:t>
            </w:r>
          </w:p>
        </w:tc>
        <w:tc>
          <w:tcPr>
            <w:tcMar>
              <w:top w:w="60" w:type="dxa"/>
              <w:left w:w="100" w:type="dxa"/>
              <w:bottom w:w="60" w:type="dxa"/>
              <w:right w:w="100" w:type="dxa"/>
            </w:tcMar>
          </w:tcPr>
          <w:p>
            <w:r/>
          </w:p>
        </w:tc>
      </w:tr>
    </w:tbl>
    <w:p w:rsidR="0015244F" w:rsidRDefault="00A565B8">
      <w:pPr>
        <w:pStyle w:val="TableCaption"/>
        <w:spacing w:before="240" w:after="120" w:line="240" w:lineRule="auto"/>
        <w:jc w:val="center"/>
      </w:pPr>
      <w:r>
        <w:t>Table 5.11 Performance inside and outside handover bursts.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gridCol/>
        <w:gridCol/>
      </w:tblGrid>
      <w:tr>
        <w:tc>
          <w:tcPr/>
          <w:p>
            <w:r>
              <w:t>Stratum</w:t>
            </w:r>
          </w:p>
        </w:tc>
        <w:tc>
          <w:tcPr/>
          <w:p>
            <w:r>
              <w:t>Learner</w:t>
            </w:r>
          </w:p>
        </w:tc>
        <w:tc>
          <w:tcPr/>
          <w:p>
            <w:r>
              <w:t>Rows</w:t>
            </w:r>
          </w:p>
        </w:tc>
        <w:tc>
          <w:tcPr/>
          <w:p>
            <w:r>
              <w:t>Prevalence 1 s</w:t>
            </w:r>
          </w:p>
        </w:tc>
        <w:tc>
          <w:tcPr/>
          <w:p>
            <w:r>
              <w:t>AUPRC 1 s</w:t>
            </w:r>
          </w:p>
        </w:tc>
        <w:tc>
          <w:tcPr/>
          <w:p>
            <w:r>
              <w:t>Lift 1 s</w:t>
            </w:r>
          </w:p>
        </w:tc>
        <w:tc>
          <w:tcPr/>
          <w:p>
            <w:r>
              <w:t>Lift 5 s</w:t>
            </w:r>
          </w:p>
        </w:tc>
      </w:tr>
      <w:tr>
        <w:tc>
          <w:tcPr/>
          <w:p>
            <w:r>
              <w:t>in burst (handover 2-10 s earlier)</w:t>
            </w:r>
          </w:p>
        </w:tc>
        <w:tc>
          <w:tcPr/>
          <w:p>
            <w:r>
              <w:t>Event A3 rule (deployed parameters)</w:t>
            </w:r>
          </w:p>
        </w:tc>
        <w:tc>
          <w:tcPr/>
          <w:p>
            <w:r>
              <w:t>3,068</w:t>
            </w:r>
          </w:p>
        </w:tc>
        <w:tc>
          <w:tcPr/>
          <w:p>
            <w:r>
              <w:t>11.2 %</w:t>
            </w:r>
          </w:p>
        </w:tc>
        <w:tc>
          <w:tcPr/>
          <w:p>
            <w:r>
              <w:t>0.147</w:t>
            </w:r>
          </w:p>
        </w:tc>
        <w:tc>
          <w:tcPr/>
          <w:p>
            <w:r>
              <w:t>1.3×</w:t>
            </w:r>
          </w:p>
        </w:tc>
        <w:tc>
          <w:tcPr/>
          <w:p>
            <w:r>
              <w:t>1.2×</w:t>
            </w:r>
          </w:p>
        </w:tc>
      </w:tr>
      <w:tr>
        <w:tc>
          <w:tcPr/>
          <w:p>
            <w:r>
              <w:t>in burst (handover 2-10 s earlier)</w:t>
            </w:r>
          </w:p>
        </w:tc>
        <w:tc>
          <w:tcPr/>
          <w:p>
            <w:r>
              <w:t>History block only (LightGBM)</w:t>
            </w:r>
          </w:p>
        </w:tc>
        <w:tc>
          <w:tcPr/>
          <w:p>
            <w:r>
              <w:t>3,068</w:t>
            </w:r>
          </w:p>
        </w:tc>
        <w:tc>
          <w:tcPr/>
          <w:p>
            <w:r>
              <w:t>11.2 %</w:t>
            </w:r>
          </w:p>
        </w:tc>
        <w:tc>
          <w:tcPr/>
          <w:p>
            <w:r>
              <w:t>0.133</w:t>
            </w:r>
          </w:p>
        </w:tc>
        <w:tc>
          <w:tcPr/>
          <w:p>
            <w:r>
              <w:t>1.2×</w:t>
            </w:r>
          </w:p>
        </w:tc>
        <w:tc>
          <w:tcPr/>
          <w:p>
            <w:r>
              <w:t>1.2×</w:t>
            </w:r>
          </w:p>
        </w:tc>
      </w:tr>
      <w:tr>
        <w:tc>
          <w:tcPr/>
          <w:p>
            <w:r>
              <w:t>in burst (handover 2-10 s earlier)</w:t>
            </w:r>
          </w:p>
        </w:tc>
        <w:tc>
          <w:tcPr/>
          <w:p>
            <w:r>
              <w:t>LightGBM</w:t>
            </w:r>
          </w:p>
        </w:tc>
        <w:tc>
          <w:tcPr/>
          <w:p>
            <w:r>
              <w:t>3,068</w:t>
            </w:r>
          </w:p>
        </w:tc>
        <w:tc>
          <w:tcPr/>
          <w:p>
            <w:r>
              <w:t>11.2 %</w:t>
            </w:r>
          </w:p>
        </w:tc>
        <w:tc>
          <w:tcPr/>
          <w:p>
            <w:r>
              <w:t>0.212</w:t>
            </w:r>
          </w:p>
        </w:tc>
        <w:tc>
          <w:tcPr/>
          <w:p>
            <w:r>
              <w:t>1.9×</w:t>
            </w:r>
          </w:p>
        </w:tc>
        <w:tc>
          <w:tcPr/>
          <w:p>
            <w:r>
              <w:t>1.4×</w:t>
            </w:r>
          </w:p>
        </w:tc>
      </w:tr>
      <w:tr>
        <w:tc>
          <w:tcPr/>
          <w:p>
            <w:r>
              <w:t>quiet (no handover in previous 10 s)</w:t>
            </w:r>
          </w:p>
        </w:tc>
        <w:tc>
          <w:tcPr/>
          <w:p>
            <w:r>
              <w:t>Event A3 rule (deployed parameters)</w:t>
            </w:r>
          </w:p>
        </w:tc>
        <w:tc>
          <w:tcPr/>
          <w:p>
            <w:r>
              <w:t>5,518</w:t>
            </w:r>
          </w:p>
        </w:tc>
        <w:tc>
          <w:tcPr/>
          <w:p>
            <w:r>
              <w:t>4.3 %</w:t>
            </w:r>
          </w:p>
        </w:tc>
        <w:tc>
          <w:tcPr/>
          <w:p>
            <w:r>
              <w:t>0.085</w:t>
            </w:r>
          </w:p>
        </w:tc>
        <w:tc>
          <w:tcPr/>
          <w:p>
            <w:r>
              <w:t>2.0×</w:t>
            </w:r>
          </w:p>
        </w:tc>
        <w:tc>
          <w:tcPr/>
          <w:p>
            <w:r>
              <w:t>1.6×</w:t>
            </w:r>
          </w:p>
        </w:tc>
      </w:tr>
      <w:tr>
        <w:tc>
          <w:tcPr/>
          <w:p>
            <w:r>
              <w:t>quiet (no handover in previous 10 s)</w:t>
            </w:r>
          </w:p>
        </w:tc>
        <w:tc>
          <w:tcPr/>
          <w:p>
            <w:r>
              <w:t>History block only (LightGBM)</w:t>
            </w:r>
          </w:p>
        </w:tc>
        <w:tc>
          <w:tcPr/>
          <w:p>
            <w:r>
              <w:t>5,518</w:t>
            </w:r>
          </w:p>
        </w:tc>
        <w:tc>
          <w:tcPr/>
          <w:p>
            <w:r>
              <w:t>4.3 %</w:t>
            </w:r>
          </w:p>
        </w:tc>
        <w:tc>
          <w:tcPr/>
          <w:p>
            <w:r>
              <w:t>0.061</w:t>
            </w:r>
          </w:p>
        </w:tc>
        <w:tc>
          <w:tcPr/>
          <w:p>
            <w:r>
              <w:t>1.4×</w:t>
            </w:r>
          </w:p>
        </w:tc>
        <w:tc>
          <w:tcPr/>
          <w:p>
            <w:r>
              <w:t>1.2×</w:t>
            </w:r>
          </w:p>
        </w:tc>
      </w:tr>
      <w:tr>
        <w:tc>
          <w:tcPr/>
          <w:p>
            <w:r>
              <w:t>quiet (no handover in previous 10 s)</w:t>
            </w:r>
          </w:p>
        </w:tc>
        <w:tc>
          <w:tcPr/>
          <w:p>
            <w:r>
              <w:t>LightGBM</w:t>
            </w:r>
          </w:p>
        </w:tc>
        <w:tc>
          <w:tcPr/>
          <w:p>
            <w:r>
              <w:t>5,518</w:t>
            </w:r>
          </w:p>
        </w:tc>
        <w:tc>
          <w:tcPr/>
          <w:p>
            <w:r>
              <w:t>4.3 %</w:t>
            </w:r>
          </w:p>
        </w:tc>
        <w:tc>
          <w:tcPr/>
          <w:p>
            <w:r>
              <w:t>0.133</w:t>
            </w:r>
          </w:p>
        </w:tc>
        <w:tc>
          <w:tcPr/>
          <w:p>
            <w:r>
              <w:t>3.1×</w:t>
            </w:r>
          </w:p>
        </w:tc>
        <w:tc>
          <w:tcPr/>
          <w:p>
            <w:r>
              <w:t>2.0×</w:t>
            </w:r>
          </w:p>
        </w:tc>
      </w:tr>
    </w:tbl>
    <w:p w:rsidR="0015244F" w:rsidRDefault="0015244F">
      <w:pPr>
        <w:spacing w:after="120" w:line="240" w:lineRule="auto"/>
      </w:pPr>
    </w:p>
    <w:p w:rsidR="0015244F" w:rsidRDefault="00A565B8">
      <w:pPr>
        <w:keepNext/>
        <w:spacing w:before="240" w:after="120" w:line="240" w:lineRule="auto"/>
        <w:jc w:val="center"/>
      </w:pPr>
      <w:r>
        <w:rPr>
          <w:noProof/>
        </w:rPr>
        <w:drawing>
          <wp:inline distT="0" distB="0" distL="0" distR="0">
            <wp:extent cx="5762625" cy="27379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2737919"/>
                    </a:xfrm>
                    <a:prstGeom prst="rect">
                      <a:avLst/>
                    </a:prstGeom>
                  </pic:spPr>
                </pic:pic>
              </a:graphicData>
            </a:graphic>
          </wp:inline>
        </w:drawing>
      </w:r>
    </w:p>
    <w:p w:rsidR="0015244F" w:rsidRDefault="00A565B8">
      <w:pPr>
        <w:pStyle w:val="FigureCaption"/>
        <w:spacing w:after="240" w:line="240" w:lineRule="auto"/>
        <w:jc w:val="center"/>
      </w:pPr>
      <w:r>
        <w:t>Figure 5.12 Single-feature discriminative power at one second on the lagged export. No single feature approaches the full model.</w:t>
      </w:r>
      <w:proofErr w:type="spellStart"/>
      <w:r/>
      <w:proofErr w:type="spellEnd"/>
      <w:r/>
    </w:p>
    <w:p w:rsidR="0015244F" w:rsidRDefault="00A565B8">
      <w:pPr>
        <w:ind w:firstLine="567"/>
        <w:jc w:val="both"/>
      </w:pPr>
      <w:r>
        <w:t>Four results follow. No single feature is close to the model: the strongest reaches AUROC 0.723 against 0.777 for the full model, so the signal is distributed rather than concentrated in one clock. The strongest single quantity is the time since the last Event A3 report (sig_s_since_a3, AUROC 0.723), which is a signalling quantity the network holds in real time and which the main feature set deliberately excludes; the strongest export feature is serving SINR (0.723). Serving dwell time computed from signalling timestamps reaches 0.664, ahead of chance and far behind its unlagged counterpart. And the serving-to-neighbour gap on which Event A3 is defined reaches 0.618, which is the one part of the earlier mechanism claim that survives: the quantity the rule thresholds on is a weak predictor of imminence, because it is a permission condition and not a tendency.</w:t>
      </w:r>
      <w:r/>
      <w:r/>
      <w:r/>
      <w:proofErr w:type="spellStart"/>
      <w:r/>
      <w:proofErr w:type="spellEnd"/>
      <w:r/>
    </w:p>
    <w:p w:rsidR="0015244F" w:rsidRDefault="00A565B8">
      <w:pPr>
        <w:ind w:firstLine="567"/>
        <w:jc w:val="both"/>
      </w:pPr>
      <w:r>
        <w:t>Where the model works matters as much as what it uses. Handover commands arrive in bursts — the median gap between consecutive commands is 3.7 seconds — and a predictor can score well by recognising that it is inside a burst. Table 5.11 therefore splits the out-of-fold rows into those with no handover in the previous ten seconds and those inside a burst. At one second the lift is 3.1x on quiet rows and 1.9x on in-burst rows, against prevalence floors of 4.3% and 11.2%. A history-only model reaches a lift of 1.7x pooled, so burst membership alone does not account for the result, but the radio block earns most of its advantage on the quiet rows, which is where an operator would want the warning.</w:t>
      </w:r>
      <w:proofErr w:type="spellStart"/>
      <w:r/>
      <w:proofErr w:type="spellEnd"/>
      <w:r/>
      <w:r/>
      <w:r>
        <w:rPr>
          <w:i/>
          <w:iCs/>
        </w:rPr>
      </w:r>
      <w:r/>
    </w:p>
    <w:p w:rsidR="0015244F" w:rsidRDefault="00A565B8">
      <w:pPr>
        <w:ind w:firstLine="567"/>
        <w:jc w:val="both"/>
      </w:pPr>
      <w:r>
        <w:t>Figure 5.12 ranks the single features and Figure 5.13 gives the dose-response relation between the time since the previous command and the probability of the next one, which is monotone up to about twenty seconds and flat thereafter.</w:t>
      </w:r>
      <w:r/>
      <w:r>
        <w:rPr>
          <w:b/>
          <w:bCs/>
        </w:rPr>
      </w:r>
      <w:r/>
      <w:r>
        <w:rPr>
          <w:b/>
          <w:bCs/>
        </w:rPr>
      </w:r>
      <w:r/>
      <w:proofErr w:type="gramStart"/>
      <w:r/>
      <w:proofErr w:type="gramEnd"/>
      <w:r/>
      <w:r/>
    </w:p>
    <w:p w:rsidR="0015244F" w:rsidRDefault="00A565B8">
      <w:pPr>
        <w:ind w:firstLine="567"/>
        <w:jc w:val="both"/>
      </w:pPr>
      <w:r>
        <w:t>Two further sensitivities are reported here rather than buried. Censoring the 93 model rows whose next event is a re-establishment rather than a handover command — a count of rows in the horizon grid, not of the 341 re-establishment events themselves — moves the one-second lift by +0.03x, so the competing risk of Section 3.6 does not drive the result. And adding the signalling block of Section 4.6 to the radio, mobility and history blocks moves the one-second AUPRC from 0.179 to 0.168; the signalling block on its own reaches 0.123.</w:t>
      </w:r>
      <w:proofErr w:type="spellStart"/>
      <w:r/>
      <w:proofErr w:type="spellEnd"/>
      <w:r/>
      <w:r/>
    </w:p>
    <w:p w:rsidR="0015244F" w:rsidRDefault="00A565B8">
      <w:pPr>
        <w:keepNext/>
        <w:spacing w:before="240" w:after="120" w:line="240" w:lineRule="auto"/>
        <w:jc w:val="center"/>
      </w:pPr>
      <w:r>
        <w:rPr>
          <w:noProof/>
        </w:rPr>
        <w:lastRenderedPageBreak/>
        <w:drawing>
          <wp:inline distT="0" distB="0" distL="0" distR="0">
            <wp:extent cx="5753100" cy="314284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53100" cy="3142848"/>
                    </a:xfrm>
                    <a:prstGeom prst="rect">
                      <a:avLst/>
                    </a:prstGeom>
                  </pic:spPr>
                </pic:pic>
              </a:graphicData>
            </a:graphic>
          </wp:inline>
        </w:drawing>
      </w:r>
    </w:p>
    <w:p w:rsidR="0015244F" w:rsidRDefault="00A565B8">
      <w:pPr>
        <w:pStyle w:val="FigureCaption"/>
        <w:spacing w:after="240" w:line="240" w:lineRule="auto"/>
        <w:jc w:val="center"/>
      </w:pPr>
      <w:r>
        <w:t>Figure 5.13 Probability of a handover command within one and five seconds against the time since the previous command, computed from signalling timestamps.</w:t>
      </w:r>
      <w:r/>
      <w:proofErr w:type="spellStart"/>
      <w:r/>
      <w:proofErr w:type="spellEnd"/>
      <w:r/>
    </w:p>
    <w:p w:rsidR="0015244F" w:rsidRDefault="00A565B8">
      <w:pPr>
        <w:pStyle w:val="Heading2"/>
        <w:spacing w:before="360" w:after="140"/>
      </w:pPr>
      <w:r>
        <w:t>5.9 The A3 report-conversion rate and the unit it is counted in</w:t>
      </w:r>
    </w:p>
    <w:p w:rsidR="0015244F" w:rsidRDefault="00A565B8">
      <w:pPr>
        <w:ind w:firstLine="567"/>
        <w:jc w:val="both"/>
      </w:pPr>
      <w:r>
        <w:t>The first of the two network characterisations concerns what happens to a measurement report after it is sent, and it is reported here in a corrected form. Event A3 report configurations on this network carry reportInterval and reportAmount values that cause a triggered condition to be re-reported periodically until it ceases: the modal configuration re-reports every 240 ms with reportAmount infinity. Counting transmitted reports therefore counts re-reports of the same trigger, and an earlier draft of this work did exactly that.</w:t>
      </w:r>
      <w:r>
        <w:rPr>
          <w:i/>
          <w:iCs/>
        </w:rPr>
      </w:r>
      <w:r/>
    </w:p>
    <w:p w:rsidR="0015244F" w:rsidRDefault="00A565B8">
      <w:pPr>
        <w:pStyle w:val="TableCaption"/>
        <w:spacing w:before="240" w:after="120" w:line="240" w:lineRule="auto"/>
        <w:jc w:val="center"/>
      </w:pPr>
      <w:r>
        <w:t>Table 5.12 Event A3 report conversion, counted per transmitted report and per trigger episode.</w:t>
      </w:r>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Unit</w:t>
            </w:r>
          </w:p>
        </w:tc>
        <w:tc>
          <w:tcPr>
            <w:tcMar>
              <w:top w:w="60" w:type="dxa"/>
              <w:left w:w="100" w:type="dxa"/>
              <w:bottom w:w="60" w:type="dxa"/>
              <w:right w:w="100" w:type="dxa"/>
            </w:tcMar>
          </w:tcPr>
          <w:p>
            <w:r>
              <w:t>Stratum</w:t>
            </w:r>
          </w:p>
        </w:tc>
        <w:tc>
          <w:tcPr>
            <w:tcMar>
              <w:top w:w="60" w:type="dxa"/>
              <w:left w:w="100" w:type="dxa"/>
              <w:bottom w:w="60" w:type="dxa"/>
              <w:right w:w="100" w:type="dxa"/>
            </w:tcMar>
          </w:tcPr>
          <w:p>
            <w:r>
              <w:t>n</w:t>
            </w:r>
          </w:p>
        </w:tc>
        <w:tc>
          <w:tcPr>
            <w:tcMar>
              <w:top w:w="60" w:type="dxa"/>
              <w:left w:w="100" w:type="dxa"/>
              <w:bottom w:w="60" w:type="dxa"/>
              <w:right w:w="100" w:type="dxa"/>
            </w:tcMar>
          </w:tcPr>
          <w:p>
            <w:r>
              <w:t>Followed by a command within 2 s</w:t>
            </w:r>
          </w:p>
        </w:tc>
        <w:tc>
          <w:tcPr>
            <w:tcMar>
              <w:top w:w="60" w:type="dxa"/>
              <w:left w:w="100" w:type="dxa"/>
              <w:bottom w:w="60" w:type="dxa"/>
              <w:right w:w="100" w:type="dxa"/>
            </w:tcMar>
          </w:tcPr>
          <w:p>
            <w:r>
              <w:t>Declined</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pooled</w:t>
            </w:r>
          </w:p>
        </w:tc>
        <w:tc>
          <w:tcPr>
            <w:tcMar>
              <w:top w:w="60" w:type="dxa"/>
              <w:left w:w="100" w:type="dxa"/>
              <w:bottom w:w="60" w:type="dxa"/>
              <w:right w:w="100" w:type="dxa"/>
            </w:tcMar>
          </w:tcPr>
          <w:p>
            <w:r>
              <w:t>8,136</w:t>
            </w:r>
          </w:p>
        </w:tc>
        <w:tc>
          <w:tcPr>
            <w:tcMar>
              <w:top w:w="60" w:type="dxa"/>
              <w:left w:w="100" w:type="dxa"/>
              <w:bottom w:w="60" w:type="dxa"/>
              <w:right w:w="100" w:type="dxa"/>
            </w:tcMar>
          </w:tcPr>
          <w:p>
            <w:r>
              <w:t>3006</w:t>
            </w:r>
          </w:p>
        </w:tc>
        <w:tc>
          <w:tcPr>
            <w:tcMar>
              <w:top w:w="60" w:type="dxa"/>
              <w:left w:w="100" w:type="dxa"/>
              <w:bottom w:w="60" w:type="dxa"/>
              <w:right w:w="100" w:type="dxa"/>
            </w:tcMar>
          </w:tcPr>
          <w:p>
            <w:r>
              <w:t>63 %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2,287</w:t>
            </w:r>
          </w:p>
        </w:tc>
        <w:tc>
          <w:tcPr>
            <w:tcMar>
              <w:top w:w="60" w:type="dxa"/>
              <w:left w:w="100" w:type="dxa"/>
              <w:bottom w:w="60" w:type="dxa"/>
              <w:right w:w="100" w:type="dxa"/>
            </w:tcMar>
          </w:tcPr>
          <w:p>
            <w:r>
              <w:t>980</w:t>
            </w:r>
          </w:p>
        </w:tc>
        <w:tc>
          <w:tcPr>
            <w:tcMar>
              <w:top w:w="60" w:type="dxa"/>
              <w:left w:w="100" w:type="dxa"/>
              <w:bottom w:w="60" w:type="dxa"/>
              <w:right w:w="100" w:type="dxa"/>
            </w:tcMar>
          </w:tcPr>
          <w:p>
            <w:r>
              <w:t>57 %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12 Sept (urban loop)</w:t>
            </w:r>
          </w:p>
        </w:tc>
        <w:tc>
          <w:tcPr>
            <w:tcMar>
              <w:top w:w="60" w:type="dxa"/>
              <w:left w:w="100" w:type="dxa"/>
              <w:bottom w:w="60" w:type="dxa"/>
              <w:right w:w="100" w:type="dxa"/>
            </w:tcMar>
          </w:tcPr>
          <w:p>
            <w:r>
              <w:t>1,857</w:t>
            </w:r>
          </w:p>
        </w:tc>
        <w:tc>
          <w:tcPr>
            <w:tcMar>
              <w:top w:w="60" w:type="dxa"/>
              <w:left w:w="100" w:type="dxa"/>
              <w:bottom w:w="60" w:type="dxa"/>
              <w:right w:w="100" w:type="dxa"/>
            </w:tcMar>
          </w:tcPr>
          <w:p>
            <w:r>
              <w:t>716</w:t>
            </w:r>
          </w:p>
        </w:tc>
        <w:tc>
          <w:tcPr>
            <w:tcMar>
              <w:top w:w="60" w:type="dxa"/>
              <w:left w:w="100" w:type="dxa"/>
              <w:bottom w:w="60" w:type="dxa"/>
              <w:right w:w="100" w:type="dxa"/>
            </w:tcMar>
          </w:tcPr>
          <w:p>
            <w:r>
              <w:t>61 %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13 Sept (dense urban)</w:t>
            </w:r>
          </w:p>
        </w:tc>
        <w:tc>
          <w:tcPr>
            <w:tcMar>
              <w:top w:w="60" w:type="dxa"/>
              <w:left w:w="100" w:type="dxa"/>
              <w:bottom w:w="60" w:type="dxa"/>
              <w:right w:w="100" w:type="dxa"/>
            </w:tcMar>
          </w:tcPr>
          <w:p>
            <w:r>
              <w:t>2,215</w:t>
            </w:r>
          </w:p>
        </w:tc>
        <w:tc>
          <w:tcPr>
            <w:tcMar>
              <w:top w:w="60" w:type="dxa"/>
              <w:left w:w="100" w:type="dxa"/>
              <w:bottom w:w="60" w:type="dxa"/>
              <w:right w:w="100" w:type="dxa"/>
            </w:tcMar>
          </w:tcPr>
          <w:p>
            <w:r>
              <w:t>806</w:t>
            </w:r>
          </w:p>
        </w:tc>
        <w:tc>
          <w:tcPr>
            <w:tcMar>
              <w:top w:w="60" w:type="dxa"/>
              <w:left w:w="100" w:type="dxa"/>
              <w:bottom w:w="60" w:type="dxa"/>
              <w:right w:w="100" w:type="dxa"/>
            </w:tcMar>
          </w:tcPr>
          <w:p>
            <w:r>
              <w:t>64 %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15 Sept (highway)</w:t>
            </w:r>
          </w:p>
        </w:tc>
        <w:tc>
          <w:tcPr>
            <w:tcMar>
              <w:top w:w="60" w:type="dxa"/>
              <w:left w:w="100" w:type="dxa"/>
              <w:bottom w:w="60" w:type="dxa"/>
              <w:right w:w="100" w:type="dxa"/>
            </w:tcMar>
          </w:tcPr>
          <w:p>
            <w:r>
              <w:t>1,777</w:t>
            </w:r>
          </w:p>
        </w:tc>
        <w:tc>
          <w:tcPr>
            <w:tcMar>
              <w:top w:w="60" w:type="dxa"/>
              <w:left w:w="100" w:type="dxa"/>
              <w:bottom w:w="60" w:type="dxa"/>
              <w:right w:w="100" w:type="dxa"/>
            </w:tcMar>
          </w:tcPr>
          <w:p>
            <w:r>
              <w:t>504</w:t>
            </w:r>
          </w:p>
        </w:tc>
        <w:tc>
          <w:tcPr>
            <w:tcMar>
              <w:top w:w="60" w:type="dxa"/>
              <w:left w:w="100" w:type="dxa"/>
              <w:bottom w:w="60" w:type="dxa"/>
              <w:right w:w="100" w:type="dxa"/>
            </w:tcMar>
          </w:tcPr>
          <w:p>
            <w:r>
              <w:t>72 %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inter-frequency</w:t>
            </w:r>
          </w:p>
        </w:tc>
        <w:tc>
          <w:tcPr>
            <w:tcMar>
              <w:top w:w="60" w:type="dxa"/>
              <w:left w:w="100" w:type="dxa"/>
              <w:bottom w:w="60" w:type="dxa"/>
              <w:right w:w="100" w:type="dxa"/>
            </w:tcMar>
          </w:tcPr>
          <w:p>
            <w:r>
              <w:t>93</w:t>
            </w:r>
          </w:p>
        </w:tc>
        <w:tc>
          <w:tcPr>
            <w:tcMar>
              <w:top w:w="60" w:type="dxa"/>
              <w:left w:w="100" w:type="dxa"/>
              <w:bottom w:w="60" w:type="dxa"/>
              <w:right w:w="100" w:type="dxa"/>
            </w:tcMar>
          </w:tcPr>
          <w:p>
            <w:r>
              <w:t>34</w:t>
            </w:r>
          </w:p>
        </w:tc>
        <w:tc>
          <w:tcPr>
            <w:tcMar>
              <w:top w:w="60" w:type="dxa"/>
              <w:left w:w="100" w:type="dxa"/>
              <w:bottom w:w="60" w:type="dxa"/>
              <w:right w:w="100" w:type="dxa"/>
            </w:tcMar>
          </w:tcPr>
          <w:p>
            <w:r>
              <w:t>63 %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intra-frequency</w:t>
            </w:r>
          </w:p>
        </w:tc>
        <w:tc>
          <w:tcPr>
            <w:tcMar>
              <w:top w:w="60" w:type="dxa"/>
              <w:left w:w="100" w:type="dxa"/>
              <w:bottom w:w="60" w:type="dxa"/>
              <w:right w:w="100" w:type="dxa"/>
            </w:tcMar>
          </w:tcPr>
          <w:p>
            <w:r>
              <w:t>8,043</w:t>
            </w:r>
          </w:p>
        </w:tc>
        <w:tc>
          <w:tcPr>
            <w:tcMar>
              <w:top w:w="60" w:type="dxa"/>
              <w:left w:w="100" w:type="dxa"/>
              <w:bottom w:w="60" w:type="dxa"/>
              <w:right w:w="100" w:type="dxa"/>
            </w:tcMar>
          </w:tcPr>
          <w:p>
            <w:r>
              <w:t>2972</w:t>
            </w:r>
          </w:p>
        </w:tc>
        <w:tc>
          <w:tcPr>
            <w:tcMar>
              <w:top w:w="60" w:type="dxa"/>
              <w:left w:w="100" w:type="dxa"/>
              <w:bottom w:w="60" w:type="dxa"/>
              <w:right w:w="100" w:type="dxa"/>
            </w:tcMar>
          </w:tcPr>
          <w:p>
            <w:r>
              <w:t>63 %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pooled</w:t>
            </w:r>
          </w:p>
        </w:tc>
        <w:tc>
          <w:tcPr>
            <w:tcMar>
              <w:top w:w="60" w:type="dxa"/>
              <w:left w:w="100" w:type="dxa"/>
              <w:bottom w:w="60" w:type="dxa"/>
              <w:right w:w="100" w:type="dxa"/>
            </w:tcMar>
          </w:tcPr>
          <w:p>
            <w:r>
              <w:t>2,361</w:t>
            </w:r>
          </w:p>
        </w:tc>
        <w:tc>
          <w:tcPr>
            <w:tcMar>
              <w:top w:w="60" w:type="dxa"/>
              <w:left w:w="100" w:type="dxa"/>
              <w:bottom w:w="60" w:type="dxa"/>
              <w:right w:w="100" w:type="dxa"/>
            </w:tcMar>
          </w:tcPr>
          <w:p>
            <w:r>
              <w:t>1647</w:t>
            </w:r>
          </w:p>
        </w:tc>
        <w:tc>
          <w:tcPr>
            <w:tcMar>
              <w:top w:w="60" w:type="dxa"/>
              <w:left w:w="100" w:type="dxa"/>
              <w:bottom w:w="60" w:type="dxa"/>
              <w:right w:w="100" w:type="dxa"/>
            </w:tcMar>
          </w:tcPr>
          <w:p>
            <w:r>
              <w:t>30 %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726</w:t>
            </w:r>
          </w:p>
        </w:tc>
        <w:tc>
          <w:tcPr>
            <w:tcMar>
              <w:top w:w="60" w:type="dxa"/>
              <w:left w:w="100" w:type="dxa"/>
              <w:bottom w:w="60" w:type="dxa"/>
              <w:right w:w="100" w:type="dxa"/>
            </w:tcMar>
          </w:tcPr>
          <w:p>
            <w:r>
              <w:t>531</w:t>
            </w:r>
          </w:p>
        </w:tc>
        <w:tc>
          <w:tcPr>
            <w:tcMar>
              <w:top w:w="60" w:type="dxa"/>
              <w:left w:w="100" w:type="dxa"/>
              <w:bottom w:w="60" w:type="dxa"/>
              <w:right w:w="100" w:type="dxa"/>
            </w:tcMar>
          </w:tcPr>
          <w:p>
            <w:r>
              <w:t>27 %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12 Sept (urban loop)</w:t>
            </w:r>
          </w:p>
        </w:tc>
        <w:tc>
          <w:tcPr>
            <w:tcMar>
              <w:top w:w="60" w:type="dxa"/>
              <w:left w:w="100" w:type="dxa"/>
              <w:bottom w:w="60" w:type="dxa"/>
              <w:right w:w="100" w:type="dxa"/>
            </w:tcMar>
          </w:tcPr>
          <w:p>
            <w:r>
              <w:t>476</w:t>
            </w:r>
          </w:p>
        </w:tc>
        <w:tc>
          <w:tcPr>
            <w:tcMar>
              <w:top w:w="60" w:type="dxa"/>
              <w:left w:w="100" w:type="dxa"/>
              <w:bottom w:w="60" w:type="dxa"/>
              <w:right w:w="100" w:type="dxa"/>
            </w:tcMar>
          </w:tcPr>
          <w:p>
            <w:r>
              <w:t>349</w:t>
            </w:r>
          </w:p>
        </w:tc>
        <w:tc>
          <w:tcPr>
            <w:tcMar>
              <w:top w:w="60" w:type="dxa"/>
              <w:left w:w="100" w:type="dxa"/>
              <w:bottom w:w="60" w:type="dxa"/>
              <w:right w:w="100" w:type="dxa"/>
            </w:tcMar>
          </w:tcPr>
          <w:p>
            <w:r>
              <w:t>27 %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13 Sept (dense urban)</w:t>
            </w:r>
          </w:p>
        </w:tc>
        <w:tc>
          <w:tcPr>
            <w:tcMar>
              <w:top w:w="60" w:type="dxa"/>
              <w:left w:w="100" w:type="dxa"/>
              <w:bottom w:w="60" w:type="dxa"/>
              <w:right w:w="100" w:type="dxa"/>
            </w:tcMar>
          </w:tcPr>
          <w:p>
            <w:r>
              <w:t>740</w:t>
            </w:r>
          </w:p>
        </w:tc>
        <w:tc>
          <w:tcPr>
            <w:tcMar>
              <w:top w:w="60" w:type="dxa"/>
              <w:left w:w="100" w:type="dxa"/>
              <w:bottom w:w="60" w:type="dxa"/>
              <w:right w:w="100" w:type="dxa"/>
            </w:tcMar>
          </w:tcPr>
          <w:p>
            <w:r>
              <w:t>480</w:t>
            </w:r>
          </w:p>
        </w:tc>
        <w:tc>
          <w:tcPr>
            <w:tcMar>
              <w:top w:w="60" w:type="dxa"/>
              <w:left w:w="100" w:type="dxa"/>
              <w:bottom w:w="60" w:type="dxa"/>
              <w:right w:w="100" w:type="dxa"/>
            </w:tcMar>
          </w:tcPr>
          <w:p>
            <w:r>
              <w:t>35 %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15 Sept (highway)</w:t>
            </w:r>
          </w:p>
        </w:tc>
        <w:tc>
          <w:tcPr>
            <w:tcMar>
              <w:top w:w="60" w:type="dxa"/>
              <w:left w:w="100" w:type="dxa"/>
              <w:bottom w:w="60" w:type="dxa"/>
              <w:right w:w="100" w:type="dxa"/>
            </w:tcMar>
          </w:tcPr>
          <w:p>
            <w:r>
              <w:t>419</w:t>
            </w:r>
          </w:p>
        </w:tc>
        <w:tc>
          <w:tcPr>
            <w:tcMar>
              <w:top w:w="60" w:type="dxa"/>
              <w:left w:w="100" w:type="dxa"/>
              <w:bottom w:w="60" w:type="dxa"/>
              <w:right w:w="100" w:type="dxa"/>
            </w:tcMar>
          </w:tcPr>
          <w:p>
            <w:r>
              <w:t>287</w:t>
            </w:r>
          </w:p>
        </w:tc>
        <w:tc>
          <w:tcPr>
            <w:tcMar>
              <w:top w:w="60" w:type="dxa"/>
              <w:left w:w="100" w:type="dxa"/>
              <w:bottom w:w="60" w:type="dxa"/>
              <w:right w:w="100" w:type="dxa"/>
            </w:tcMar>
          </w:tcPr>
          <w:p>
            <w:r>
              <w:t>32 %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inter-frequency</w:t>
            </w:r>
          </w:p>
        </w:tc>
        <w:tc>
          <w:tcPr>
            <w:tcMar>
              <w:top w:w="60" w:type="dxa"/>
              <w:left w:w="100" w:type="dxa"/>
              <w:bottom w:w="60" w:type="dxa"/>
              <w:right w:w="100" w:type="dxa"/>
            </w:tcMar>
          </w:tcPr>
          <w:p>
            <w:r>
              <w:t>49</w:t>
            </w:r>
          </w:p>
        </w:tc>
        <w:tc>
          <w:tcPr>
            <w:tcMar>
              <w:top w:w="60" w:type="dxa"/>
              <w:left w:w="100" w:type="dxa"/>
              <w:bottom w:w="60" w:type="dxa"/>
              <w:right w:w="100" w:type="dxa"/>
            </w:tcMar>
          </w:tcPr>
          <w:p>
            <w:r>
              <w:t>28</w:t>
            </w:r>
          </w:p>
        </w:tc>
        <w:tc>
          <w:tcPr>
            <w:tcMar>
              <w:top w:w="60" w:type="dxa"/>
              <w:left w:w="100" w:type="dxa"/>
              <w:bottom w:w="60" w:type="dxa"/>
              <w:right w:w="100" w:type="dxa"/>
            </w:tcMar>
          </w:tcPr>
          <w:p>
            <w:r>
              <w:t>43 %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intra-frequency</w:t>
            </w:r>
          </w:p>
        </w:tc>
        <w:tc>
          <w:tcPr>
            <w:tcMar>
              <w:top w:w="60" w:type="dxa"/>
              <w:left w:w="100" w:type="dxa"/>
              <w:bottom w:w="60" w:type="dxa"/>
              <w:right w:w="100" w:type="dxa"/>
            </w:tcMar>
          </w:tcPr>
          <w:p>
            <w:r>
              <w:t>2,312</w:t>
            </w:r>
          </w:p>
        </w:tc>
        <w:tc>
          <w:tcPr>
            <w:tcMar>
              <w:top w:w="60" w:type="dxa"/>
              <w:left w:w="100" w:type="dxa"/>
              <w:bottom w:w="60" w:type="dxa"/>
              <w:right w:w="100" w:type="dxa"/>
            </w:tcMar>
          </w:tcPr>
          <w:p>
            <w:r>
              <w:t>1619</w:t>
            </w:r>
          </w:p>
        </w:tc>
        <w:tc>
          <w:tcPr>
            <w:tcMar>
              <w:top w:w="60" w:type="dxa"/>
              <w:left w:w="100" w:type="dxa"/>
              <w:bottom w:w="60" w:type="dxa"/>
              <w:right w:w="100" w:type="dxa"/>
            </w:tcMar>
          </w:tcPr>
          <w:p>
            <w:r>
              <w:t>30 %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pooled</w:t>
            </w:r>
          </w:p>
        </w:tc>
        <w:tc>
          <w:tcPr>
            <w:tcMar>
              <w:top w:w="60" w:type="dxa"/>
              <w:left w:w="100" w:type="dxa"/>
              <w:bottom w:w="60" w:type="dxa"/>
              <w:right w:w="100" w:type="dxa"/>
            </w:tcMar>
          </w:tcPr>
          <w:p>
            <w:r>
              <w:t>2,361</w:t>
            </w:r>
          </w:p>
        </w:tc>
        <w:tc>
          <w:tcPr>
            <w:tcMar>
              <w:top w:w="60" w:type="dxa"/>
              <w:left w:w="100" w:type="dxa"/>
              <w:bottom w:w="60" w:type="dxa"/>
              <w:right w:w="100" w:type="dxa"/>
            </w:tcMar>
          </w:tcPr>
          <w:p>
            <w:r>
              <w:t>635</w:t>
            </w:r>
          </w:p>
        </w:tc>
        <w:tc>
          <w:tcPr>
            <w:tcMar>
              <w:top w:w="60" w:type="dxa"/>
              <w:left w:w="100" w:type="dxa"/>
              <w:bottom w:w="60" w:type="dxa"/>
              <w:right w:w="100" w:type="dxa"/>
            </w:tcMar>
          </w:tcPr>
          <w:p>
            <w:r>
              <w:t>73 %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726</w:t>
            </w:r>
          </w:p>
        </w:tc>
        <w:tc>
          <w:tcPr>
            <w:tcMar>
              <w:top w:w="60" w:type="dxa"/>
              <w:left w:w="100" w:type="dxa"/>
              <w:bottom w:w="60" w:type="dxa"/>
              <w:right w:w="100" w:type="dxa"/>
            </w:tcMar>
          </w:tcPr>
          <w:p>
            <w:r>
              <w:t>210</w:t>
            </w:r>
          </w:p>
        </w:tc>
        <w:tc>
          <w:tcPr>
            <w:tcMar>
              <w:top w:w="60" w:type="dxa"/>
              <w:left w:w="100" w:type="dxa"/>
              <w:bottom w:w="60" w:type="dxa"/>
              <w:right w:w="100" w:type="dxa"/>
            </w:tcMar>
          </w:tcPr>
          <w:p>
            <w:r>
              <w:t>71 %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12 Sept (urban loop)</w:t>
            </w:r>
          </w:p>
        </w:tc>
        <w:tc>
          <w:tcPr>
            <w:tcMar>
              <w:top w:w="60" w:type="dxa"/>
              <w:left w:w="100" w:type="dxa"/>
              <w:bottom w:w="60" w:type="dxa"/>
              <w:right w:w="100" w:type="dxa"/>
            </w:tcMar>
          </w:tcPr>
          <w:p>
            <w:r>
              <w:t>476</w:t>
            </w:r>
          </w:p>
        </w:tc>
        <w:tc>
          <w:tcPr>
            <w:tcMar>
              <w:top w:w="60" w:type="dxa"/>
              <w:left w:w="100" w:type="dxa"/>
              <w:bottom w:w="60" w:type="dxa"/>
              <w:right w:w="100" w:type="dxa"/>
            </w:tcMar>
          </w:tcPr>
          <w:p>
            <w:r>
              <w:t>110</w:t>
            </w:r>
          </w:p>
        </w:tc>
        <w:tc>
          <w:tcPr>
            <w:tcMar>
              <w:top w:w="60" w:type="dxa"/>
              <w:left w:w="100" w:type="dxa"/>
              <w:bottom w:w="60" w:type="dxa"/>
              <w:right w:w="100" w:type="dxa"/>
            </w:tcMar>
          </w:tcPr>
          <w:p>
            <w:r>
              <w:t>77 %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13 Sept (dense urban)</w:t>
            </w:r>
          </w:p>
        </w:tc>
        <w:tc>
          <w:tcPr>
            <w:tcMar>
              <w:top w:w="60" w:type="dxa"/>
              <w:left w:w="100" w:type="dxa"/>
              <w:bottom w:w="60" w:type="dxa"/>
              <w:right w:w="100" w:type="dxa"/>
            </w:tcMar>
          </w:tcPr>
          <w:p>
            <w:r>
              <w:t>740</w:t>
            </w:r>
          </w:p>
        </w:tc>
        <w:tc>
          <w:tcPr>
            <w:tcMar>
              <w:top w:w="60" w:type="dxa"/>
              <w:left w:w="100" w:type="dxa"/>
              <w:bottom w:w="60" w:type="dxa"/>
              <w:right w:w="100" w:type="dxa"/>
            </w:tcMar>
          </w:tcPr>
          <w:p>
            <w:r>
              <w:t>197</w:t>
            </w:r>
          </w:p>
        </w:tc>
        <w:tc>
          <w:tcPr>
            <w:tcMar>
              <w:top w:w="60" w:type="dxa"/>
              <w:left w:w="100" w:type="dxa"/>
              <w:bottom w:w="60" w:type="dxa"/>
              <w:right w:w="100" w:type="dxa"/>
            </w:tcMar>
          </w:tcPr>
          <w:p>
            <w:r>
              <w:t>73 %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15 Sept (highway)</w:t>
            </w:r>
          </w:p>
        </w:tc>
        <w:tc>
          <w:tcPr>
            <w:tcMar>
              <w:top w:w="60" w:type="dxa"/>
              <w:left w:w="100" w:type="dxa"/>
              <w:bottom w:w="60" w:type="dxa"/>
              <w:right w:w="100" w:type="dxa"/>
            </w:tcMar>
          </w:tcPr>
          <w:p>
            <w:r>
              <w:t>419</w:t>
            </w:r>
          </w:p>
        </w:tc>
        <w:tc>
          <w:tcPr>
            <w:tcMar>
              <w:top w:w="60" w:type="dxa"/>
              <w:left w:w="100" w:type="dxa"/>
              <w:bottom w:w="60" w:type="dxa"/>
              <w:right w:w="100" w:type="dxa"/>
            </w:tcMar>
          </w:tcPr>
          <w:p>
            <w:r>
              <w:t>118</w:t>
            </w:r>
          </w:p>
        </w:tc>
        <w:tc>
          <w:tcPr>
            <w:tcMar>
              <w:top w:w="60" w:type="dxa"/>
              <w:left w:w="100" w:type="dxa"/>
              <w:bottom w:w="60" w:type="dxa"/>
              <w:right w:w="100" w:type="dxa"/>
            </w:tcMar>
          </w:tcPr>
          <w:p>
            <w:r>
              <w:t>72 %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inter-frequency</w:t>
            </w:r>
          </w:p>
        </w:tc>
        <w:tc>
          <w:tcPr>
            <w:tcMar>
              <w:top w:w="60" w:type="dxa"/>
              <w:left w:w="100" w:type="dxa"/>
              <w:bottom w:w="60" w:type="dxa"/>
              <w:right w:w="100" w:type="dxa"/>
            </w:tcMar>
          </w:tcPr>
          <w:p>
            <w:r>
              <w:t>49</w:t>
            </w:r>
          </w:p>
        </w:tc>
        <w:tc>
          <w:tcPr>
            <w:tcMar>
              <w:top w:w="60" w:type="dxa"/>
              <w:left w:w="100" w:type="dxa"/>
              <w:bottom w:w="60" w:type="dxa"/>
              <w:right w:w="100" w:type="dxa"/>
            </w:tcMar>
          </w:tcPr>
          <w:p>
            <w:r>
              <w:t>12</w:t>
            </w:r>
          </w:p>
        </w:tc>
        <w:tc>
          <w:tcPr>
            <w:tcMar>
              <w:top w:w="60" w:type="dxa"/>
              <w:left w:w="100" w:type="dxa"/>
              <w:bottom w:w="60" w:type="dxa"/>
              <w:right w:w="100" w:type="dxa"/>
            </w:tcMar>
          </w:tcPr>
          <w:p>
            <w:r>
              <w:t>76 %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intra-frequency</w:t>
            </w:r>
          </w:p>
        </w:tc>
        <w:tc>
          <w:tcPr>
            <w:tcMar>
              <w:top w:w="60" w:type="dxa"/>
              <w:left w:w="100" w:type="dxa"/>
              <w:bottom w:w="60" w:type="dxa"/>
              <w:right w:w="100" w:type="dxa"/>
            </w:tcMar>
          </w:tcPr>
          <w:p>
            <w:r>
              <w:t>2,312</w:t>
            </w:r>
          </w:p>
        </w:tc>
        <w:tc>
          <w:tcPr>
            <w:tcMar>
              <w:top w:w="60" w:type="dxa"/>
              <w:left w:w="100" w:type="dxa"/>
              <w:bottom w:w="60" w:type="dxa"/>
              <w:right w:w="100" w:type="dxa"/>
            </w:tcMar>
          </w:tcPr>
          <w:p>
            <w:r>
              <w:t>623</w:t>
            </w:r>
          </w:p>
        </w:tc>
        <w:tc>
          <w:tcPr>
            <w:tcMar>
              <w:top w:w="60" w:type="dxa"/>
              <w:left w:w="100" w:type="dxa"/>
              <w:bottom w:w="60" w:type="dxa"/>
              <w:right w:w="100" w:type="dxa"/>
            </w:tcMar>
          </w:tcPr>
          <w:p>
            <w:r>
              <w:t>73 %</w:t>
            </w:r>
          </w:p>
        </w:tc>
      </w:tr>
      <w:tr w:rsidR="0015244F">
        <w:tblPrEx>
          <w:tblCellMar>
            <w:top w:w="0" w:type="dxa"/>
            <w:bottom w:w="0" w:type="dxa"/>
          </w:tblCellMar>
        </w:tblPrEx>
        <w:trPr>
          <w:tblHeader/>
        </w:trPr>
        <w:tc>
          <w:tcPr>
            <w:tcMar>
              <w:top w:w="60" w:type="dxa"/>
              <w:left w:w="100" w:type="dxa"/>
              <w:bottom w:w="60" w:type="dxa"/>
              <w:right w:w="100" w:type="dxa"/>
            </w:tcMar>
          </w:tcPr>
          <w:p>
            <w:r>
              <w:t>command multiplicity</w:t>
            </w:r>
          </w:p>
        </w:tc>
        <w:tc>
          <w:tcPr>
            <w:tcMar>
              <w:top w:w="60" w:type="dxa"/>
              <w:left w:w="100" w:type="dxa"/>
              <w:bottom w:w="60" w:type="dxa"/>
              <w:right w:w="100" w:type="dxa"/>
            </w:tcMar>
          </w:tcPr>
          <w:p>
            <w:r>
              <w:t>A3 episodes</w:t>
            </w:r>
          </w:p>
        </w:tc>
        <w:tc>
          <w:tcPr>
            <w:tcMar>
              <w:top w:w="60" w:type="dxa"/>
              <w:left w:w="100" w:type="dxa"/>
              <w:bottom w:w="60" w:type="dxa"/>
              <w:right w:w="100" w:type="dxa"/>
            </w:tcMar>
          </w:tcPr>
          <w:p>
            <w:r>
              <w:t>2,361</w:t>
            </w:r>
          </w:p>
        </w:tc>
        <w:tc>
          <w:tcPr>
            <w:tcMar>
              <w:top w:w="60" w:type="dxa"/>
              <w:left w:w="100" w:type="dxa"/>
              <w:bottom w:w="60" w:type="dxa"/>
              <w:right w:w="100" w:type="dxa"/>
            </w:tcMar>
          </w:tcPr>
          <w:p>
            <w:r>
              <w:t>1647 claimed, 635 owned</w:t>
            </w:r>
          </w:p>
        </w:tc>
        <w:tc>
          <w:tcPr>
            <w:tcMar>
              <w:top w:w="60" w:type="dxa"/>
              <w:left w:w="100" w:type="dxa"/>
              <w:bottom w:w="60" w:type="dxa"/>
              <w:right w:w="100" w:type="dxa"/>
            </w:tcMar>
          </w:tcPr>
          <w:p>
            <w:r>
              <w:t>x2.59 over-counting</w:t>
            </w:r>
          </w:p>
        </w:tc>
      </w:tr>
      <w:tr w:rsidR="0015244F">
        <w:tblPrEx>
          <w:tblCellMar>
            <w:top w:w="0" w:type="dxa"/>
            <w:bottom w:w="0" w:type="dxa"/>
          </w:tblCellMar>
        </w:tblPrEx>
        <w:trPr>
          <w:tblHeader/>
        </w:trPr>
        <w:tc>
          <w:tcPr>
            <w:tcMar>
              <w:top w:w="60" w:type="dxa"/>
              <w:left w:w="100" w:type="dxa"/>
              <w:bottom w:w="60" w:type="dxa"/>
              <w:right w:w="100" w:type="dxa"/>
            </w:tcMar>
          </w:tcPr>
          <w:p>
            <w:r>
              <w:t>command multiplicity</w:t>
            </w:r>
          </w:p>
        </w:tc>
        <w:tc>
          <w:tcPr>
            <w:tcMar>
              <w:top w:w="60" w:type="dxa"/>
              <w:left w:w="100" w:type="dxa"/>
              <w:bottom w:w="60" w:type="dxa"/>
              <w:right w:w="100" w:type="dxa"/>
            </w:tcMar>
          </w:tcPr>
          <w:p>
            <w:r>
              <w:t>all episodes</w:t>
            </w:r>
          </w:p>
        </w:tc>
        <w:tc>
          <w:tcPr>
            <w:tcMar>
              <w:top w:w="60" w:type="dxa"/>
              <w:left w:w="100" w:type="dxa"/>
              <w:bottom w:w="60" w:type="dxa"/>
              <w:right w:w="100" w:type="dxa"/>
            </w:tcMar>
          </w:tcPr>
          <w:p>
            <w:r>
              <w:t>9,819</w:t>
            </w:r>
          </w:p>
        </w:tc>
        <w:tc>
          <w:tcPr>
            <w:tcMar>
              <w:top w:w="60" w:type="dxa"/>
              <w:left w:w="100" w:type="dxa"/>
              <w:bottom w:w="60" w:type="dxa"/>
              <w:right w:w="100" w:type="dxa"/>
            </w:tcMar>
          </w:tcPr>
          <w:p>
            <w:r>
              <w:t>4391 claimed, 908 owned</w:t>
            </w:r>
          </w:p>
        </w:tc>
        <w:tc>
          <w:tcPr>
            <w:tcMar>
              <w:top w:w="60" w:type="dxa"/>
              <w:left w:w="100" w:type="dxa"/>
              <w:bottom w:w="60" w:type="dxa"/>
              <w:right w:w="100" w:type="dxa"/>
            </w:tcMar>
          </w:tcPr>
          <w:p>
            <w:r>
              <w:t>x4.84 over-counting</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 dB, Hys 1, TTT 320, RI 240 x infinity</w:t>
            </w:r>
          </w:p>
        </w:tc>
        <w:tc>
          <w:tcPr>
            <w:tcMar>
              <w:top w:w="60" w:type="dxa"/>
              <w:left w:w="100" w:type="dxa"/>
              <w:bottom w:w="60" w:type="dxa"/>
              <w:right w:w="100" w:type="dxa"/>
            </w:tcMar>
          </w:tcPr>
          <w:p>
            <w:r>
              <w:t>734</w:t>
            </w:r>
          </w:p>
        </w:tc>
        <w:tc>
          <w:tcPr>
            <w:tcMar>
              <w:top w:w="60" w:type="dxa"/>
              <w:left w:w="100" w:type="dxa"/>
              <w:bottom w:w="60" w:type="dxa"/>
              <w:right w:w="100" w:type="dxa"/>
            </w:tcMar>
          </w:tcPr>
          <w:p>
            <w:r>
              <w:t>717 claimed, 463 owned</w:t>
            </w:r>
          </w:p>
        </w:tc>
        <w:tc>
          <w:tcPr>
            <w:tcMar>
              <w:top w:w="60" w:type="dxa"/>
              <w:left w:w="100" w:type="dxa"/>
              <w:bottom w:w="60" w:type="dxa"/>
              <w:right w:w="100" w:type="dxa"/>
            </w:tcMar>
          </w:tcPr>
          <w:p>
            <w:r>
              <w:t>2.3 % / 36.9 % one-to-one</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-15 dB, Hys 1, TTT 160, RI 5120 x infinity</w:t>
            </w:r>
          </w:p>
        </w:tc>
        <w:tc>
          <w:tcPr>
            <w:tcMar>
              <w:top w:w="60" w:type="dxa"/>
              <w:left w:w="100" w:type="dxa"/>
              <w:bottom w:w="60" w:type="dxa"/>
              <w:right w:w="100" w:type="dxa"/>
            </w:tcMar>
          </w:tcPr>
          <w:p>
            <w:r>
              <w:t>543</w:t>
            </w:r>
          </w:p>
        </w:tc>
        <w:tc>
          <w:tcPr>
            <w:tcMar>
              <w:top w:w="60" w:type="dxa"/>
              <w:left w:w="100" w:type="dxa"/>
              <w:bottom w:w="60" w:type="dxa"/>
              <w:right w:w="100" w:type="dxa"/>
            </w:tcMar>
          </w:tcPr>
          <w:p>
            <w:r>
              <w:t>274 claimed, 26 owned</w:t>
            </w:r>
          </w:p>
        </w:tc>
        <w:tc>
          <w:tcPr>
            <w:tcMar>
              <w:top w:w="60" w:type="dxa"/>
              <w:left w:w="100" w:type="dxa"/>
              <w:bottom w:w="60" w:type="dxa"/>
              <w:right w:w="100" w:type="dxa"/>
            </w:tcMar>
          </w:tcPr>
          <w:p>
            <w:r>
              <w:t>49.5 % / 95.2 % one-to-one</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-10 dB, Hys 2, TTT 640, RI 5120 x infinity</w:t>
            </w:r>
          </w:p>
        </w:tc>
        <w:tc>
          <w:tcPr>
            <w:tcMar>
              <w:top w:w="60" w:type="dxa"/>
              <w:left w:w="100" w:type="dxa"/>
              <w:bottom w:w="60" w:type="dxa"/>
              <w:right w:w="100" w:type="dxa"/>
            </w:tcMar>
          </w:tcPr>
          <w:p>
            <w:r>
              <w:t>431</w:t>
            </w:r>
          </w:p>
        </w:tc>
        <w:tc>
          <w:tcPr>
            <w:tcMar>
              <w:top w:w="60" w:type="dxa"/>
              <w:left w:w="100" w:type="dxa"/>
              <w:bottom w:w="60" w:type="dxa"/>
              <w:right w:w="100" w:type="dxa"/>
            </w:tcMar>
          </w:tcPr>
          <w:p>
            <w:r>
              <w:t>315 claimed, 71 owned</w:t>
            </w:r>
          </w:p>
        </w:tc>
        <w:tc>
          <w:tcPr>
            <w:tcMar>
              <w:top w:w="60" w:type="dxa"/>
              <w:left w:w="100" w:type="dxa"/>
              <w:bottom w:w="60" w:type="dxa"/>
              <w:right w:w="100" w:type="dxa"/>
            </w:tcMar>
          </w:tcPr>
          <w:p>
            <w:r>
              <w:t>26.9 % / 83.5 % one-to-one</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-10 dB, Hys 2, TTT 640, RI 5120 x r1</w:t>
            </w:r>
          </w:p>
        </w:tc>
        <w:tc>
          <w:tcPr>
            <w:tcMar>
              <w:top w:w="60" w:type="dxa"/>
              <w:left w:w="100" w:type="dxa"/>
              <w:bottom w:w="60" w:type="dxa"/>
              <w:right w:w="100" w:type="dxa"/>
            </w:tcMar>
          </w:tcPr>
          <w:p>
            <w:r>
              <w:t>278</w:t>
            </w:r>
          </w:p>
        </w:tc>
        <w:tc>
          <w:tcPr>
            <w:tcMar>
              <w:top w:w="60" w:type="dxa"/>
              <w:left w:w="100" w:type="dxa"/>
              <w:bottom w:w="60" w:type="dxa"/>
              <w:right w:w="100" w:type="dxa"/>
            </w:tcMar>
          </w:tcPr>
          <w:p>
            <w:r>
              <w:t>113 claimed, 19 owned</w:t>
            </w:r>
          </w:p>
        </w:tc>
        <w:tc>
          <w:tcPr>
            <w:tcMar>
              <w:top w:w="60" w:type="dxa"/>
              <w:left w:w="100" w:type="dxa"/>
              <w:bottom w:w="60" w:type="dxa"/>
              <w:right w:w="100" w:type="dxa"/>
            </w:tcMar>
          </w:tcPr>
          <w:p>
            <w:r>
              <w:t>59.4 % / 93.2 % one-to-one</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-15 dB, Hys 1, TTT 160, RI 2048 x infinity</w:t>
            </w:r>
          </w:p>
        </w:tc>
        <w:tc>
          <w:tcPr>
            <w:tcMar>
              <w:top w:w="60" w:type="dxa"/>
              <w:left w:w="100" w:type="dxa"/>
              <w:bottom w:w="60" w:type="dxa"/>
              <w:right w:w="100" w:type="dxa"/>
            </w:tcMar>
          </w:tcPr>
          <w:p>
            <w:r>
              <w:t>242</w:t>
            </w:r>
          </w:p>
        </w:tc>
        <w:tc>
          <w:tcPr>
            <w:tcMar>
              <w:top w:w="60" w:type="dxa"/>
              <w:left w:w="100" w:type="dxa"/>
              <w:bottom w:w="60" w:type="dxa"/>
              <w:right w:w="100" w:type="dxa"/>
            </w:tcMar>
          </w:tcPr>
          <w:p>
            <w:r>
              <w:t>141 claimed, 19 owned</w:t>
            </w:r>
          </w:p>
        </w:tc>
        <w:tc>
          <w:tcPr>
            <w:tcMar>
              <w:top w:w="60" w:type="dxa"/>
              <w:left w:w="100" w:type="dxa"/>
              <w:bottom w:w="60" w:type="dxa"/>
              <w:right w:w="100" w:type="dxa"/>
            </w:tcMar>
          </w:tcPr>
          <w:p>
            <w:r>
              <w:t>41.7 % / 92.1 % one-to-one</w:t>
            </w:r>
          </w:p>
        </w:tc>
      </w:tr>
    </w:tbl>
    <w:p w:rsidR="0015244F" w:rsidRDefault="0015244F">
      <w:pPr>
        <w:spacing w:after="120" w:line="240" w:lineRule="auto"/>
      </w:pPr>
    </w:p>
    <w:p w:rsidR="0015244F" w:rsidRDefault="00A565B8">
      <w:pPr>
        <w:keepNext/>
        <w:spacing w:before="240" w:after="120" w:line="240" w:lineRule="auto"/>
        <w:jc w:val="center"/>
      </w:pPr>
      <w:r>
        <w:rPr>
          <w:noProof/>
        </w:rPr>
        <w:lastRenderedPageBreak/>
        <w:drawing>
          <wp:inline distT="0" distB="0" distL="0" distR="0">
            <wp:extent cx="5762625" cy="321858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3218589"/>
                    </a:xfrm>
                    <a:prstGeom prst="rect">
                      <a:avLst/>
                    </a:prstGeom>
                  </pic:spPr>
                </pic:pic>
              </a:graphicData>
            </a:graphic>
          </wp:inline>
        </w:drawing>
      </w:r>
    </w:p>
    <w:p w:rsidR="0015244F" w:rsidRDefault="00A565B8">
      <w:pPr>
        <w:pStyle w:val="FigureCaption"/>
        <w:spacing w:after="240" w:line="240" w:lineRule="auto"/>
        <w:jc w:val="center"/>
      </w:pPr>
      <w:r>
        <w:t>Figure 5.14 A3 report conversion under three units. Counting transmitted reports counts periodic re-reports of one trigger; counting trigger episodes loosely lets several overlapping episodes claim the same command; the one-to-one unit matches each command to exactly one episode.</w:t>
      </w:r>
    </w:p>
    <w:p w:rsidR="0015244F" w:rsidRDefault="00A565B8">
      <w:pPr>
        <w:ind w:firstLine="567"/>
        <w:jc w:val="both"/>
      </w:pPr>
      <w:r>
        <w:t>Table 5.12 reports the conversion rate under three units, because the quantity has no unit-free value. Grouping consecutive reports of one measId whose spacing is consistent with the configured reportInterval into a single trigger episode reduces 8,136 transmitted A3 reports to 2,361 episodes, an average of 3.4 reports per episode. Counted per report, 63% of A3 reports are not followed by a handover command within two seconds. Counted per episode, asking only whether some command falls in the two seconds after the episode ends, the figure is 30%.</w:t>
      </w:r>
      <w:r>
        <w:rPr>
          <w:b/>
          <w:bCs/>
        </w:rPr>
      </w:r>
      <w:r/>
      <w:r/>
      <w:r>
        <w:rPr>
          <w:b/>
          <w:bCs/>
        </w:rPr>
      </w:r>
      <w:r/>
      <w:r/>
    </w:p>
    <w:p w:rsidR="0015244F" w:rsidRDefault="00A565B8">
      <w:pPr>
        <w:ind w:firstLine="567"/>
        <w:jc w:val="both"/>
      </w:pPr>
      <w:r>
        <w:t>That second figure is not a conversion rate, and an earlier version of this work reported it as though it were. Several measIds monitor different neighbours and fire within the same approach to a cell boundary, so the 2,361 episodes claim 1,647 commands between them out of the 957 that exist: the same command is counted by 2.6 episodes on average. Matching each command to exactly one episode — the one containing the report it is attributed to under the rule of Section 3.5 — leaves 635 episodes owning a command, so 73% of episodes are declined. Perversely, a configuration that re-reports on several identities scores a lower decline rate under the loose rule precisely because it is verbose, which inverts the interpretation the rate is used for.</w:t>
      </w:r>
      <w:r>
        <w:rPr>
          <w:b/>
          <w:bCs/>
        </w:rPr>
      </w:r>
      <w:r/>
      <w:r/>
      <w:r>
        <w:rPr>
          <w:b/>
          <w:bCs/>
        </w:rPr>
      </w:r>
      <w:r/>
      <w:r/>
    </w:p>
    <w:p w:rsidR="0015244F" w:rsidRDefault="00A565B8">
      <w:pPr>
        <w:ind w:firstLine="567"/>
        <w:jc w:val="both"/>
      </w:pPr>
      <w:r>
        <w:t>The instability is the finding. It is the same lesson as Section 5.10: a rate quoted without its unit is a statement about bookkeeping and not about the network, and the decline rate of a mobility trigger moves by a factor of two and a half between two defensible definitions of a single trial. The one direction that is well defined is the command side, where each command has exactly one attributed report: 651 of 957 handover commands are attributed to an A3 report.</w:t>
      </w:r>
      <w:r>
        <w:rPr>
          <w:b/>
          <w:bCs/>
        </w:rPr>
      </w:r>
      <w:r/>
      <w:r/>
      <w:r>
        <w:rPr>
          <w:b/>
          <w:bCs/>
        </w:rPr>
      </w:r>
      <w:r/>
      <w:r/>
    </w:p>
    <w:p w:rsidR="0015244F" w:rsidRDefault="00A565B8">
      <w:pPr>
        <w:ind w:firstLine="567"/>
        <w:jc w:val="both"/>
      </w:pPr>
      <w:r>
        <w:t>The per-profile breakdown, also in Table 5.12, is where the substantive result survives, and it survives more clearly under the stricter unit. The dominant mobility profile — +1 dB offset, 1 dB hysteresis, 320 ms time-to-trigger, 240 ms report interval — is declined on 36.9% of its episodes one-to-one, against 95.2% for the dominant negative-offset configuration. Under the loose unit the same pair reads 2.3% against 49.5%: the separation is present either way, and the strict unit widens it, because the monitoring configurations turn out to own almost no commands at all. That is what identifies them as neighbour-monitoring rather than mobility triggers.</w:t>
      </w:r>
      <w:r>
        <w:rPr>
          <w:b/>
          <w:bCs/>
        </w:rPr>
      </w:r>
      <w:r/>
      <w:r/>
      <w:r>
        <w:rPr>
          <w:b/>
          <w:bCs/>
        </w:rPr>
      </w:r>
      <w:r/>
      <w:r/>
    </w:p>
    <w:p w:rsidR="0015244F" w:rsidRDefault="00A565B8">
      <w:pPr>
        <w:ind w:firstLine="567"/>
        <w:jc w:val="both"/>
      </w:pPr>
      <w:r>
        <w:t>The conclusion for the literature is therefore not a corrected percentage. It is that a study using A3 reports as proxy labels for handovers must state its unit, must not let overlapping trigger episodes claim the same command, and must separate the mobility configuration from the rest before it counts anything.</w:t>
      </w:r>
      <w:r>
        <w:rPr>
          <w:b/>
          <w:bCs/>
        </w:rPr>
      </w:r>
      <w:r/>
      <w:r/>
      <w:r>
        <w:rPr>
          <w:b/>
          <w:bCs/>
        </w:rPr>
      </w:r>
      <w:r/>
      <w:r/>
    </w:p>
    <w:p w:rsidR="0015244F" w:rsidRDefault="00A565B8">
      <w:pPr>
        <w:pStyle w:val="Heading2"/>
        <w:spacing w:before="360" w:after="140"/>
      </w:pPr>
      <w:r>
        <w:t>5.10 Ping-pong: definitional instability and its actual source</w:t>
      </w:r>
    </w:p>
    <w:p w:rsidR="0015244F" w:rsidRDefault="00A565B8">
      <w:pPr>
        <w:ind w:firstLine="567"/>
        <w:jc w:val="both"/>
      </w:pPr>
      <w:r>
        <w:t>The second network finding concerns ping-pong, and it has two</w:t>
      </w:r>
      <w:r>
        <w:t xml:space="preserve"> parts: how much the reported rate depends on unstated definitional choices, and where the phenomenon actually concentrates.</w:t>
      </w:r>
    </w:p>
    <w:p w:rsidR="0015244F" w:rsidRDefault="00A565B8">
      <w:pPr>
        <w:ind w:firstLine="567"/>
        <w:jc w:val="both"/>
      </w:pPr>
      <w:r>
        <w:t>Table 5.13 reports the same fixed set of 957 handover commands under four definitions that differ only in choices the literature routinely leaves unstated, and Figure 5.15 extends that ladder to the full grid of window lengths.</w:t>
      </w:r>
      <w:r/>
    </w:p>
    <w:p w:rsidR="0015244F" w:rsidRDefault="00A565B8">
      <w:pPr>
        <w:pStyle w:val="TableCaption"/>
        <w:spacing w:before="240" w:after="120" w:line="240" w:lineRule="auto"/>
        <w:jc w:val="center"/>
      </w:pPr>
      <w:r>
        <w:t>Table 5.13 The ping-pong rate on one fixed set of handover commands under four definitions.</w:t>
      </w:r>
      <w:proofErr w:type="gramStart"/>
      <w:r/>
      <w:proofErr w:type="gramEnd"/>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Definition</w:t>
            </w:r>
          </w:p>
        </w:tc>
        <w:tc>
          <w:tcPr>
            <w:tcMar>
              <w:top w:w="60" w:type="dxa"/>
              <w:left w:w="100" w:type="dxa"/>
              <w:bottom w:w="60" w:type="dxa"/>
              <w:right w:w="100" w:type="dxa"/>
            </w:tcMar>
          </w:tcPr>
          <w:p>
            <w:r>
              <w:t>Handovers</w:t>
            </w:r>
          </w:p>
        </w:tc>
        <w:tc>
          <w:tcPr>
            <w:tcMar>
              <w:top w:w="60" w:type="dxa"/>
              <w:left w:w="100" w:type="dxa"/>
              <w:bottom w:w="60" w:type="dxa"/>
              <w:right w:w="100" w:type="dxa"/>
            </w:tcMar>
          </w:tcPr>
          <w:p>
            <w:r>
              <w:t>Rate</w:t>
            </w:r>
          </w:p>
        </w:tc>
      </w:tr>
      <w:tr w:rsidR="0015244F">
        <w:tblPrEx>
          <w:tblCellMar>
            <w:top w:w="0" w:type="dxa"/>
            <w:bottom w:w="0" w:type="dxa"/>
          </w:tblCellMar>
        </w:tblPrEx>
        <w:trPr>
          <w:tblHeader/>
        </w:trPr>
        <w:tc>
          <w:tcPr>
            <w:tcMar>
              <w:top w:w="60" w:type="dxa"/>
              <w:left w:w="100" w:type="dxa"/>
              <w:bottom w:w="60" w:type="dxa"/>
              <w:right w:w="100" w:type="dxa"/>
            </w:tcMar>
          </w:tcPr>
          <w:p>
            <w:r>
              <w:t>Return to the immediately previous cell, identified by PCI and carrier, within 15 s</w:t>
            </w:r>
          </w:p>
        </w:tc>
        <w:tc>
          <w:tcPr>
            <w:tcMar>
              <w:top w:w="60" w:type="dxa"/>
              <w:left w:w="100" w:type="dxa"/>
              <w:bottom w:w="60" w:type="dxa"/>
              <w:right w:w="100" w:type="dxa"/>
            </w:tcMar>
          </w:tcPr>
          <w:p>
            <w:r>
              <w:t>957</w:t>
            </w:r>
          </w:p>
        </w:tc>
        <w:tc>
          <w:tcPr>
            <w:tcMar>
              <w:top w:w="60" w:type="dxa"/>
              <w:left w:w="100" w:type="dxa"/>
              <w:bottom w:w="60" w:type="dxa"/>
              <w:right w:w="100" w:type="dxa"/>
            </w:tcMar>
          </w:tcPr>
          <w:p>
            <w:r>
              <w:t>26.3 %</w:t>
            </w:r>
          </w:p>
        </w:tc>
      </w:tr>
      <w:tr w:rsidR="0015244F">
        <w:tblPrEx>
          <w:tblCellMar>
            <w:top w:w="0" w:type="dxa"/>
            <w:bottom w:w="0" w:type="dxa"/>
          </w:tblCellMar>
        </w:tblPrEx>
        <w:trPr>
          <w:tblHeader/>
        </w:trPr>
        <w:tc>
          <w:tcPr>
            <w:tcMar>
              <w:top w:w="60" w:type="dxa"/>
              <w:left w:w="100" w:type="dxa"/>
              <w:bottom w:w="60" w:type="dxa"/>
              <w:right w:w="100" w:type="dxa"/>
            </w:tcMar>
          </w:tcPr>
          <w:p>
            <w:r>
              <w:t>The same, with the cell identified by PCI alone</w:t>
            </w:r>
          </w:p>
        </w:tc>
        <w:tc>
          <w:tcPr>
            <w:tcMar>
              <w:top w:w="60" w:type="dxa"/>
              <w:left w:w="100" w:type="dxa"/>
              <w:bottom w:w="60" w:type="dxa"/>
              <w:right w:w="100" w:type="dxa"/>
            </w:tcMar>
          </w:tcPr>
          <w:p>
            <w:r>
              <w:t>957</w:t>
            </w:r>
          </w:p>
        </w:tc>
        <w:tc>
          <w:tcPr>
            <w:tcMar>
              <w:top w:w="60" w:type="dxa"/>
              <w:left w:w="100" w:type="dxa"/>
              <w:bottom w:w="60" w:type="dxa"/>
              <w:right w:w="100" w:type="dxa"/>
            </w:tcMar>
          </w:tcPr>
          <w:p>
            <w:r>
              <w:t>31.2 %</w:t>
            </w:r>
          </w:p>
        </w:tc>
      </w:tr>
      <w:tr w:rsidR="0015244F">
        <w:tblPrEx>
          <w:tblCellMar>
            <w:top w:w="0" w:type="dxa"/>
            <w:bottom w:w="0" w:type="dxa"/>
          </w:tblCellMar>
        </w:tblPrEx>
        <w:trPr>
          <w:tblHeader/>
        </w:trPr>
        <w:tc>
          <w:tcPr>
            <w:tcMar>
              <w:top w:w="60" w:type="dxa"/>
              <w:left w:w="100" w:type="dxa"/>
              <w:bottom w:w="60" w:type="dxa"/>
              <w:right w:w="100" w:type="dxa"/>
            </w:tcMar>
          </w:tcPr>
          <w:p>
            <w:r>
              <w:t>Any return within the window, not only to the previous cell</w:t>
            </w:r>
          </w:p>
        </w:tc>
        <w:tc>
          <w:tcPr>
            <w:tcMar>
              <w:top w:w="60" w:type="dxa"/>
              <w:left w:w="100" w:type="dxa"/>
              <w:bottom w:w="60" w:type="dxa"/>
              <w:right w:w="100" w:type="dxa"/>
            </w:tcMar>
          </w:tcPr>
          <w:p>
            <w:r>
              <w:t>957</w:t>
            </w:r>
          </w:p>
        </w:tc>
        <w:tc>
          <w:tcPr>
            <w:tcMar>
              <w:top w:w="60" w:type="dxa"/>
              <w:left w:w="100" w:type="dxa"/>
              <w:bottom w:w="60" w:type="dxa"/>
              <w:right w:w="100" w:type="dxa"/>
            </w:tcMar>
          </w:tcPr>
          <w:p>
            <w:r>
              <w:t>43.8 %</w:t>
            </w:r>
          </w:p>
        </w:tc>
      </w:tr>
      <w:tr w:rsidR="0015244F">
        <w:tblPrEx>
          <w:tblCellMar>
            <w:top w:w="0" w:type="dxa"/>
            <w:bottom w:w="0" w:type="dxa"/>
          </w:tblCellMar>
        </w:tblPrEx>
        <w:trPr>
          <w:tblHeader/>
        </w:trPr>
        <w:tc>
          <w:tcPr>
            <w:tcMar>
              <w:top w:w="60" w:type="dxa"/>
              <w:left w:w="100" w:type="dxa"/>
              <w:bottom w:w="60" w:type="dxa"/>
              <w:right w:w="100" w:type="dxa"/>
            </w:tcMar>
          </w:tcPr>
          <w:p>
            <w:r>
              <w:t>Return to the immediately previous cell, restricted to commands inside retained blocks</w:t>
            </w:r>
          </w:p>
        </w:tc>
        <w:tc>
          <w:tcPr>
            <w:tcMar>
              <w:top w:w="60" w:type="dxa"/>
              <w:left w:w="100" w:type="dxa"/>
              <w:bottom w:w="60" w:type="dxa"/>
              <w:right w:w="100" w:type="dxa"/>
            </w:tcMar>
          </w:tcPr>
          <w:p>
            <w:r>
              <w:t>938</w:t>
            </w:r>
          </w:p>
        </w:tc>
        <w:tc>
          <w:tcPr>
            <w:tcMar>
              <w:top w:w="60" w:type="dxa"/>
              <w:left w:w="100" w:type="dxa"/>
              <w:bottom w:w="60" w:type="dxa"/>
              <w:right w:w="100" w:type="dxa"/>
            </w:tcMar>
          </w:tcPr>
          <w:p>
            <w:r>
              <w:t>28.7 %</w:t>
            </w:r>
          </w:p>
        </w:tc>
      </w:tr>
    </w:tbl>
    <w:p w:rsidR="0015244F" w:rsidRDefault="0015244F">
      <w:pPr>
        <w:spacing w:after="120" w:line="240" w:lineRule="auto"/>
      </w:pPr>
    </w:p>
    <w:p w:rsidR="0015244F" w:rsidRDefault="00A565B8">
      <w:pPr>
        <w:ind w:firstLine="567"/>
        <w:jc w:val="both"/>
      </w:pPr>
      <w:r>
        <w:t>The rate moves by 17 percentage points — from 26.3% to 43.8% — without a single change to the underlying measurement. This is the quantitative form of the observation in Section 2.4, and it is why this thesis quotes the strictest of the four and states all three choices alongside it. It also explains how Amirova et al. [15] arrive at 0.13 % on comparable data: dividing by measurement records rather than by handovers changes the denominator by two orders of magnitude.</w:t>
      </w:r>
      <w:r/>
      <w:proofErr w:type="spellStart"/>
      <w:r/>
      <w:proofErr w:type="spellEnd"/>
      <w:r/>
    </w:p>
    <w:p w:rsidR="0015244F" w:rsidRDefault="00A565B8">
      <w:pPr>
        <w:ind w:firstLine="567"/>
        <w:jc w:val="both"/>
      </w:pPr>
      <w:r>
        <w:t>The window length is a fourth choice, and Figure 5.15 reports the full grid rather than the single row of Table 5.13. Across three window lengths and three identity-and-return conventions the same 957 commands yield nine defensible ping-pong rates between 21.0% and 43.8%. No cell in that grid is wrong; what is wrong is publishing one of them without saying which.</w:t>
      </w:r>
      <w:r/>
      <w:r/>
    </w:p>
    <w:p w:rsidR="0015244F" w:rsidRDefault="00A565B8">
      <w:pPr>
        <w:keepNext/>
        <w:spacing w:before="240" w:after="120" w:line="240" w:lineRule="auto"/>
        <w:jc w:val="center"/>
      </w:pPr>
      <w:r>
        <w:rPr>
          <w:noProof/>
        </w:rPr>
        <w:lastRenderedPageBreak/>
        <w:drawing>
          <wp:inline distT="0" distB="0" distL="0" distR="0">
            <wp:extent cx="5762625" cy="35718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3571875"/>
                    </a:xfrm>
                    <a:prstGeom prst="rect">
                      <a:avLst/>
                    </a:prstGeom>
                  </pic:spPr>
                </pic:pic>
              </a:graphicData>
            </a:graphic>
          </wp:inline>
        </w:drawing>
      </w:r>
    </w:p>
    <w:p w:rsidR="0015244F" w:rsidRDefault="00A565B8">
      <w:pPr>
        <w:pStyle w:val="FigureCaption"/>
        <w:spacing w:after="240" w:line="240" w:lineRule="auto"/>
        <w:jc w:val="center"/>
      </w:pPr>
      <w:r>
        <w:t>Figure 5.15 The ping-pong rate over the full definitional grid: three return windows against three conventions for cell identity and return, computed on one unchanging set of handover commands.</w:t>
      </w:r>
      <w:proofErr w:type="gramStart"/>
      <w:r/>
      <w:proofErr w:type="gramEnd"/>
      <w:r/>
      <w:r/>
    </w:p>
    <w:p w:rsidR="0015244F" w:rsidRDefault="00A565B8">
      <w:pPr>
        <w:ind w:firstLine="567"/>
        <w:jc w:val="both"/>
      </w:pPr>
      <w:r>
        <w:t>Table 5.14 reports where the phenomenon concentrates.</w:t>
      </w:r>
    </w:p>
    <w:p w:rsidR="0015244F" w:rsidRDefault="00A565B8">
      <w:pPr>
        <w:pStyle w:val="TableCaption"/>
        <w:spacing w:before="240" w:after="120" w:line="240" w:lineRule="auto"/>
        <w:jc w:val="center"/>
      </w:pPr>
      <w:r>
        <w:t>Table 5.14 Ping-pong rate by carrier relationship and mobility regime.</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Stratum</w:t>
            </w:r>
          </w:p>
        </w:tc>
        <w:tc>
          <w:tcPr>
            <w:tcMar>
              <w:top w:w="60" w:type="dxa"/>
              <w:left w:w="100" w:type="dxa"/>
              <w:bottom w:w="60" w:type="dxa"/>
              <w:right w:w="100" w:type="dxa"/>
            </w:tcMar>
          </w:tcPr>
          <w:p>
            <w:r>
              <w:t>Handovers</w:t>
            </w:r>
          </w:p>
        </w:tc>
        <w:tc>
          <w:tcPr>
            <w:tcMar>
              <w:top w:w="60" w:type="dxa"/>
              <w:left w:w="100" w:type="dxa"/>
              <w:bottom w:w="60" w:type="dxa"/>
              <w:right w:w="100" w:type="dxa"/>
            </w:tcMar>
          </w:tcPr>
          <w:p>
            <w:r>
              <w:t>Ping-pong rate</w:t>
            </w:r>
          </w:p>
        </w:tc>
      </w:tr>
      <w:tr w:rsidR="0015244F">
        <w:tblPrEx>
          <w:tblCellMar>
            <w:top w:w="0" w:type="dxa"/>
            <w:bottom w:w="0" w:type="dxa"/>
          </w:tblCellMar>
        </w:tblPrEx>
        <w:trPr>
          <w:tblHeader/>
        </w:trPr>
        <w:tc>
          <w:tcPr>
            <w:tcMar>
              <w:top w:w="60" w:type="dxa"/>
              <w:left w:w="100" w:type="dxa"/>
              <w:bottom w:w="60" w:type="dxa"/>
              <w:right w:w="100" w:type="dxa"/>
            </w:tcMar>
          </w:tcPr>
          <w:p>
            <w:r>
              <w:t>intra-frequency handovers</w:t>
            </w:r>
          </w:p>
        </w:tc>
        <w:tc>
          <w:tcPr>
            <w:tcMar>
              <w:top w:w="60" w:type="dxa"/>
              <w:left w:w="100" w:type="dxa"/>
              <w:bottom w:w="60" w:type="dxa"/>
              <w:right w:w="100" w:type="dxa"/>
            </w:tcMar>
          </w:tcPr>
          <w:p>
            <w:r>
              <w:t>748</w:t>
            </w:r>
          </w:p>
        </w:tc>
        <w:tc>
          <w:tcPr>
            <w:tcMar>
              <w:top w:w="60" w:type="dxa"/>
              <w:left w:w="100" w:type="dxa"/>
              <w:bottom w:w="60" w:type="dxa"/>
              <w:right w:w="100" w:type="dxa"/>
            </w:tcMar>
          </w:tcPr>
          <w:p>
            <w:r>
              <w:t>27.1 %</w:t>
            </w:r>
          </w:p>
        </w:tc>
      </w:tr>
      <w:tr w:rsidR="0015244F">
        <w:tblPrEx>
          <w:tblCellMar>
            <w:top w:w="0" w:type="dxa"/>
            <w:bottom w:w="0" w:type="dxa"/>
          </w:tblCellMar>
        </w:tblPrEx>
        <w:trPr>
          <w:tblHeader/>
        </w:trPr>
        <w:tc>
          <w:tcPr>
            <w:tcMar>
              <w:top w:w="60" w:type="dxa"/>
              <w:left w:w="100" w:type="dxa"/>
              <w:bottom w:w="60" w:type="dxa"/>
              <w:right w:w="100" w:type="dxa"/>
            </w:tcMar>
          </w:tcPr>
          <w:p>
            <w:r>
              <w:t>inter-frequency handovers</w:t>
            </w:r>
          </w:p>
        </w:tc>
        <w:tc>
          <w:tcPr>
            <w:tcMar>
              <w:top w:w="60" w:type="dxa"/>
              <w:left w:w="100" w:type="dxa"/>
              <w:bottom w:w="60" w:type="dxa"/>
              <w:right w:w="100" w:type="dxa"/>
            </w:tcMar>
          </w:tcPr>
          <w:p>
            <w:r>
              <w:t>209</w:t>
            </w:r>
          </w:p>
        </w:tc>
        <w:tc>
          <w:tcPr>
            <w:tcMar>
              <w:top w:w="60" w:type="dxa"/>
              <w:left w:w="100" w:type="dxa"/>
              <w:bottom w:w="60" w:type="dxa"/>
              <w:right w:w="100" w:type="dxa"/>
            </w:tcMar>
          </w:tcPr>
          <w:p>
            <w:r>
              <w:t>7.2 %</w:t>
            </w:r>
          </w:p>
        </w:tc>
      </w:tr>
      <w:tr w:rsidR="0015244F">
        <w:tblPrEx>
          <w:tblCellMar>
            <w:top w:w="0" w:type="dxa"/>
            <w:bottom w:w="0" w:type="dxa"/>
          </w:tblCellMar>
        </w:tblPrEx>
        <w:trPr>
          <w:tblHeader/>
        </w:trPr>
        <w:tc>
          <w:tcPr>
            <w:tcMar>
              <w:top w:w="60" w:type="dxa"/>
              <w:left w:w="100" w:type="dxa"/>
              <w:bottom w:w="60" w:type="dxa"/>
              <w:right w:w="100" w:type="dxa"/>
            </w:tcMar>
          </w:tcPr>
          <w:p>
            <w:r>
              <w:t>highway campaign</w:t>
            </w:r>
          </w:p>
        </w:tc>
        <w:tc>
          <w:tcPr>
            <w:tcMar>
              <w:top w:w="60" w:type="dxa"/>
              <w:left w:w="100" w:type="dxa"/>
              <w:bottom w:w="60" w:type="dxa"/>
              <w:right w:w="100" w:type="dxa"/>
            </w:tcMar>
          </w:tcPr>
          <w:p>
            <w:r>
              <w:t>177</w:t>
            </w:r>
          </w:p>
        </w:tc>
        <w:tc>
          <w:tcPr>
            <w:tcMar>
              <w:top w:w="60" w:type="dxa"/>
              <w:left w:w="100" w:type="dxa"/>
              <w:bottom w:w="60" w:type="dxa"/>
              <w:right w:w="100" w:type="dxa"/>
            </w:tcMar>
          </w:tcPr>
          <w:p>
            <w:r>
              <w:t>32.2 %</w:t>
            </w:r>
          </w:p>
        </w:tc>
      </w:tr>
      <w:tr w:rsidR="0015244F">
        <w:tblPrEx>
          <w:tblCellMar>
            <w:top w:w="0" w:type="dxa"/>
            <w:bottom w:w="0" w:type="dxa"/>
          </w:tblCellMar>
        </w:tblPrEx>
        <w:trPr>
          <w:tblHeader/>
        </w:trPr>
        <w:tc>
          <w:tcPr>
            <w:tcMar>
              <w:top w:w="60" w:type="dxa"/>
              <w:left w:w="100" w:type="dxa"/>
              <w:bottom w:w="60" w:type="dxa"/>
              <w:right w:w="100" w:type="dxa"/>
            </w:tcMar>
          </w:tcPr>
          <w:p>
            <w:r>
              <w:t>urban campaigns</w:t>
            </w:r>
          </w:p>
        </w:tc>
        <w:tc>
          <w:tcPr>
            <w:tcMar>
              <w:top w:w="60" w:type="dxa"/>
              <w:left w:w="100" w:type="dxa"/>
              <w:bottom w:w="60" w:type="dxa"/>
              <w:right w:w="100" w:type="dxa"/>
            </w:tcMar>
          </w:tcPr>
          <w:p>
            <w:r>
              <w:t>780</w:t>
            </w:r>
          </w:p>
        </w:tc>
        <w:tc>
          <w:tcPr>
            <w:tcMar>
              <w:top w:w="60" w:type="dxa"/>
              <w:left w:w="100" w:type="dxa"/>
              <w:bottom w:w="60" w:type="dxa"/>
              <w:right w:w="100" w:type="dxa"/>
            </w:tcMar>
          </w:tcPr>
          <w:p>
            <w:r>
              <w:t>25.0 %</w:t>
            </w:r>
          </w:p>
        </w:tc>
      </w:tr>
    </w:tbl>
    <w:p w:rsidR="0015244F" w:rsidRDefault="0015244F">
      <w:pPr>
        <w:spacing w:after="120" w:line="240" w:lineRule="auto"/>
      </w:pPr>
    </w:p>
    <w:p w:rsidR="0015244F" w:rsidRDefault="00A565B8">
      <w:pPr>
        <w:keepNext/>
        <w:spacing w:before="240" w:after="120" w:line="240" w:lineRule="auto"/>
        <w:jc w:val="center"/>
      </w:pPr>
      <w:r>
        <w:rPr>
          <w:noProof/>
        </w:rPr>
        <w:lastRenderedPageBreak/>
        <w:drawing>
          <wp:inline distT="0" distB="0" distL="0" distR="0">
            <wp:extent cx="5762625" cy="2724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2724150"/>
                    </a:xfrm>
                    <a:prstGeom prst="rect">
                      <a:avLst/>
                    </a:prstGeom>
                  </pic:spPr>
                </pic:pic>
              </a:graphicData>
            </a:graphic>
          </wp:inline>
        </w:drawing>
      </w:r>
    </w:p>
    <w:p w:rsidR="0015244F" w:rsidRDefault="00A565B8">
      <w:pPr>
        <w:pStyle w:val="FigureCaption"/>
        <w:spacing w:after="240" w:line="240" w:lineRule="auto"/>
        <w:jc w:val="center"/>
      </w:pPr>
      <w:r>
        <w:t>Figure 5.16 Where ping-pong concentrates. The dominant axis is the carrier relationship, not the mobility regime.</w:t>
      </w:r>
      <w:proofErr w:type="gramStart"/>
      <w:r/>
      <w:proofErr w:type="gramEnd"/>
      <w:r/>
      <w:r/>
    </w:p>
    <w:p w:rsidR="0015244F" w:rsidRDefault="00A565B8">
      <w:pPr>
        <w:ind w:firstLine="567"/>
        <w:jc w:val="both"/>
      </w:pPr>
      <w:r>
        <w:t>Figure 5.16 separates the strata. Ping-pong is concentrated in intra-frequency handovers, at 27.1% against 7.2% across carriers. It is not driven by speed: the highway campaign, at roughly twice the urban mean speed, returns at 32.2% against 25.0% on the urban campaigns. The lever available to an operator is therefore the time-to-trigger and offset of the dominant configuration profile rather than any speed-dependent adaptation, and this thesis stops short of claiming a causal effect for such a change, for the reason given in Section 5.13.</w:t>
      </w:r>
      <w:r>
        <w:rPr>
          <w:b/>
          <w:bCs/>
        </w:rPr>
      </w:r>
      <w:r/>
      <w:r/>
      <w:r>
        <w:rPr>
          <w:i/>
          <w:iCs/>
        </w:rPr>
      </w:r>
      <w:r/>
      <w:r/>
    </w:p>
    <w:p w:rsidR="0015244F" w:rsidRDefault="00A565B8">
      <w:pPr>
        <w:ind w:firstLine="567"/>
        <w:jc w:val="both"/>
      </w:pPr>
      <w:r>
        <w:t>Modelling the arrival stream as a self-exciting process supports the same conclusion from a different direction. The fitted Hawkes branching ratio is 0.653 on the pooled stream, so each handover command is followed on average by roughly 0.7 further commands attributable to it; per campaign the estimates run from 0.487 to 0.675. The clustering is real and is the reason Section 5.8 separates quiet rows from rows inside a burst; its temporal shape is not exponential, since the Ogata residual test rejects the exponential kernel, and that rejection is reported rather than suppressed.</w:t>
      </w:r>
      <w:r/>
      <w:r/>
      <w:r>
        <w:rPr>
          <w:i/>
          <w:iCs/>
        </w:rPr>
      </w:r>
      <w:r/>
      <w:r>
        <w:rPr>
          <w:i/>
          <w:iCs/>
        </w:rPr>
      </w:r>
      <w:r/>
      <w:r/>
    </w:p>
    <w:p w:rsidR="0015244F" w:rsidRDefault="00A565B8">
      <w:pPr>
        <w:keepNext/>
        <w:spacing w:before="240" w:after="120" w:line="240" w:lineRule="auto"/>
        <w:jc w:val="center"/>
      </w:pPr>
      <w:r>
        <w:rPr>
          <w:noProof/>
        </w:rPr>
        <w:lastRenderedPageBreak/>
        <w:drawing>
          <wp:inline distT="0" distB="0" distL="0" distR="0">
            <wp:extent cx="5762625" cy="34575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2625" cy="3457575"/>
                    </a:xfrm>
                    <a:prstGeom prst="rect">
                      <a:avLst/>
                    </a:prstGeom>
                  </pic:spPr>
                </pic:pic>
              </a:graphicData>
            </a:graphic>
          </wp:inline>
        </w:drawing>
      </w:r>
    </w:p>
    <w:p w:rsidR="0015244F" w:rsidRDefault="00A565B8">
      <w:pPr>
        <w:pStyle w:val="FigureCaption"/>
        <w:spacing w:after="240" w:line="240" w:lineRule="auto"/>
        <w:jc w:val="center"/>
      </w:pPr>
      <w:r>
        <w:t>Figure 5.17 Hawkes branching ratio estimated on each campaign separately and on the pooled stream, with bootstrap intervals.</w:t>
      </w:r>
      <w:r/>
    </w:p>
    <w:p w:rsidR="0015244F" w:rsidRDefault="00A565B8">
      <w:pPr>
        <w:keepNext/>
        <w:spacing w:before="240" w:after="120" w:line="240" w:lineRule="auto"/>
        <w:jc w:val="center"/>
      </w:pPr>
      <w:r>
        <w:rPr>
          <w:noProof/>
        </w:rPr>
        <w:drawing>
          <wp:inline distT="0" distB="0" distL="0" distR="0">
            <wp:extent cx="5762625" cy="28003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2625" cy="2800350"/>
                    </a:xfrm>
                    <a:prstGeom prst="rect">
                      <a:avLst/>
                    </a:prstGeom>
                  </pic:spPr>
                </pic:pic>
              </a:graphicData>
            </a:graphic>
          </wp:inline>
        </w:drawing>
      </w:r>
    </w:p>
    <w:p w:rsidR="0015244F" w:rsidRDefault="00A565B8">
      <w:pPr>
        <w:pStyle w:val="FigureCaption"/>
        <w:spacing w:after="240" w:line="240" w:lineRule="auto"/>
        <w:jc w:val="center"/>
      </w:pPr>
      <w:r>
        <w:t>Figure 5.18 Self-excitation in the handover arrival stream. The clustering is real; the Ogata residual test rejects the exponential kernel, so its temporal shape is not exponential.</w:t>
      </w:r>
      <w:r/>
    </w:p>
    <w:p w:rsidR="0015244F" w:rsidRDefault="00A565B8">
      <w:pPr>
        <w:pStyle w:val="Heading2"/>
        <w:spacing w:before="360" w:after="140"/>
      </w:pPr>
      <w:r>
        <w:t>5.11 Negative results and the cost of the audit</w:t>
      </w:r>
    </w:p>
    <w:p w:rsidR="0015244F" w:rsidRDefault="00A565B8">
      <w:pPr>
        <w:ind w:firstLine="567"/>
        <w:jc w:val="both"/>
      </w:pPr>
      <w:r>
        <w:t>Five approaches were implemented in good faith, measured, and did not help; they are reported because a claim that the formulation and the protocol are what matter is credible only if the alternatives were tried. Table 5.15 lists them.</w:t>
      </w:r>
      <w:r/>
    </w:p>
    <w:p w:rsidR="0015244F" w:rsidRDefault="00A565B8">
      <w:pPr>
        <w:pStyle w:val="TableCaption"/>
        <w:spacing w:before="240" w:after="120" w:line="240" w:lineRule="auto"/>
        <w:jc w:val="center"/>
      </w:pPr>
      <w:r>
        <w:t>Table 5.15 Approaches implemented and measured that produced no improvement.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tblGrid>
      <w:tr w:rsidR="0015244F">
        <w:tblPrEx>
          <w:tblCellMar>
            <w:top w:w="0" w:type="dxa"/>
            <w:bottom w:w="0" w:type="dxa"/>
          </w:tblCellMar>
        </w:tblPrEx>
        <w:trPr>
          <w:tblHeader/>
        </w:trPr>
        <w:tc>
          <w:tcPr>
            <w:tcMar>
              <w:top w:w="60" w:type="dxa"/>
              <w:left w:w="100" w:type="dxa"/>
              <w:bottom w:w="60" w:type="dxa"/>
              <w:right w:w="100" w:type="dxa"/>
            </w:tcMar>
          </w:tcPr>
          <w:p>
            <w:r>
              <w:t>Approach</w:t>
            </w:r>
          </w:p>
        </w:tc>
        <w:tc>
          <w:tcPr>
            <w:tcMar>
              <w:top w:w="60" w:type="dxa"/>
              <w:left w:w="100" w:type="dxa"/>
              <w:bottom w:w="60" w:type="dxa"/>
              <w:right w:w="100" w:type="dxa"/>
            </w:tcMar>
          </w:tcPr>
          <w:p>
            <w:r>
              <w:t>Outcome</w:t>
            </w:r>
          </w:p>
        </w:tc>
      </w:tr>
      <w:tr w:rsidR="0015244F">
        <w:tblPrEx>
          <w:tblCellMar>
            <w:top w:w="0" w:type="dxa"/>
            <w:bottom w:w="0" w:type="dxa"/>
          </w:tblCellMar>
        </w:tblPrEx>
        <w:trPr>
          <w:tblHeader/>
        </w:trPr>
        <w:tc>
          <w:tcPr>
            <w:tcMar>
              <w:top w:w="60" w:type="dxa"/>
              <w:left w:w="100" w:type="dxa"/>
              <w:bottom w:w="60" w:type="dxa"/>
              <w:right w:w="100" w:type="dxa"/>
            </w:tcMar>
          </w:tcPr>
          <w:p>
            <w:r>
              <w:t>A dedicated ping-pong classifier</w:t>
            </w:r>
          </w:p>
        </w:tc>
        <w:tc>
          <w:tcPr>
            <w:tcMar>
              <w:top w:w="60" w:type="dxa"/>
              <w:left w:w="100" w:type="dxa"/>
              <w:bottom w:w="60" w:type="dxa"/>
              <w:right w:w="100" w:type="dxa"/>
            </w:tcMar>
          </w:tcPr>
          <w:p>
            <w:r>
              <w:t>AUROC 0.51 at the one-second horizon — chance</w:t>
            </w:r>
          </w:p>
        </w:tc>
      </w:tr>
      <w:tr w:rsidR="0015244F">
        <w:tblPrEx>
          <w:tblCellMar>
            <w:top w:w="0" w:type="dxa"/>
            <w:bottom w:w="0" w:type="dxa"/>
          </w:tblCellMar>
        </w:tblPrEx>
        <w:trPr>
          <w:tblHeader/>
        </w:trPr>
        <w:tc>
          <w:tcPr>
            <w:tcMar>
              <w:top w:w="60" w:type="dxa"/>
              <w:left w:w="100" w:type="dxa"/>
              <w:bottom w:w="60" w:type="dxa"/>
              <w:right w:w="100" w:type="dxa"/>
            </w:tcMar>
          </w:tcPr>
          <w:p>
            <w:r>
              <w:t>Deep CORAL and a second unsupervised domain-adaptation method</w:t>
            </w:r>
          </w:p>
        </w:tc>
        <w:tc>
          <w:tcPr>
            <w:tcMar>
              <w:top w:w="60" w:type="dxa"/>
              <w:left w:w="100" w:type="dxa"/>
              <w:bottom w:w="60" w:type="dxa"/>
              <w:right w:w="100" w:type="dxa"/>
            </w:tcMar>
          </w:tcPr>
          <w:p>
            <w:r>
              <w:t>No gain over source-only training</w:t>
            </w:r>
          </w:p>
        </w:tc>
      </w:tr>
      <w:tr w:rsidR="0015244F">
        <w:tblPrEx>
          <w:tblCellMar>
            <w:top w:w="0" w:type="dxa"/>
            <w:bottom w:w="0" w:type="dxa"/>
          </w:tblCellMar>
        </w:tblPrEx>
        <w:trPr>
          <w:tblHeader/>
        </w:trPr>
        <w:tc>
          <w:tcPr>
            <w:tcMar>
              <w:top w:w="60" w:type="dxa"/>
              <w:left w:w="100" w:type="dxa"/>
              <w:bottom w:w="60" w:type="dxa"/>
              <w:right w:w="100" w:type="dxa"/>
            </w:tcMar>
          </w:tcPr>
          <w:p>
            <w:r>
              <w:t>Sequence models (GRU, TCN, Transformer) on the same features</w:t>
            </w:r>
          </w:p>
        </w:tc>
        <w:tc>
          <w:tcPr>
            <w:tcMar>
              <w:top w:w="60" w:type="dxa"/>
              <w:left w:w="100" w:type="dxa"/>
              <w:bottom w:w="60" w:type="dxa"/>
              <w:right w:w="100" w:type="dxa"/>
            </w:tcMar>
          </w:tcPr>
          <w:p>
            <w:r>
              <w:t>No gain over gradient-boosted trees; best sequence AUPRC at 1 s 0.167 against 0.179</w:t>
            </w:r>
          </w:p>
        </w:tc>
      </w:tr>
      <w:tr w:rsidR="0015244F">
        <w:tblPrEx>
          <w:tblCellMar>
            <w:top w:w="0" w:type="dxa"/>
            <w:bottom w:w="0" w:type="dxa"/>
          </w:tblCellMar>
        </w:tblPrEx>
        <w:trPr>
          <w:tblHeader/>
        </w:trPr>
        <w:tc>
          <w:tcPr>
            <w:tcMar>
              <w:top w:w="60" w:type="dxa"/>
              <w:left w:w="100" w:type="dxa"/>
              <w:bottom w:w="60" w:type="dxa"/>
              <w:right w:w="100" w:type="dxa"/>
            </w:tcMar>
          </w:tcPr>
          <w:p>
            <w:r>
              <w:t>The signalling feature block added to the main set</w:t>
            </w:r>
          </w:p>
        </w:tc>
        <w:tc>
          <w:tcPr>
            <w:tcMar>
              <w:top w:w="60" w:type="dxa"/>
              <w:left w:w="100" w:type="dxa"/>
              <w:bottom w:w="60" w:type="dxa"/>
              <w:right w:w="100" w:type="dxa"/>
            </w:tcMar>
          </w:tcPr>
          <w:p>
            <w:r>
              <w:t>AUPRC at 1 s 0.168 against 0.179 without it</w:t>
            </w:r>
          </w:p>
        </w:tc>
      </w:tr>
      <w:tr w:rsidR="0015244F">
        <w:tblPrEx>
          <w:tblCellMar>
            <w:top w:w="0" w:type="dxa"/>
            <w:bottom w:w="0" w:type="dxa"/>
          </w:tblCellMar>
        </w:tblPrEx>
        <w:trPr>
          <w:tblHeader/>
        </w:trPr>
        <w:tc>
          <w:tcPr>
            <w:tcMar>
              <w:top w:w="60" w:type="dxa"/>
              <w:left w:w="100" w:type="dxa"/>
              <w:bottom w:w="60" w:type="dxa"/>
              <w:right w:w="100" w:type="dxa"/>
            </w:tcMar>
          </w:tcPr>
          <w:p>
            <w:r>
              <w:t>The unlagged (v1) feature alignment</w:t>
            </w:r>
          </w:p>
        </w:tc>
        <w:tc>
          <w:tcPr>
            <w:tcMar>
              <w:top w:w="60" w:type="dxa"/>
              <w:left w:w="100" w:type="dxa"/>
              <w:bottom w:w="60" w:type="dxa"/>
              <w:right w:w="100" w:type="dxa"/>
            </w:tcMar>
          </w:tcPr>
          <w:p>
            <w:r>
              <w:t>AUPRC at 1 s 0.600, an artefact of the export row semantics (Section 5.1)</w:t>
            </w:r>
          </w:p>
        </w:tc>
      </w:tr>
    </w:tbl>
    <w:p w:rsidR="0015244F" w:rsidRDefault="0015244F">
      <w:pPr>
        <w:spacing w:after="120" w:line="240" w:lineRule="auto"/>
      </w:pPr>
    </w:p>
    <w:p w:rsidR="0015244F" w:rsidRDefault="00A565B8">
      <w:pPr>
        <w:keepNext/>
        <w:spacing w:before="240" w:after="120" w:line="240" w:lineRule="auto"/>
        <w:jc w:val="center"/>
      </w:pPr>
      <w:r>
        <w:rPr>
          <w:noProof/>
        </w:rPr>
        <w:drawing>
          <wp:inline distT="0" distB="0" distL="0" distR="0">
            <wp:extent cx="5762625" cy="2566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62625" cy="2566300"/>
                    </a:xfrm>
                    <a:prstGeom prst="rect">
                      <a:avLst/>
                    </a:prstGeom>
                  </pic:spPr>
                </pic:pic>
              </a:graphicData>
            </a:graphic>
          </wp:inline>
        </w:drawing>
      </w:r>
    </w:p>
    <w:p w:rsidR="0015244F" w:rsidRDefault="00A565B8">
      <w:pPr>
        <w:pStyle w:val="FigureCaption"/>
        <w:spacing w:after="240" w:line="240" w:lineRule="auto"/>
        <w:jc w:val="center"/>
      </w:pPr>
      <w:r>
        <w:t>Figure 5.19 Feature-block, alignment and censoring ablations at one and five seconds, out of fold under leave-one-campaign-out, with the spread over three seeds.</w:t>
      </w:r>
    </w:p>
    <w:p w:rsidR="0015244F" w:rsidRDefault="00A565B8">
      <w:pPr>
        <w:ind w:firstLine="567"/>
        <w:jc w:val="both"/>
      </w:pPr>
      <w:r>
        <w:t>Table 5.15 lists them and Figure 5.19 sets each against the configuration that was retained. The dedicated ping-pong classifier is the most informative: ping-pong is highly structured at the population level, as Section 5.10 shows, and yet whether a particular transfer will be reversed is close to unpredictable from these inputs, which is consistent with it depending on the state of the target cell that the handset does not observe.</w:t>
      </w:r>
      <w:r/>
      <w:r/>
    </w:p>
    <w:p w:rsidR="0015244F" w:rsidRDefault="00A565B8">
      <w:pPr>
        <w:ind w:firstLine="567"/>
        <w:jc w:val="both"/>
      </w:pPr>
      <w:r>
        <w:lastRenderedPageBreak/>
        <w:t xml:space="preserve">The domain-adaptation null is consistent with published benchmarking rather than indicative of a faulty implementation. Ismail </w:t>
      </w:r>
      <w:proofErr w:type="spellStart"/>
      <w:r>
        <w:t>Fawaz</w:t>
      </w:r>
      <w:proofErr w:type="spellEnd"/>
      <w:r>
        <w:t xml:space="preserve"> et al. [25] benchmark ni</w:t>
      </w:r>
      <w:r>
        <w:t>ne unsupervised domain-adaptation algorithms over twelve time-series datasets and find several published methods performing worse than source-only training, with the adaptation technique rather than the backbone driving the outcome; the result here has the</w:t>
      </w:r>
      <w:r>
        <w:t xml:space="preserve"> same shape.</w:t>
      </w:r>
    </w:p>
    <w:p w:rsidR="0015244F" w:rsidRDefault="00A565B8">
      <w:pPr>
        <w:ind w:firstLine="567"/>
        <w:jc w:val="both"/>
      </w:pPr>
      <w:r>
        <w:t>The largest negative result in this thesis is the alignment audit of Section 5.1, and it is recorded here as such: the strongest configuration this project measured — AUPRC 0.600 at one second — was an artefact of a one-second misalignment between the measurement grid and the event clock, and the corrected figure is 0.179. Retaining that result would have produced a more impressive thesis and a false one.</w:t>
      </w:r>
      <w:proofErr w:type="spellStart"/>
      <w:r/>
      <w:proofErr w:type="spellEnd"/>
      <w:r/>
      <w:r/>
      <w:proofErr w:type="spellStart"/>
      <w:r/>
      <w:proofErr w:type="spellEnd"/>
      <w:r/>
      <w:proofErr w:type="spellStart"/>
      <w:r/>
      <w:proofErr w:type="spellEnd"/>
      <w:r/>
    </w:p>
    <w:p w:rsidR="0015244F" w:rsidRDefault="00A565B8">
      <w:pPr>
        <w:ind w:firstLine="567"/>
        <w:jc w:val="both"/>
      </w:pPr>
      <w:r>
        <w:t xml:space="preserve">Finally, removing the </w:t>
      </w:r>
      <w:proofErr w:type="spellStart"/>
      <w:r>
        <w:t>signalling</w:t>
      </w:r>
      <w:proofErr w:type="spellEnd"/>
      <w:r>
        <w:t xml:space="preserve"> leakage guard of Secti</w:t>
      </w:r>
      <w:r>
        <w:t xml:space="preserve">on 4.6 raises the apparent score substantially, which is the expected </w:t>
      </w:r>
      <w:proofErr w:type="spellStart"/>
      <w:r>
        <w:t>behaviour</w:t>
      </w:r>
      <w:proofErr w:type="spellEnd"/>
      <w:r>
        <w:t xml:space="preserve"> of a leak and is the reason the guard exists. That configuration is not reported as a result anywhere in this thesis.</w:t>
      </w:r>
    </w:p>
    <w:p w:rsidR="0015244F" w:rsidRDefault="00A565B8">
      <w:pPr>
        <w:pStyle w:val="Heading2"/>
        <w:spacing w:before="360" w:after="140"/>
      </w:pPr>
      <w:r>
        <w:t>5.12 Discussion against the objectives</w:t>
      </w:r>
    </w:p>
    <w:p w:rsidR="0015244F" w:rsidRDefault="00A565B8">
      <w:pPr>
        <w:ind w:firstLine="567"/>
        <w:jc w:val="both"/>
      </w:pPr>
      <w:r>
        <w:t>Objective O1 is met in a qualified form: the next handover command is predicted one second ahead at AUPRC 0.179 against a 6.8% floor (2.6x) and AUROC 0.777, from quantities a handset observes strictly before the prediction instant, against AUPRC 0.116 for the rule presently deployed. The qualification is that this is a modest signal, well short of what an uncorrected protocol reports on the same data.</w:t>
      </w:r>
      <w:r/>
    </w:p>
    <w:p w:rsidR="0015244F" w:rsidRDefault="00A565B8">
      <w:pPr>
        <w:ind w:firstLine="567"/>
        <w:jc w:val="both"/>
      </w:pPr>
      <w:r>
        <w:t>Objective O2 is met, and the answer is larger than the modelling differences the thesis reports. Between the leakiest and the soundest protocol the one-second AUPRC of the primary model moves by 48 %, and a one-row misalignment moves it by 236 % — both larger than the gap between the best and worst learner under a fixed protocol.</w:t>
      </w:r>
      <w:r/>
    </w:p>
    <w:p w:rsidR="0015244F" w:rsidRDefault="00A565B8">
      <w:pPr>
        <w:ind w:firstLine="567"/>
        <w:jc w:val="both"/>
      </w:pPr>
      <w:r>
        <w:t>Objective O3 is met in part. Coherence is exact by construction, and the guarantee is reported with the alarm rate it costs, the feasibility floor set by the number of calibration units, and the measured behaviour in the non-exchangeable regime. The part that is not met is the estimand: the bound certified here is over rows, and the per-handover bound the objective asks for cannot be certified at one second on a one-hertz grid at all, because 36.4% of commands have no usable row in their lead window. It becomes expressible at three seconds, at an alarm rate near one second in two.</w:t>
      </w:r>
      <w:r/>
    </w:p>
    <w:p w:rsidR="0015244F" w:rsidRDefault="00A565B8">
      <w:pPr>
        <w:ind w:firstLine="567"/>
        <w:jc w:val="both"/>
      </w:pPr>
      <w:r>
        <w:t>Objective O4 is met at two distances: leave-one-campaign-out AUROC between 0.765 and 0.805, including 0.769 on the highway corridor, and AUROC 0.760 on an independent collection on the same network.</w:t>
      </w:r>
    </w:p>
    <w:p w:rsidR="0015244F" w:rsidRDefault="00A565B8">
      <w:pPr>
        <w:ind w:firstLine="567"/>
        <w:jc w:val="both"/>
      </w:pPr>
      <w:r>
        <w:t>Objective O5 is met in corrected form. The single strongest lesson is methodological — the alignment audit — and the substantive one is that the quantity Event A3 thresholds on is a weak predictor of imminence (AUROC 0.618 alone), while no single available feature replaces it.</w:t>
      </w:r>
      <w:r/>
    </w:p>
    <w:p w:rsidR="0015244F" w:rsidRDefault="00A565B8">
      <w:pPr>
        <w:pStyle w:val="Heading2"/>
        <w:spacing w:before="360" w:after="140"/>
      </w:pPr>
      <w:r>
        <w:t>5.13 Threats to validity</w:t>
      </w:r>
    </w:p>
    <w:p w:rsidR="0015244F" w:rsidRDefault="00A565B8">
      <w:pPr>
        <w:ind w:firstLine="567"/>
        <w:jc w:val="both"/>
      </w:pPr>
      <w:r>
        <w:t>Five threats bear on the results above and are stated here rather than deferred.</w:t>
      </w:r>
      <w:r/>
    </w:p>
    <w:p w:rsidR="0015244F" w:rsidRDefault="00A565B8">
      <w:pPr>
        <w:ind w:firstLine="567"/>
        <w:jc w:val="both"/>
      </w:pPr>
      <w:r>
        <w:rPr>
          <w:b/>
          <w:bCs/>
        </w:rPr>
        <w:t xml:space="preserve">Scale and coverage. </w:t>
      </w:r>
      <w:r>
        <w:rPr>
          <w:b w:val="0"/>
        </w:rPr>
        <w:t>The evidence is four continuous sessions on one operator over four days. Four units bound what any paired test can say, and the block bootstrap intervals quoted alongside are conditional on those four sessions. A second operator would test what a second corridor cannot.</w:t>
      </w:r>
      <w:r/>
    </w:p>
    <w:p w:rsidR="0015244F" w:rsidRDefault="00A565B8">
      <w:pPr>
        <w:ind w:firstLine="567"/>
        <w:jc w:val="both"/>
      </w:pPr>
      <w:r>
        <w:rPr>
          <w:b/>
          <w:bCs/>
        </w:rPr>
        <w:t xml:space="preserve">Residual alignment risk. </w:t>
      </w:r>
      <w:r>
        <w:rPr>
          <w:b w:val="0"/>
        </w:rPr>
        <w:t>The audit of Section 5.1 establishes that a one-row lag is necessary and, on the evidence of the isolated-handover baseline, sufficient on this export. It does not establish the exact semantics of the XCAL row timestamp, which the vendor documentation does not state; a native-rate export would settle it. Every result here is therefore conservative by one sample period rather than exact. The mechanism of Section 5.1 narrows the residual risk but does not remove it: it accounts for the sign and the intra-second gradient of the effect, and for the 22% of handovers where the export refreshes its serving-cell field a row late, but a one-row lag remains a conservative repair chosen without vendor confirmation of the write rule.</w:t>
      </w:r>
      <w:r/>
    </w:p>
    <w:p w:rsidR="0015244F" w:rsidRDefault="00A565B8">
      <w:pPr>
        <w:ind w:firstLine="567"/>
        <w:jc w:val="both"/>
      </w:pPr>
      <w:r>
        <w:rPr>
          <w:b/>
          <w:bCs/>
        </w:rPr>
        <w:t xml:space="preserve">Instrument ceiling. </w:t>
      </w:r>
      <w:r>
        <w:rPr>
          <w:b w:val="0"/>
        </w:rPr>
        <w:t>The one-hertz export caps event-level detection at 64.6% at one second, which bounds every event-level figure in Section 5.2.</w:t>
      </w:r>
      <w:r/>
    </w:p>
    <w:p w:rsidR="0015244F" w:rsidRDefault="00A565B8">
      <w:pPr>
        <w:ind w:firstLine="567"/>
        <w:jc w:val="both"/>
      </w:pPr>
      <w:r>
        <w:rPr>
          <w:b/>
          <w:bCs/>
        </w:rPr>
        <w:t>Causal identification.</w:t>
      </w:r>
      <w:r>
        <w:t xml:space="preserve"> No causal claim is made about the benefit of acting on a warning, and this is a matter of identification rather than of effort. The logging policy is deterministic: given the r</w:t>
      </w:r>
      <w:r>
        <w:t>adio state and the configuration, Event A3 either fires or it does not, so the propensity of the observed action is zero or one and the inverse-propensity weights required for off-policy evaluation are undefined. Only a counting upper bound on benefit is t</w:t>
      </w:r>
      <w:r>
        <w:t xml:space="preserve">herefore reported, and it </w:t>
      </w:r>
      <w:r>
        <w:lastRenderedPageBreak/>
        <w:t>peaks at a five-percent alarm budget and turns negative by forty. Section 7.3 identifies the design that would make the causal question answerable on data already held.</w:t>
      </w:r>
    </w:p>
    <w:p w:rsidR="0015244F" w:rsidRDefault="00A565B8">
      <w:pPr>
        <w:ind w:firstLine="567"/>
        <w:jc w:val="both"/>
      </w:pPr>
      <w:r>
        <w:rPr>
          <w:b/>
          <w:bCs/>
        </w:rPr>
        <w:t xml:space="preserve">Comparator availability. </w:t>
      </w:r>
      <w:r>
        <w:rPr>
          <w:b w:val="0"/>
        </w:rPr>
        <w:t>The nearest comparator method on this network is a reinforcement-learning formulation of the handover decision [39] developed in the same department on the same operator and instrument, whose released dataset is the one used in Section 5.7. It was reimplemented from its method description and scored as a predictor, where it proved close to uninformative — which is expected, since it optimises a decision rather than forecasting an event. The comparison is reported in Section 5.11 rather than as a headline, and its provenance is stated here because the two works share an institution and a supervisor.</w:t>
      </w:r>
      <w:r/>
      <w:r>
        <w:rPr>
          <w:i/>
          <w:iCs/>
        </w:rPr>
      </w:r>
      <w:r/>
      <w:proofErr w:type="spellStart"/>
      <w:r/>
      <w:proofErr w:type="spellEnd"/>
      <w:r/>
      <w:r/>
      <w:r/>
    </w:p>
    <w:p w:rsidR="0015244F" w:rsidRDefault="00A565B8">
      <w:pPr>
        <w:pageBreakBefore/>
        <w:jc w:val="center"/>
      </w:pPr>
      <w:r>
        <w:rPr>
          <w:b/>
          <w:bCs/>
          <w:sz w:val="40"/>
          <w:szCs w:val="40"/>
        </w:rPr>
        <w:lastRenderedPageBreak/>
        <w:t>CHAPTER 6</w:t>
      </w:r>
    </w:p>
    <w:p w:rsidR="0015244F" w:rsidRDefault="0015244F"/>
    <w:p w:rsidR="0015244F" w:rsidRDefault="00A565B8">
      <w:pPr>
        <w:pStyle w:val="Heading1"/>
        <w:jc w:val="center"/>
      </w:pPr>
      <w:r>
        <w:t>DEMONSTRATION OF OUTCOME BASED EDUCATION</w:t>
      </w:r>
    </w:p>
    <w:p w:rsidR="0015244F" w:rsidRDefault="0015244F"/>
    <w:p w:rsidR="0015244F" w:rsidRDefault="0015244F"/>
    <w:p w:rsidR="0015244F" w:rsidRDefault="00A565B8">
      <w:pPr>
        <w:ind w:firstLine="567"/>
        <w:jc w:val="both"/>
      </w:pPr>
      <w:r>
        <w:t>This chapter demonstrates how the work reported in Chapters 1 to 5 addresses t</w:t>
      </w:r>
      <w:r>
        <w:t>he course outcomes, program outcomes, knowledge profiles and complex engineering problem and activity attributes required of a capstone project in EEE 4700/4800. Each claim made here refers to a specific section of the thesis rather than asserting an attri</w:t>
      </w:r>
      <w:r>
        <w:t>bute in the abstract, and attributes that the work does not genuinely address are marked as such rather than claimed.</w:t>
      </w:r>
    </w:p>
    <w:p w:rsidR="0015244F" w:rsidRDefault="00A565B8">
      <w:pPr>
        <w:pStyle w:val="Heading2"/>
        <w:spacing w:before="360" w:after="140"/>
      </w:pPr>
      <w:r>
        <w:t>6.1 Introduction</w:t>
      </w:r>
    </w:p>
    <w:p w:rsidR="0015244F" w:rsidRDefault="00A565B8">
      <w:pPr>
        <w:ind w:firstLine="567"/>
        <w:jc w:val="both"/>
      </w:pPr>
      <w:r>
        <w:t>Outcome Based Education requires that a capstone project be assessed against what the student is able to do at its conclu</w:t>
      </w:r>
      <w:r>
        <w:t>sion rather than against the volume of work performed. The sections that follow map the activities of this project onto the defined outcomes, in the order set out in the departmental thesis format: course outcomes in Section 6.2, aspects of program outcome</w:t>
      </w:r>
      <w:r>
        <w:t>s in Section 6.3, knowledge profiles in Section 6.4, the use of complex engineering problems in Section 6.5, the socio-cultural, environmental and ethical impact in Section 6.6, and the attributes of complex engineering problem solving and complex engineer</w:t>
      </w:r>
      <w:r>
        <w:t>ing activities in Sections 6.7 and 6.8.</w:t>
      </w:r>
    </w:p>
    <w:p w:rsidR="0015244F" w:rsidRDefault="00A565B8">
      <w:pPr>
        <w:pStyle w:val="Heading2"/>
        <w:spacing w:before="360" w:after="140"/>
      </w:pPr>
      <w:r>
        <w:t>6.2 Course outcomes addressed</w:t>
      </w:r>
    </w:p>
    <w:p w:rsidR="0015244F" w:rsidRDefault="00A565B8">
      <w:pPr>
        <w:ind w:firstLine="567"/>
        <w:jc w:val="both"/>
      </w:pPr>
      <w:r>
        <w:t>Table 6.1 lists the course outcomes defined for EEE 4700 and indicates those addressed by this project.</w:t>
      </w:r>
    </w:p>
    <w:p w:rsidR="0015244F" w:rsidRDefault="00A565B8">
      <w:pPr>
        <w:pStyle w:val="TableCaption"/>
        <w:spacing w:before="240" w:after="120" w:line="240" w:lineRule="auto"/>
        <w:jc w:val="center"/>
      </w:pPr>
      <w:r>
        <w:t>Table 6.1 Course outcomes addressed in this project.</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6137"/>
        <w:gridCol w:w="896"/>
        <w:gridCol w:w="1191"/>
      </w:tblGrid>
      <w:tr w:rsidR="0015244F">
        <w:tblPrEx>
          <w:tblCellMar>
            <w:top w:w="0" w:type="dxa"/>
            <w:bottom w:w="0" w:type="dxa"/>
          </w:tblCellMar>
        </w:tblPrEx>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CO</w:t>
            </w:r>
          </w:p>
        </w:tc>
        <w:tc>
          <w:tcPr>
            <w:tcW w:w="6400" w:type="dxa"/>
            <w:tcMar>
              <w:top w:w="60" w:type="dxa"/>
              <w:left w:w="100" w:type="dxa"/>
              <w:bottom w:w="60" w:type="dxa"/>
              <w:right w:w="100" w:type="dxa"/>
            </w:tcMar>
          </w:tcPr>
          <w:p w:rsidR="0015244F" w:rsidRDefault="00A565B8">
            <w:pPr>
              <w:spacing w:line="240" w:lineRule="auto"/>
            </w:pPr>
            <w:r>
              <w:rPr>
                <w:b/>
                <w:bCs/>
                <w:sz w:val="22"/>
                <w:szCs w:val="22"/>
              </w:rPr>
              <w:t>CO statement</w:t>
            </w:r>
          </w:p>
        </w:tc>
        <w:tc>
          <w:tcPr>
            <w:tcW w:w="907" w:type="dxa"/>
            <w:tcMar>
              <w:top w:w="60" w:type="dxa"/>
              <w:left w:w="100" w:type="dxa"/>
              <w:bottom w:w="60" w:type="dxa"/>
              <w:right w:w="100" w:type="dxa"/>
            </w:tcMar>
          </w:tcPr>
          <w:p w:rsidR="0015244F" w:rsidRDefault="00A565B8">
            <w:pPr>
              <w:spacing w:line="240" w:lineRule="auto"/>
            </w:pPr>
            <w:r>
              <w:rPr>
                <w:b/>
                <w:bCs/>
                <w:sz w:val="22"/>
                <w:szCs w:val="22"/>
              </w:rPr>
              <w:t>PO</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CO1</w:t>
            </w:r>
          </w:p>
        </w:tc>
        <w:tc>
          <w:tcPr>
            <w:tcW w:w="6400" w:type="dxa"/>
            <w:tcMar>
              <w:top w:w="60" w:type="dxa"/>
              <w:left w:w="100" w:type="dxa"/>
              <w:bottom w:w="60" w:type="dxa"/>
              <w:right w:w="100" w:type="dxa"/>
            </w:tcMar>
          </w:tcPr>
          <w:p w:rsidR="0015244F" w:rsidRDefault="00A565B8">
            <w:pPr>
              <w:spacing w:line="240" w:lineRule="auto"/>
            </w:pPr>
            <w:r>
              <w:rPr>
                <w:sz w:val="22"/>
                <w:szCs w:val="22"/>
              </w:rPr>
              <w:t>Apply knowledge of electrical and electronic engineering to the solution of complex engineering problems</w:t>
            </w:r>
          </w:p>
        </w:tc>
        <w:tc>
          <w:tcPr>
            <w:tcW w:w="907" w:type="dxa"/>
            <w:tcMar>
              <w:top w:w="60" w:type="dxa"/>
              <w:left w:w="100" w:type="dxa"/>
              <w:bottom w:w="60" w:type="dxa"/>
              <w:right w:w="100" w:type="dxa"/>
            </w:tcMar>
          </w:tcPr>
          <w:p w:rsidR="0015244F" w:rsidRDefault="00A565B8">
            <w:pPr>
              <w:spacing w:line="240" w:lineRule="auto"/>
            </w:pPr>
            <w:r>
              <w:rPr>
                <w:sz w:val="22"/>
                <w:szCs w:val="22"/>
              </w:rPr>
              <w:t>PO1</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lastRenderedPageBreak/>
              <w:t>CO2</w:t>
            </w:r>
          </w:p>
        </w:tc>
        <w:tc>
          <w:tcPr>
            <w:tcW w:w="6400" w:type="dxa"/>
            <w:tcMar>
              <w:top w:w="60" w:type="dxa"/>
              <w:left w:w="100" w:type="dxa"/>
              <w:bottom w:w="60" w:type="dxa"/>
              <w:right w:w="100" w:type="dxa"/>
            </w:tcMar>
          </w:tcPr>
          <w:p w:rsidR="0015244F" w:rsidRDefault="00A565B8">
            <w:pPr>
              <w:spacing w:line="240" w:lineRule="auto"/>
            </w:pPr>
            <w:r>
              <w:rPr>
                <w:sz w:val="22"/>
                <w:szCs w:val="22"/>
              </w:rPr>
              <w:t xml:space="preserve">Identify a contemporary real-life problem related to electrical and electronic engineering by reviewing and </w:t>
            </w:r>
            <w:proofErr w:type="spellStart"/>
            <w:r>
              <w:rPr>
                <w:sz w:val="22"/>
                <w:szCs w:val="22"/>
              </w:rPr>
              <w:t>analysing</w:t>
            </w:r>
            <w:proofErr w:type="spellEnd"/>
            <w:r>
              <w:rPr>
                <w:sz w:val="22"/>
                <w:szCs w:val="22"/>
              </w:rPr>
              <w:t xml:space="preserve"> existing research works</w:t>
            </w:r>
          </w:p>
        </w:tc>
        <w:tc>
          <w:tcPr>
            <w:tcW w:w="907" w:type="dxa"/>
            <w:tcMar>
              <w:top w:w="60" w:type="dxa"/>
              <w:left w:w="100" w:type="dxa"/>
              <w:bottom w:w="60" w:type="dxa"/>
              <w:right w:w="100" w:type="dxa"/>
            </w:tcMar>
          </w:tcPr>
          <w:p w:rsidR="0015244F" w:rsidRDefault="00A565B8">
            <w:pPr>
              <w:spacing w:line="240" w:lineRule="auto"/>
            </w:pPr>
            <w:r>
              <w:rPr>
                <w:sz w:val="22"/>
                <w:szCs w:val="22"/>
              </w:rPr>
              <w:t>PO2</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CO3</w:t>
            </w:r>
          </w:p>
        </w:tc>
        <w:tc>
          <w:tcPr>
            <w:tcW w:w="6400" w:type="dxa"/>
            <w:tcMar>
              <w:top w:w="60" w:type="dxa"/>
              <w:left w:w="100" w:type="dxa"/>
              <w:bottom w:w="60" w:type="dxa"/>
              <w:right w:w="100" w:type="dxa"/>
            </w:tcMar>
          </w:tcPr>
          <w:p w:rsidR="0015244F" w:rsidRDefault="00A565B8">
            <w:pPr>
              <w:spacing w:line="240" w:lineRule="auto"/>
            </w:pPr>
            <w:r>
              <w:rPr>
                <w:sz w:val="22"/>
                <w:szCs w:val="22"/>
              </w:rPr>
              <w:t>Determine functional requirements of the problem considering feasibility and efficiency through analysi</w:t>
            </w:r>
            <w:r>
              <w:rPr>
                <w:sz w:val="22"/>
                <w:szCs w:val="22"/>
              </w:rPr>
              <w:t>s and synthesis of information</w:t>
            </w:r>
          </w:p>
        </w:tc>
        <w:tc>
          <w:tcPr>
            <w:tcW w:w="907" w:type="dxa"/>
            <w:tcMar>
              <w:top w:w="60" w:type="dxa"/>
              <w:left w:w="100" w:type="dxa"/>
              <w:bottom w:w="60" w:type="dxa"/>
              <w:right w:w="100" w:type="dxa"/>
            </w:tcMar>
          </w:tcPr>
          <w:p w:rsidR="0015244F" w:rsidRDefault="00A565B8">
            <w:pPr>
              <w:spacing w:line="240" w:lineRule="auto"/>
            </w:pPr>
            <w:r>
              <w:rPr>
                <w:sz w:val="22"/>
                <w:szCs w:val="22"/>
              </w:rPr>
              <w:t>PO4</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CO4</w:t>
            </w:r>
          </w:p>
        </w:tc>
        <w:tc>
          <w:tcPr>
            <w:tcW w:w="6400" w:type="dxa"/>
            <w:tcMar>
              <w:top w:w="60" w:type="dxa"/>
              <w:left w:w="100" w:type="dxa"/>
              <w:bottom w:w="60" w:type="dxa"/>
              <w:right w:w="100" w:type="dxa"/>
            </w:tcMar>
          </w:tcPr>
          <w:p w:rsidR="0015244F" w:rsidRDefault="00A565B8">
            <w:pPr>
              <w:spacing w:line="240" w:lineRule="auto"/>
            </w:pPr>
            <w:r>
              <w:rPr>
                <w:sz w:val="22"/>
                <w:szCs w:val="22"/>
              </w:rPr>
              <w:t>Select a suitable solution and determine its method considering professional ethics, codes and standards</w:t>
            </w:r>
          </w:p>
        </w:tc>
        <w:tc>
          <w:tcPr>
            <w:tcW w:w="907" w:type="dxa"/>
            <w:tcMar>
              <w:top w:w="60" w:type="dxa"/>
              <w:left w:w="100" w:type="dxa"/>
              <w:bottom w:w="60" w:type="dxa"/>
              <w:right w:w="100" w:type="dxa"/>
            </w:tcMar>
          </w:tcPr>
          <w:p w:rsidR="0015244F" w:rsidRDefault="00A565B8">
            <w:pPr>
              <w:spacing w:line="240" w:lineRule="auto"/>
            </w:pPr>
            <w:r>
              <w:rPr>
                <w:sz w:val="22"/>
                <w:szCs w:val="22"/>
              </w:rPr>
              <w:t>PO8</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CO5</w:t>
            </w:r>
          </w:p>
        </w:tc>
        <w:tc>
          <w:tcPr>
            <w:tcW w:w="6400" w:type="dxa"/>
            <w:tcMar>
              <w:top w:w="60" w:type="dxa"/>
              <w:left w:w="100" w:type="dxa"/>
              <w:bottom w:w="60" w:type="dxa"/>
              <w:right w:w="100" w:type="dxa"/>
            </w:tcMar>
          </w:tcPr>
          <w:p w:rsidR="0015244F" w:rsidRDefault="00A565B8">
            <w:pPr>
              <w:spacing w:line="240" w:lineRule="auto"/>
            </w:pPr>
            <w:r>
              <w:rPr>
                <w:sz w:val="22"/>
                <w:szCs w:val="22"/>
              </w:rPr>
              <w:t>Adopt modern engineering resources and tools for the solution of the problem</w:t>
            </w:r>
          </w:p>
        </w:tc>
        <w:tc>
          <w:tcPr>
            <w:tcW w:w="907" w:type="dxa"/>
            <w:tcMar>
              <w:top w:w="60" w:type="dxa"/>
              <w:left w:w="100" w:type="dxa"/>
              <w:bottom w:w="60" w:type="dxa"/>
              <w:right w:w="100" w:type="dxa"/>
            </w:tcMar>
          </w:tcPr>
          <w:p w:rsidR="0015244F" w:rsidRDefault="00A565B8">
            <w:pPr>
              <w:spacing w:line="240" w:lineRule="auto"/>
            </w:pPr>
            <w:r>
              <w:rPr>
                <w:sz w:val="22"/>
                <w:szCs w:val="22"/>
              </w:rPr>
              <w:t>PO5</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CO6</w:t>
            </w:r>
          </w:p>
        </w:tc>
        <w:tc>
          <w:tcPr>
            <w:tcW w:w="6400" w:type="dxa"/>
            <w:tcMar>
              <w:top w:w="60" w:type="dxa"/>
              <w:left w:w="100" w:type="dxa"/>
              <w:bottom w:w="60" w:type="dxa"/>
              <w:right w:w="100" w:type="dxa"/>
            </w:tcMar>
          </w:tcPr>
          <w:p w:rsidR="0015244F" w:rsidRDefault="00A565B8">
            <w:pPr>
              <w:spacing w:line="240" w:lineRule="auto"/>
            </w:pPr>
            <w:r>
              <w:rPr>
                <w:sz w:val="22"/>
                <w:szCs w:val="22"/>
              </w:rPr>
              <w:t>Prepare management plan and budgetary implications for the solution of the problem</w:t>
            </w:r>
          </w:p>
        </w:tc>
        <w:tc>
          <w:tcPr>
            <w:tcW w:w="907" w:type="dxa"/>
            <w:tcMar>
              <w:top w:w="60" w:type="dxa"/>
              <w:left w:w="100" w:type="dxa"/>
              <w:bottom w:w="60" w:type="dxa"/>
              <w:right w:w="100" w:type="dxa"/>
            </w:tcMar>
          </w:tcPr>
          <w:p w:rsidR="0015244F" w:rsidRDefault="00A565B8">
            <w:pPr>
              <w:spacing w:line="240" w:lineRule="auto"/>
            </w:pPr>
            <w:r>
              <w:rPr>
                <w:sz w:val="22"/>
                <w:szCs w:val="22"/>
              </w:rPr>
              <w:t>PO11</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CO7</w:t>
            </w:r>
          </w:p>
        </w:tc>
        <w:tc>
          <w:tcPr>
            <w:tcW w:w="6400" w:type="dxa"/>
            <w:tcMar>
              <w:top w:w="60" w:type="dxa"/>
              <w:left w:w="100" w:type="dxa"/>
              <w:bottom w:w="60" w:type="dxa"/>
              <w:right w:w="100" w:type="dxa"/>
            </w:tcMar>
          </w:tcPr>
          <w:p w:rsidR="0015244F" w:rsidRDefault="00A565B8">
            <w:pPr>
              <w:spacing w:line="240" w:lineRule="auto"/>
            </w:pPr>
            <w:proofErr w:type="spellStart"/>
            <w:r>
              <w:rPr>
                <w:sz w:val="22"/>
                <w:szCs w:val="22"/>
              </w:rPr>
              <w:t>Analyse</w:t>
            </w:r>
            <w:proofErr w:type="spellEnd"/>
            <w:r>
              <w:rPr>
                <w:sz w:val="22"/>
                <w:szCs w:val="22"/>
              </w:rPr>
              <w:t xml:space="preserve"> the impact of the proposed solution on health, safety, culture and society</w:t>
            </w:r>
          </w:p>
        </w:tc>
        <w:tc>
          <w:tcPr>
            <w:tcW w:w="907" w:type="dxa"/>
            <w:tcMar>
              <w:top w:w="60" w:type="dxa"/>
              <w:left w:w="100" w:type="dxa"/>
              <w:bottom w:w="60" w:type="dxa"/>
              <w:right w:w="100" w:type="dxa"/>
            </w:tcMar>
          </w:tcPr>
          <w:p w:rsidR="0015244F" w:rsidRDefault="00A565B8">
            <w:pPr>
              <w:spacing w:line="240" w:lineRule="auto"/>
            </w:pPr>
            <w:r>
              <w:rPr>
                <w:sz w:val="22"/>
                <w:szCs w:val="22"/>
              </w:rPr>
              <w:t>PO6</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CO8</w:t>
            </w:r>
          </w:p>
        </w:tc>
        <w:tc>
          <w:tcPr>
            <w:tcW w:w="6400" w:type="dxa"/>
            <w:tcMar>
              <w:top w:w="60" w:type="dxa"/>
              <w:left w:w="100" w:type="dxa"/>
              <w:bottom w:w="60" w:type="dxa"/>
              <w:right w:w="100" w:type="dxa"/>
            </w:tcMar>
          </w:tcPr>
          <w:p w:rsidR="0015244F" w:rsidRDefault="00A565B8">
            <w:pPr>
              <w:spacing w:line="240" w:lineRule="auto"/>
            </w:pPr>
            <w:proofErr w:type="spellStart"/>
            <w:r>
              <w:rPr>
                <w:sz w:val="22"/>
                <w:szCs w:val="22"/>
              </w:rPr>
              <w:t>Analyse</w:t>
            </w:r>
            <w:proofErr w:type="spellEnd"/>
            <w:r>
              <w:rPr>
                <w:sz w:val="22"/>
                <w:szCs w:val="22"/>
              </w:rPr>
              <w:t xml:space="preserve"> the impact of the proposed solution on environment and sust</w:t>
            </w:r>
            <w:r>
              <w:rPr>
                <w:sz w:val="22"/>
                <w:szCs w:val="22"/>
              </w:rPr>
              <w:t>ainability</w:t>
            </w:r>
          </w:p>
        </w:tc>
        <w:tc>
          <w:tcPr>
            <w:tcW w:w="907" w:type="dxa"/>
            <w:tcMar>
              <w:top w:w="60" w:type="dxa"/>
              <w:left w:w="100" w:type="dxa"/>
              <w:bottom w:w="60" w:type="dxa"/>
              <w:right w:w="100" w:type="dxa"/>
            </w:tcMar>
          </w:tcPr>
          <w:p w:rsidR="0015244F" w:rsidRDefault="00A565B8">
            <w:pPr>
              <w:spacing w:line="240" w:lineRule="auto"/>
            </w:pPr>
            <w:r>
              <w:rPr>
                <w:sz w:val="22"/>
                <w:szCs w:val="22"/>
              </w:rPr>
              <w:t>PO7</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CO9</w:t>
            </w:r>
          </w:p>
        </w:tc>
        <w:tc>
          <w:tcPr>
            <w:tcW w:w="6400" w:type="dxa"/>
            <w:tcMar>
              <w:top w:w="60" w:type="dxa"/>
              <w:left w:w="100" w:type="dxa"/>
              <w:bottom w:w="60" w:type="dxa"/>
              <w:right w:w="100" w:type="dxa"/>
            </w:tcMar>
          </w:tcPr>
          <w:p w:rsidR="0015244F" w:rsidRDefault="00A565B8">
            <w:pPr>
              <w:spacing w:line="240" w:lineRule="auto"/>
            </w:pPr>
            <w:r>
              <w:rPr>
                <w:sz w:val="22"/>
                <w:szCs w:val="22"/>
              </w:rPr>
              <w:t>Develop a viable solution considering health, safety, cultural, societal and environmental aspects</w:t>
            </w:r>
          </w:p>
        </w:tc>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CO10</w:t>
            </w:r>
          </w:p>
        </w:tc>
        <w:tc>
          <w:tcPr>
            <w:tcW w:w="6400" w:type="dxa"/>
            <w:tcMar>
              <w:top w:w="60" w:type="dxa"/>
              <w:left w:w="100" w:type="dxa"/>
              <w:bottom w:w="60" w:type="dxa"/>
              <w:right w:w="100" w:type="dxa"/>
            </w:tcMar>
          </w:tcPr>
          <w:p w:rsidR="0015244F" w:rsidRDefault="00A565B8">
            <w:pPr>
              <w:spacing w:line="240" w:lineRule="auto"/>
            </w:pPr>
            <w:r>
              <w:rPr>
                <w:sz w:val="22"/>
                <w:szCs w:val="22"/>
              </w:rPr>
              <w:t>Work effectively as an individual and as a team member for the accomplishment of the solution</w:t>
            </w:r>
          </w:p>
        </w:tc>
        <w:tc>
          <w:tcPr>
            <w:tcW w:w="907" w:type="dxa"/>
            <w:tcMar>
              <w:top w:w="60" w:type="dxa"/>
              <w:left w:w="100" w:type="dxa"/>
              <w:bottom w:w="60" w:type="dxa"/>
              <w:right w:w="100" w:type="dxa"/>
            </w:tcMar>
          </w:tcPr>
          <w:p w:rsidR="0015244F" w:rsidRDefault="00A565B8">
            <w:pPr>
              <w:spacing w:line="240" w:lineRule="auto"/>
            </w:pPr>
            <w:r>
              <w:rPr>
                <w:sz w:val="22"/>
                <w:szCs w:val="22"/>
              </w:rPr>
              <w:t>PO9</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CO11</w:t>
            </w:r>
          </w:p>
        </w:tc>
        <w:tc>
          <w:tcPr>
            <w:tcW w:w="6400" w:type="dxa"/>
            <w:tcMar>
              <w:top w:w="60" w:type="dxa"/>
              <w:left w:w="100" w:type="dxa"/>
              <w:bottom w:w="60" w:type="dxa"/>
              <w:right w:w="100" w:type="dxa"/>
            </w:tcMar>
          </w:tcPr>
          <w:p w:rsidR="0015244F" w:rsidRDefault="00A565B8">
            <w:pPr>
              <w:spacing w:line="240" w:lineRule="auto"/>
            </w:pPr>
            <w:r>
              <w:rPr>
                <w:sz w:val="22"/>
                <w:szCs w:val="22"/>
              </w:rPr>
              <w:t>Prepare various technical reports, design documentation, and deliver effective presentations for demonstration of the solution</w:t>
            </w:r>
          </w:p>
        </w:tc>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CO12</w:t>
            </w:r>
          </w:p>
        </w:tc>
        <w:tc>
          <w:tcPr>
            <w:tcW w:w="6400" w:type="dxa"/>
            <w:tcMar>
              <w:top w:w="60" w:type="dxa"/>
              <w:left w:w="100" w:type="dxa"/>
              <w:bottom w:w="60" w:type="dxa"/>
              <w:right w:w="100" w:type="dxa"/>
            </w:tcMar>
          </w:tcPr>
          <w:p w:rsidR="0015244F" w:rsidRDefault="00A565B8">
            <w:pPr>
              <w:spacing w:line="240" w:lineRule="auto"/>
            </w:pPr>
            <w:proofErr w:type="spellStart"/>
            <w:r>
              <w:rPr>
                <w:sz w:val="22"/>
                <w:szCs w:val="22"/>
              </w:rPr>
              <w:t>Recognise</w:t>
            </w:r>
            <w:proofErr w:type="spellEnd"/>
            <w:r>
              <w:rPr>
                <w:sz w:val="22"/>
                <w:szCs w:val="22"/>
              </w:rPr>
              <w:t xml:space="preserve"> the need for continuing education and participation in professional societies and meetings</w:t>
            </w:r>
          </w:p>
        </w:tc>
        <w:tc>
          <w:tcPr>
            <w:tcW w:w="907" w:type="dxa"/>
            <w:tcMar>
              <w:top w:w="60" w:type="dxa"/>
              <w:left w:w="100" w:type="dxa"/>
              <w:bottom w:w="60" w:type="dxa"/>
              <w:right w:w="100" w:type="dxa"/>
            </w:tcMar>
          </w:tcPr>
          <w:p w:rsidR="0015244F" w:rsidRDefault="00A565B8">
            <w:pPr>
              <w:spacing w:line="240" w:lineRule="auto"/>
            </w:pPr>
            <w:r>
              <w:rPr>
                <w:sz w:val="22"/>
                <w:szCs w:val="22"/>
              </w:rPr>
              <w:t>PO12</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bl>
    <w:p w:rsidR="0015244F" w:rsidRDefault="0015244F">
      <w:pPr>
        <w:spacing w:after="120" w:line="240" w:lineRule="auto"/>
      </w:pPr>
    </w:p>
    <w:p w:rsidR="0015244F" w:rsidRDefault="00A565B8">
      <w:pPr>
        <w:pStyle w:val="Heading2"/>
        <w:spacing w:before="360" w:after="140"/>
      </w:pPr>
      <w:r>
        <w:t>6.3 Aspects of program outcomes addressed</w:t>
      </w:r>
    </w:p>
    <w:p w:rsidR="0015244F" w:rsidRDefault="00A565B8">
      <w:pPr>
        <w:ind w:firstLine="567"/>
        <w:jc w:val="both"/>
      </w:pPr>
      <w:r>
        <w:t>Table 6.2 identifies the specific aspects of the relevant program outcomes that the project addresses, and states where each is evidenced.</w:t>
      </w:r>
    </w:p>
    <w:p w:rsidR="0015244F" w:rsidRDefault="00A565B8">
      <w:pPr>
        <w:pStyle w:val="TableCaption"/>
        <w:spacing w:before="240" w:after="120" w:line="240" w:lineRule="auto"/>
        <w:jc w:val="center"/>
      </w:pPr>
      <w:r>
        <w:t>Table 6.2 Aspects of program outcomes addressed, with the evidencing section.</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3021"/>
        <w:gridCol w:w="1191"/>
        <w:gridCol w:w="4015"/>
      </w:tblGrid>
      <w:tr w:rsidR="0015244F">
        <w:tblPrEx>
          <w:tblCellMar>
            <w:top w:w="0" w:type="dxa"/>
            <w:bottom w:w="0" w:type="dxa"/>
          </w:tblCellMar>
        </w:tblPrEx>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PO</w:t>
            </w:r>
          </w:p>
        </w:tc>
        <w:tc>
          <w:tcPr>
            <w:tcW w:w="3124" w:type="dxa"/>
            <w:tcMar>
              <w:top w:w="60" w:type="dxa"/>
              <w:left w:w="100" w:type="dxa"/>
              <w:bottom w:w="60" w:type="dxa"/>
              <w:right w:w="100" w:type="dxa"/>
            </w:tcMar>
          </w:tcPr>
          <w:p w:rsidR="0015244F" w:rsidRDefault="00A565B8">
            <w:pPr>
              <w:spacing w:line="240" w:lineRule="auto"/>
            </w:pPr>
            <w:r>
              <w:rPr>
                <w:b/>
                <w:bCs/>
                <w:sz w:val="22"/>
                <w:szCs w:val="22"/>
              </w:rPr>
              <w:t>Aspect</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c>
          <w:tcPr>
            <w:tcW w:w="4183" w:type="dxa"/>
            <w:tcMar>
              <w:top w:w="60" w:type="dxa"/>
              <w:left w:w="100" w:type="dxa"/>
              <w:bottom w:w="60" w:type="dxa"/>
              <w:right w:w="100" w:type="dxa"/>
            </w:tcMar>
          </w:tcPr>
          <w:p w:rsidR="0015244F" w:rsidRDefault="00A565B8">
            <w:pPr>
              <w:spacing w:line="240" w:lineRule="auto"/>
            </w:pPr>
            <w:r>
              <w:rPr>
                <w:b/>
                <w:bCs/>
                <w:sz w:val="22"/>
                <w:szCs w:val="22"/>
              </w:rPr>
              <w:t>Evidence</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Public health</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No health claim is made; see Section 6.6</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Safety</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Connection continuity and radio-link failure, Section 1.2</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Societal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6.6</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Environmental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 xml:space="preserve">Measured unnecessary </w:t>
            </w:r>
            <w:proofErr w:type="spellStart"/>
            <w:r>
              <w:rPr>
                <w:sz w:val="22"/>
                <w:szCs w:val="22"/>
              </w:rPr>
              <w:t>signalling</w:t>
            </w:r>
            <w:proofErr w:type="spellEnd"/>
            <w:r>
              <w:rPr>
                <w:sz w:val="22"/>
                <w:szCs w:val="22"/>
              </w:rPr>
              <w:t>, Section 5.10</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lastRenderedPageBreak/>
              <w:t>PO4</w:t>
            </w:r>
          </w:p>
        </w:tc>
        <w:tc>
          <w:tcPr>
            <w:tcW w:w="3124" w:type="dxa"/>
            <w:tcMar>
              <w:top w:w="60" w:type="dxa"/>
              <w:left w:w="100" w:type="dxa"/>
              <w:bottom w:w="60" w:type="dxa"/>
              <w:right w:w="100" w:type="dxa"/>
            </w:tcMar>
          </w:tcPr>
          <w:p w:rsidR="0015244F" w:rsidRDefault="00A565B8">
            <w:pPr>
              <w:spacing w:line="240" w:lineRule="auto"/>
            </w:pPr>
            <w:r>
              <w:rPr>
                <w:sz w:val="22"/>
                <w:szCs w:val="22"/>
              </w:rPr>
              <w:t>Design of experiments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Grouped-drive rotation and seed repetition, Section 4.9</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PO4</w:t>
            </w:r>
          </w:p>
        </w:tc>
        <w:tc>
          <w:tcPr>
            <w:tcW w:w="3124" w:type="dxa"/>
            <w:tcMar>
              <w:top w:w="60" w:type="dxa"/>
              <w:left w:w="100" w:type="dxa"/>
              <w:bottom w:w="60" w:type="dxa"/>
              <w:right w:w="100" w:type="dxa"/>
            </w:tcMar>
          </w:tcPr>
          <w:p w:rsidR="0015244F" w:rsidRDefault="00A565B8">
            <w:pPr>
              <w:spacing w:line="240" w:lineRule="auto"/>
            </w:pPr>
            <w:r>
              <w:rPr>
                <w:sz w:val="22"/>
                <w:szCs w:val="22"/>
              </w:rPr>
              <w:t>Analysis and interpretation of data</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Chapter 5 in its entirety</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PO4</w:t>
            </w:r>
          </w:p>
        </w:tc>
        <w:tc>
          <w:tcPr>
            <w:tcW w:w="3124" w:type="dxa"/>
            <w:tcMar>
              <w:top w:w="60" w:type="dxa"/>
              <w:left w:w="100" w:type="dxa"/>
              <w:bottom w:w="60" w:type="dxa"/>
              <w:right w:w="100" w:type="dxa"/>
            </w:tcMar>
          </w:tcPr>
          <w:p w:rsidR="0015244F" w:rsidRDefault="00A565B8">
            <w:pPr>
              <w:spacing w:line="240" w:lineRule="auto"/>
            </w:pPr>
            <w:r>
              <w:rPr>
                <w:sz w:val="22"/>
                <w:szCs w:val="22"/>
              </w:rPr>
              <w:t>Synthesis of information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Protocol audit of 22 models, Section 2.3</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PO5</w:t>
            </w:r>
          </w:p>
        </w:tc>
        <w:tc>
          <w:tcPr>
            <w:tcW w:w="3124" w:type="dxa"/>
            <w:tcMar>
              <w:top w:w="60" w:type="dxa"/>
              <w:left w:w="100" w:type="dxa"/>
              <w:bottom w:w="60" w:type="dxa"/>
              <w:right w:w="100" w:type="dxa"/>
            </w:tcMar>
          </w:tcPr>
          <w:p w:rsidR="0015244F" w:rsidRDefault="00A565B8">
            <w:pPr>
              <w:spacing w:line="240" w:lineRule="auto"/>
            </w:pPr>
            <w:r>
              <w:rPr>
                <w:sz w:val="22"/>
                <w:szCs w:val="22"/>
              </w:rPr>
              <w:t>Modern tool usage</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Drive-test instrumentation and analysis stack, Section 6.4</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PO6</w:t>
            </w:r>
          </w:p>
        </w:tc>
        <w:tc>
          <w:tcPr>
            <w:tcW w:w="3124" w:type="dxa"/>
            <w:tcMar>
              <w:top w:w="60" w:type="dxa"/>
              <w:left w:w="100" w:type="dxa"/>
              <w:bottom w:w="60" w:type="dxa"/>
              <w:right w:w="100" w:type="dxa"/>
            </w:tcMar>
          </w:tcPr>
          <w:p w:rsidR="0015244F" w:rsidRDefault="00A565B8">
            <w:pPr>
              <w:spacing w:line="240" w:lineRule="auto"/>
            </w:pPr>
            <w:r>
              <w:rPr>
                <w:sz w:val="22"/>
                <w:szCs w:val="22"/>
              </w:rPr>
              <w:t>Societal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6.6</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PO6</w:t>
            </w:r>
          </w:p>
        </w:tc>
        <w:tc>
          <w:tcPr>
            <w:tcW w:w="3124" w:type="dxa"/>
            <w:tcMar>
              <w:top w:w="60" w:type="dxa"/>
              <w:left w:w="100" w:type="dxa"/>
              <w:bottom w:w="60" w:type="dxa"/>
              <w:right w:w="100" w:type="dxa"/>
            </w:tcMar>
          </w:tcPr>
          <w:p w:rsidR="0015244F" w:rsidRDefault="00A565B8">
            <w:pPr>
              <w:spacing w:line="240" w:lineRule="auto"/>
            </w:pPr>
            <w:r>
              <w:rPr>
                <w:sz w:val="22"/>
                <w:szCs w:val="22"/>
              </w:rPr>
              <w:t>Legal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Data handling and operator anonymity, Section 6.6</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PO7</w:t>
            </w:r>
          </w:p>
        </w:tc>
        <w:tc>
          <w:tcPr>
            <w:tcW w:w="3124" w:type="dxa"/>
            <w:tcMar>
              <w:top w:w="60" w:type="dxa"/>
              <w:left w:w="100" w:type="dxa"/>
              <w:bottom w:w="60" w:type="dxa"/>
              <w:right w:w="100" w:type="dxa"/>
            </w:tcMar>
          </w:tcPr>
          <w:p w:rsidR="0015244F" w:rsidRDefault="00A565B8">
            <w:pPr>
              <w:spacing w:line="240" w:lineRule="auto"/>
            </w:pPr>
            <w:r>
              <w:rPr>
                <w:sz w:val="22"/>
                <w:szCs w:val="22"/>
              </w:rPr>
              <w:t>Societal and environmental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6.6</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PO8</w:t>
            </w:r>
          </w:p>
        </w:tc>
        <w:tc>
          <w:tcPr>
            <w:tcW w:w="3124" w:type="dxa"/>
            <w:tcMar>
              <w:top w:w="60" w:type="dxa"/>
              <w:left w:w="100" w:type="dxa"/>
              <w:bottom w:w="60" w:type="dxa"/>
              <w:right w:w="100" w:type="dxa"/>
            </w:tcMar>
          </w:tcPr>
          <w:p w:rsidR="0015244F" w:rsidRDefault="00A565B8">
            <w:pPr>
              <w:spacing w:line="240" w:lineRule="auto"/>
            </w:pPr>
            <w:r>
              <w:rPr>
                <w:sz w:val="22"/>
                <w:szCs w:val="22"/>
              </w:rPr>
              <w:t>Professional ethics and responsibilities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Reporting of negative results, Section 5.11</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PO8</w:t>
            </w:r>
          </w:p>
        </w:tc>
        <w:tc>
          <w:tcPr>
            <w:tcW w:w="3124" w:type="dxa"/>
            <w:tcMar>
              <w:top w:w="60" w:type="dxa"/>
              <w:left w:w="100" w:type="dxa"/>
              <w:bottom w:w="60" w:type="dxa"/>
              <w:right w:w="100" w:type="dxa"/>
            </w:tcMar>
          </w:tcPr>
          <w:p w:rsidR="0015244F" w:rsidRDefault="00A565B8">
            <w:pPr>
              <w:spacing w:line="240" w:lineRule="auto"/>
            </w:pPr>
            <w:r>
              <w:rPr>
                <w:sz w:val="22"/>
                <w:szCs w:val="22"/>
              </w:rPr>
              <w:t>Norms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Conformance to 3GPP TS 36.331 terminology throughout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3124" w:type="dxa"/>
            <w:tcMar>
              <w:top w:w="60" w:type="dxa"/>
              <w:left w:w="100" w:type="dxa"/>
              <w:bottom w:w="60" w:type="dxa"/>
              <w:right w:w="100" w:type="dxa"/>
            </w:tcMar>
          </w:tcPr>
          <w:p w:rsidR="0015244F" w:rsidRDefault="00A565B8">
            <w:pPr>
              <w:spacing w:line="240" w:lineRule="auto"/>
            </w:pPr>
            <w:r>
              <w:rPr>
                <w:sz w:val="22"/>
                <w:szCs w:val="22"/>
              </w:rPr>
              <w:t>Comprehend and write effective reports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This report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3124" w:type="dxa"/>
            <w:tcMar>
              <w:top w:w="60" w:type="dxa"/>
              <w:left w:w="100" w:type="dxa"/>
              <w:bottom w:w="60" w:type="dxa"/>
              <w:right w:w="100" w:type="dxa"/>
            </w:tcMar>
          </w:tcPr>
          <w:p w:rsidR="0015244F" w:rsidRDefault="00A565B8">
            <w:pPr>
              <w:spacing w:line="240" w:lineRule="auto"/>
            </w:pPr>
            <w:r>
              <w:rPr>
                <w:sz w:val="22"/>
                <w:szCs w:val="22"/>
              </w:rPr>
              <w:t>Design documentation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Chapters 3 and 4</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3124" w:type="dxa"/>
            <w:tcMar>
              <w:top w:w="60" w:type="dxa"/>
              <w:left w:w="100" w:type="dxa"/>
              <w:bottom w:w="60" w:type="dxa"/>
              <w:right w:w="100" w:type="dxa"/>
            </w:tcMar>
          </w:tcPr>
          <w:p w:rsidR="0015244F" w:rsidRDefault="00A565B8">
            <w:pPr>
              <w:spacing w:line="240" w:lineRule="auto"/>
            </w:pPr>
            <w:r>
              <w:rPr>
                <w:sz w:val="22"/>
                <w:szCs w:val="22"/>
              </w:rPr>
              <w:t>Make effective presentations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 xml:space="preserve">Progress and </w:t>
            </w:r>
            <w:proofErr w:type="spellStart"/>
            <w:r>
              <w:rPr>
                <w:sz w:val="22"/>
                <w:szCs w:val="22"/>
              </w:rPr>
              <w:t>defence</w:t>
            </w:r>
            <w:proofErr w:type="spellEnd"/>
            <w:r>
              <w:rPr>
                <w:sz w:val="22"/>
                <w:szCs w:val="22"/>
              </w:rPr>
              <w:t xml:space="preserve"> presentations</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PO11</w:t>
            </w:r>
          </w:p>
        </w:tc>
        <w:tc>
          <w:tcPr>
            <w:tcW w:w="3124" w:type="dxa"/>
            <w:tcMar>
              <w:top w:w="60" w:type="dxa"/>
              <w:left w:w="100" w:type="dxa"/>
              <w:bottom w:w="60" w:type="dxa"/>
              <w:right w:w="100" w:type="dxa"/>
            </w:tcMar>
          </w:tcPr>
          <w:p w:rsidR="0015244F" w:rsidRDefault="00A565B8">
            <w:pPr>
              <w:spacing w:line="240" w:lineRule="auto"/>
            </w:pPr>
            <w:r>
              <w:rPr>
                <w:sz w:val="22"/>
                <w:szCs w:val="22"/>
              </w:rPr>
              <w:t>Engineering management principles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6.9</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PO11</w:t>
            </w:r>
          </w:p>
        </w:tc>
        <w:tc>
          <w:tcPr>
            <w:tcW w:w="3124" w:type="dxa"/>
            <w:tcMar>
              <w:top w:w="60" w:type="dxa"/>
              <w:left w:w="100" w:type="dxa"/>
              <w:bottom w:w="60" w:type="dxa"/>
              <w:right w:w="100" w:type="dxa"/>
            </w:tcMar>
          </w:tcPr>
          <w:p w:rsidR="0015244F" w:rsidRDefault="00A565B8">
            <w:pPr>
              <w:spacing w:line="240" w:lineRule="auto"/>
            </w:pPr>
            <w:r>
              <w:rPr>
                <w:sz w:val="22"/>
                <w:szCs w:val="22"/>
              </w:rPr>
              <w:t>Economic decision-making</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6.9</w:t>
            </w:r>
          </w:p>
        </w:tc>
      </w:tr>
    </w:tbl>
    <w:p w:rsidR="0015244F" w:rsidRDefault="0015244F">
      <w:pPr>
        <w:spacing w:after="120" w:line="240" w:lineRule="auto"/>
      </w:pPr>
    </w:p>
    <w:p w:rsidR="0015244F" w:rsidRDefault="00A565B8">
      <w:pPr>
        <w:pStyle w:val="Heading2"/>
        <w:spacing w:before="360" w:after="140"/>
      </w:pPr>
      <w:r>
        <w:t>6.4 Knowledge profiles addressed</w:t>
      </w:r>
    </w:p>
    <w:p w:rsidR="0015244F" w:rsidRDefault="00A565B8">
      <w:pPr>
        <w:ind w:firstLine="567"/>
        <w:jc w:val="both"/>
      </w:pPr>
      <w:r>
        <w:t>Table 6.3 identifies the knowledge profiles K3 to K8 and justifies each against the content of this thesis. No profile is claimed without a corresponding section.</w:t>
      </w:r>
    </w:p>
    <w:p w:rsidR="0015244F" w:rsidRDefault="00A565B8">
      <w:pPr>
        <w:pStyle w:val="TableCaption"/>
        <w:spacing w:before="240" w:after="120" w:line="240" w:lineRule="auto"/>
        <w:jc w:val="center"/>
      </w:pPr>
      <w:r>
        <w:t>Table 6.3 Knowledge profiles addressed, with justification.</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8214"/>
      </w:tblGrid>
      <w:tr w:rsidR="0015244F">
        <w:tblPrEx>
          <w:tblCellMar>
            <w:top w:w="0" w:type="dxa"/>
            <w:bottom w:w="0" w:type="dxa"/>
          </w:tblCellMar>
        </w:tblPrEx>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K</w:t>
            </w:r>
          </w:p>
        </w:tc>
        <w:tc>
          <w:tcPr>
            <w:tcW w:w="8214" w:type="dxa"/>
            <w:tcMar>
              <w:top w:w="60" w:type="dxa"/>
              <w:left w:w="100" w:type="dxa"/>
              <w:bottom w:w="60" w:type="dxa"/>
              <w:right w:w="100" w:type="dxa"/>
            </w:tcMar>
          </w:tcPr>
          <w:p w:rsidR="0015244F" w:rsidRDefault="00A565B8">
            <w:pPr>
              <w:spacing w:line="240" w:lineRule="auto"/>
            </w:pPr>
            <w:r>
              <w:rPr>
                <w:b/>
                <w:bCs/>
                <w:sz w:val="22"/>
                <w:szCs w:val="22"/>
              </w:rPr>
              <w:t>Justification</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K3</w:t>
            </w:r>
          </w:p>
        </w:tc>
        <w:tc>
          <w:tcPr>
            <w:tcW w:w="8214" w:type="dxa"/>
            <w:tcMar>
              <w:top w:w="60" w:type="dxa"/>
              <w:left w:w="100" w:type="dxa"/>
              <w:bottom w:w="60" w:type="dxa"/>
              <w:right w:w="100" w:type="dxa"/>
            </w:tcMar>
          </w:tcPr>
          <w:p w:rsidR="0015244F" w:rsidRDefault="00A565B8">
            <w:pPr>
              <w:spacing w:line="240" w:lineRule="auto"/>
            </w:pPr>
            <w:r>
              <w:rPr>
                <w:sz w:val="22"/>
                <w:szCs w:val="22"/>
              </w:rPr>
              <w:t>A systematic, theory-based formulation of engineering fundamentals: the discrete-time survival formulation of Section 4.3, including the product-limit identity and its monotonicity proof, and the censoring-aware likelihood of Section 4.4</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K4</w:t>
            </w:r>
          </w:p>
        </w:tc>
        <w:tc>
          <w:tcPr>
            <w:tcW w:w="8214" w:type="dxa"/>
            <w:tcMar>
              <w:top w:w="60" w:type="dxa"/>
              <w:left w:w="100" w:type="dxa"/>
              <w:bottom w:w="60" w:type="dxa"/>
              <w:right w:w="100" w:type="dxa"/>
            </w:tcMar>
          </w:tcPr>
          <w:p w:rsidR="0015244F" w:rsidRDefault="00A565B8">
            <w:pPr>
              <w:spacing w:line="240" w:lineRule="auto"/>
            </w:pPr>
            <w:r>
              <w:rPr>
                <w:sz w:val="22"/>
                <w:szCs w:val="22"/>
              </w:rPr>
              <w:t>Specialist kno</w:t>
            </w:r>
            <w:r>
              <w:rPr>
                <w:sz w:val="22"/>
                <w:szCs w:val="22"/>
              </w:rPr>
              <w:t>wledge at the forefront of the discipline: the decoding of RRC measurement configuration under message-scoped identifiers, Section 3.3, and the recovery of deployed Event A3 parameters, Section 3.5</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lastRenderedPageBreak/>
              <w:t>K5</w:t>
            </w:r>
          </w:p>
        </w:tc>
        <w:tc>
          <w:tcPr>
            <w:tcW w:w="8214" w:type="dxa"/>
            <w:tcMar>
              <w:top w:w="60" w:type="dxa"/>
              <w:left w:w="100" w:type="dxa"/>
              <w:bottom w:w="60" w:type="dxa"/>
              <w:right w:w="100" w:type="dxa"/>
            </w:tcMar>
          </w:tcPr>
          <w:p w:rsidR="0015244F" w:rsidRDefault="00A565B8">
            <w:pPr>
              <w:spacing w:line="240" w:lineRule="auto"/>
            </w:pPr>
            <w:r>
              <w:rPr>
                <w:sz w:val="22"/>
                <w:szCs w:val="22"/>
              </w:rPr>
              <w:t>Knowledge supporting engineering design in a practice area: the feature construction, model selection and calibration design of Sections 4.6 to 4.8, each chosen against a stated alternative</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K6</w:t>
            </w:r>
          </w:p>
        </w:tc>
        <w:tc>
          <w:tcPr>
            <w:tcW w:w="8214" w:type="dxa"/>
            <w:tcMar>
              <w:top w:w="60" w:type="dxa"/>
              <w:left w:w="100" w:type="dxa"/>
              <w:bottom w:w="60" w:type="dxa"/>
              <w:right w:w="100" w:type="dxa"/>
            </w:tcMar>
          </w:tcPr>
          <w:p w:rsidR="0015244F" w:rsidRDefault="00A565B8">
            <w:pPr>
              <w:spacing w:line="240" w:lineRule="auto"/>
            </w:pPr>
            <w:r>
              <w:rPr>
                <w:sz w:val="22"/>
                <w:szCs w:val="22"/>
              </w:rPr>
              <w:t xml:space="preserve">Knowledge of engineering practice and technology: the conduct </w:t>
            </w:r>
            <w:r>
              <w:rPr>
                <w:sz w:val="22"/>
                <w:szCs w:val="22"/>
              </w:rPr>
              <w:t>of four drive-test campaigns with commercial diagnostic instrumentation on a live operator network, Chapter 3</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K7</w:t>
            </w:r>
          </w:p>
        </w:tc>
        <w:tc>
          <w:tcPr>
            <w:tcW w:w="8214" w:type="dxa"/>
            <w:tcMar>
              <w:top w:w="60" w:type="dxa"/>
              <w:left w:w="100" w:type="dxa"/>
              <w:bottom w:w="60" w:type="dxa"/>
              <w:right w:w="100" w:type="dxa"/>
            </w:tcMar>
          </w:tcPr>
          <w:p w:rsidR="0015244F" w:rsidRDefault="00A565B8">
            <w:pPr>
              <w:spacing w:line="240" w:lineRule="auto"/>
            </w:pPr>
            <w:r>
              <w:rPr>
                <w:sz w:val="22"/>
                <w:szCs w:val="22"/>
              </w:rPr>
              <w:t>Comprehension of the role of engineering in society: the impact analysis of Section 6.6, including the explicit refusal to make a health claim</w:t>
            </w:r>
            <w:r>
              <w:rPr>
                <w:sz w:val="22"/>
                <w:szCs w:val="22"/>
              </w:rPr>
              <w:t xml:space="preserve"> the measurements do not support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K8</w:t>
            </w:r>
          </w:p>
        </w:tc>
        <w:tc>
          <w:tcPr>
            <w:tcW w:w="8214" w:type="dxa"/>
            <w:tcMar>
              <w:top w:w="60" w:type="dxa"/>
              <w:left w:w="100" w:type="dxa"/>
              <w:bottom w:w="60" w:type="dxa"/>
              <w:right w:w="100" w:type="dxa"/>
            </w:tcMar>
          </w:tcPr>
          <w:p w:rsidR="0015244F" w:rsidRDefault="00A565B8">
            <w:pPr>
              <w:spacing w:line="240" w:lineRule="auto"/>
            </w:pPr>
            <w:r>
              <w:rPr>
                <w:sz w:val="22"/>
                <w:szCs w:val="22"/>
              </w:rPr>
              <w:t>Engagement with research literature: the screening of 108 publications and the protocol audit of 22 comparable models in Section 2.3, together with the methodological provenance recorded in Sections 2.5 to 2.8</w:t>
            </w:r>
          </w:p>
        </w:tc>
      </w:tr>
    </w:tbl>
    <w:p w:rsidR="0015244F" w:rsidRDefault="0015244F">
      <w:pPr>
        <w:spacing w:after="120" w:line="240" w:lineRule="auto"/>
      </w:pPr>
    </w:p>
    <w:p w:rsidR="0015244F" w:rsidRDefault="00A565B8">
      <w:pPr>
        <w:pStyle w:val="Heading2"/>
        <w:spacing w:before="360" w:after="140"/>
      </w:pPr>
      <w:r>
        <w:t>6.5 Use</w:t>
      </w:r>
      <w:r>
        <w:t xml:space="preserve"> of complex engineering problems</w:t>
      </w:r>
    </w:p>
    <w:p w:rsidR="0015244F" w:rsidRDefault="00A565B8">
      <w:pPr>
        <w:ind w:firstLine="567"/>
        <w:jc w:val="both"/>
      </w:pPr>
      <w:r>
        <w:t>The problem addressed here satisfies the defining characteristics of a complex engineering problem in several independent respects.</w:t>
      </w:r>
    </w:p>
    <w:p w:rsidR="0015244F" w:rsidRDefault="00A565B8">
      <w:pPr>
        <w:ind w:firstLine="567"/>
        <w:jc w:val="both"/>
      </w:pPr>
      <w:r>
        <w:t xml:space="preserve">It cannot be resolved without deep, analytically based knowledge: the incoherence of independent multi-horizon classifiers is not visible without the survival formulation of Section 4.3, and the inadmissibility of class reweighting under that formulation, </w:t>
      </w:r>
      <w:r>
        <w:t>Section 4.5, follows from a compounding argument that no amount of empirical tuning would reveal.</w:t>
      </w:r>
    </w:p>
    <w:p w:rsidR="0015244F" w:rsidRDefault="00A565B8">
      <w:pPr>
        <w:ind w:firstLine="567"/>
        <w:jc w:val="both"/>
      </w:pPr>
      <w:r>
        <w:t>It involves conflicting technical requirements whose trade-offs must be resolved quantitatively rather than asserted. The clearest is the warning trade-off of Section 5.5: an earlier and more sensitive warning is more useful to the network and also more expensive, and the frontier from a 20 % certified miss rate at a 47% alarm rate to a 5 % target at 86% is measured rather than assumed.</w:t>
      </w:r>
      <w:r/>
    </w:p>
    <w:p w:rsidR="0015244F" w:rsidRDefault="00A565B8">
      <w:pPr>
        <w:ind w:firstLine="567"/>
        <w:jc w:val="both"/>
      </w:pPr>
      <w:r>
        <w:t>It is not amenable to a standard procedure. The evaluation protocol the comparator literature treats as standard is demonstrably wrong on this data, and Section 5.3 measures by how much; so is the implicit assumption that a measurement row describes the interval before its own timestamp, which Section 5.1 measures.</w:t>
      </w:r>
      <w:r/>
    </w:p>
    <w:p w:rsidR="0015244F" w:rsidRDefault="00A565B8">
      <w:pPr>
        <w:ind w:firstLine="567"/>
        <w:jc w:val="both"/>
      </w:pPr>
      <w:r>
        <w:t>It spans several sub</w:t>
      </w:r>
      <w:r>
        <w:t>-disciplines: the LTE control plane, radio propagation, statistical survival analysis, distribution-free inference, point-process modelling and software engineering, and no single one of them is sufficient.</w:t>
      </w:r>
    </w:p>
    <w:p w:rsidR="0015244F" w:rsidRDefault="00A565B8">
      <w:pPr>
        <w:pStyle w:val="Heading2"/>
        <w:spacing w:before="360" w:after="140"/>
      </w:pPr>
      <w:r>
        <w:t>6.6 Socio-cultural, environmental and ethical imp</w:t>
      </w:r>
      <w:r>
        <w:t>act</w:t>
      </w:r>
    </w:p>
    <w:p w:rsidR="0015244F" w:rsidRDefault="00A565B8">
      <w:pPr>
        <w:ind w:firstLine="567"/>
        <w:jc w:val="both"/>
      </w:pPr>
      <w:r>
        <w:rPr>
          <w:b/>
          <w:bCs/>
        </w:rPr>
        <w:lastRenderedPageBreak/>
        <w:t>Societal.</w:t>
      </w:r>
      <w:r>
        <w:t xml:space="preserve"> Bangladesh, and Dhaka in particular, sustains one of the densest populations of mobile subscribers in the world, and on the routes measured here a handover occurs every eleven seconds. Mobile connectivity in this setting is not a convenience </w:t>
      </w:r>
      <w:r>
        <w:t>but an infrastructure on which financial services, transport and emergency communication depend. A warning one to two seconds ahead of a handover gives the network the opportunity to prepare the target cell before an interruption occurs rather than to reco</w:t>
      </w:r>
      <w:r>
        <w:t>ver after it, which bears directly on the continuity of those services.</w:t>
      </w:r>
    </w:p>
    <w:p w:rsidR="0015244F" w:rsidRDefault="00A565B8">
      <w:pPr>
        <w:ind w:firstLine="567"/>
        <w:jc w:val="both"/>
      </w:pPr>
      <w:r>
        <w:rPr>
          <w:b/>
          <w:bCs/>
        </w:rPr>
        <w:t xml:space="preserve">Environmental and sustainability. </w:t>
      </w:r>
      <w:r>
        <w:rPr>
          <w:b w:val="0"/>
        </w:rPr>
        <w:t>The environmental argument made here is confined to what was measured. Section 5.10 shows that 26.3% of the handovers observed returned to the cell just vacated within fifteen seconds, and that the phenomenon is concentrated in intra-carrier transfers under one dominant configuration profile. Each such pair is signalling work, radio resource occupancy and processing load expended for no change in serving cell. Identifying that fraction is a precondition for reducing it. This thesis does not claim a measured energy saving, because no such measurement was made.</w:t>
      </w:r>
      <w:r/>
      <w:proofErr w:type="spellStart"/>
      <w:r/>
      <w:proofErr w:type="spellEnd"/>
      <w:r/>
      <w:r/>
      <w:r>
        <w:rPr>
          <w:b/>
          <w:bCs/>
        </w:rPr>
      </w:r>
      <w:r/>
    </w:p>
    <w:p w:rsidR="0015244F" w:rsidRDefault="00A565B8">
      <w:pPr>
        <w:ind w:firstLine="567"/>
        <w:jc w:val="both"/>
      </w:pPr>
      <w:r>
        <w:rPr>
          <w:b/>
          <w:bCs/>
        </w:rPr>
        <w:t>Heal</w:t>
      </w:r>
      <w:r>
        <w:rPr>
          <w:b/>
          <w:bCs/>
        </w:rPr>
        <w:t>th.</w:t>
      </w:r>
      <w:r>
        <w:t xml:space="preserve"> No health claim of any kind is made. This project involved no human subjects, took no exposure measurements and conducted no experiment bearing on health. Stating that plainly is itself the ethical position: the temptation in a thesis that touches radi</w:t>
      </w:r>
      <w:r>
        <w:t>o transmission is to assert a health benefit on the grounds that fewer transmissions must be better, and that assertion would not be supported by anything in Chapters 3 to 5.</w:t>
      </w:r>
    </w:p>
    <w:p w:rsidR="0015244F" w:rsidRDefault="00A565B8">
      <w:pPr>
        <w:ind w:firstLine="567"/>
        <w:jc w:val="both"/>
      </w:pPr>
      <w:r>
        <w:rPr>
          <w:b/>
          <w:bCs/>
        </w:rPr>
        <w:t xml:space="preserve">Ethical and legal. </w:t>
      </w:r>
      <w:r>
        <w:rPr>
          <w:b w:val="0"/>
        </w:rPr>
        <w:t>Four ethical considerations arose and were handled explicitly. Measurements were collected from the authors' own handsets and subscriptions, so no third-party user data was recorded and no subscriber identifiers appear in the dataset. The operator is not named, because the purpose of reporting its configuration is scientific rather than comparative. Negative results were reported rather than omitted, including the one in Section 5.1 that removed this project's most impressive number. And the dataset used for the independent check in Section 5.7 was produced in the same department as this work, which is stated in the text rather than left for a reader to discover.</w:t>
      </w:r>
      <w:r/>
      <w:proofErr w:type="spellStart"/>
      <w:r/>
      <w:proofErr w:type="spellEnd"/>
      <w:r/>
      <w:r/>
      <w:proofErr w:type="gramStart"/>
      <w:r/>
      <w:proofErr w:type="gramEnd"/>
      <w:r/>
    </w:p>
    <w:p w:rsidR="0015244F" w:rsidRDefault="00A565B8">
      <w:pPr>
        <w:ind w:firstLine="567"/>
        <w:jc w:val="both"/>
      </w:pPr>
      <w:r>
        <w:rPr>
          <w:b/>
          <w:bCs/>
        </w:rPr>
        <w:t xml:space="preserve">Declaration of competing interests. </w:t>
      </w:r>
      <w:r>
        <w:rPr>
          <w:b w:val="0"/>
        </w:rPr>
        <w:t>The supervisor of this thesis is a co-author of the publicly released dataset used for the independent check of Section 5.7 [38] and of the comparator method reimplemented in Section 5.11 [39]. Neither the dataset nor the comparator was modified for this work; both were taken as released, and the results involving them are reported in the same form as every other result. The relationship is declared here because the word independent, applied to a collection produced by an overlapping group on the same operator with the same instrument, would otherwise carry more weight than the evidence supports. The authors declare no other competing interest.</w:t>
      </w:r>
      <w:r/>
      <w:proofErr w:type="spellStart"/>
      <w:r/>
      <w:proofErr w:type="spellEnd"/>
      <w:r/>
      <w:r/>
      <w:proofErr w:type="gramStart"/>
      <w:r/>
      <w:proofErr w:type="gramEnd"/>
      <w:r/>
    </w:p>
    <w:p w:rsidR="0015244F" w:rsidRDefault="00A565B8">
      <w:pPr>
        <w:ind w:firstLine="567"/>
        <w:jc w:val="both"/>
      </w:pPr>
      <w:r>
        <w:rPr>
          <w:b/>
          <w:bCs/>
        </w:rPr>
        <w:t>Cultural.</w:t>
      </w:r>
      <w:r>
        <w:t xml:space="preserve"> The measurement campaigns were conducted on public roads under ordinary traffic conditions, and the driving itself conformed to local traffi</w:t>
      </w:r>
      <w:r>
        <w:t>c regulation. No aspect of the work required access to private premises or to restricted infrastructure.</w:t>
      </w:r>
    </w:p>
    <w:p w:rsidR="0015244F" w:rsidRDefault="00A565B8">
      <w:pPr>
        <w:pStyle w:val="Heading2"/>
        <w:spacing w:before="360" w:after="140"/>
      </w:pPr>
      <w:r>
        <w:lastRenderedPageBreak/>
        <w:t>6.7 Attributes of complex engineering problem solving addressed</w:t>
      </w:r>
    </w:p>
    <w:p w:rsidR="0015244F" w:rsidRDefault="00A565B8">
      <w:pPr>
        <w:ind w:firstLine="567"/>
        <w:jc w:val="both"/>
      </w:pPr>
      <w:r>
        <w:t>Table 6.4 maps the attributes P1 to P7 onto the work.</w:t>
      </w:r>
    </w:p>
    <w:p w:rsidR="0015244F" w:rsidRDefault="00A565B8">
      <w:pPr>
        <w:pStyle w:val="TableCaption"/>
        <w:spacing w:before="240" w:after="120" w:line="240" w:lineRule="auto"/>
        <w:jc w:val="center"/>
      </w:pPr>
      <w:r>
        <w:t xml:space="preserve">Table 6.4 </w:t>
      </w:r>
      <w:proofErr w:type="gramStart"/>
      <w:r>
        <w:t>Attributes</w:t>
      </w:r>
      <w:proofErr w:type="gramEnd"/>
      <w:r>
        <w:t xml:space="preserve"> of complex e</w:t>
      </w:r>
      <w:r>
        <w:t>ngineering problem solving addressed.</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
        <w:gridCol w:w="2494"/>
        <w:gridCol w:w="1191"/>
        <w:gridCol w:w="4557"/>
      </w:tblGrid>
      <w:tr w:rsidR="0015244F">
        <w:tblPrEx>
          <w:tblCellMar>
            <w:top w:w="0" w:type="dxa"/>
            <w:bottom w:w="0" w:type="dxa"/>
          </w:tblCellMar>
        </w:tblPrEx>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P</w:t>
            </w:r>
          </w:p>
        </w:tc>
        <w:tc>
          <w:tcPr>
            <w:tcW w:w="2548" w:type="dxa"/>
            <w:tcMar>
              <w:top w:w="60" w:type="dxa"/>
              <w:left w:w="100" w:type="dxa"/>
              <w:bottom w:w="60" w:type="dxa"/>
              <w:right w:w="100" w:type="dxa"/>
            </w:tcMar>
          </w:tcPr>
          <w:p w:rsidR="0015244F" w:rsidRDefault="00A565B8">
            <w:pPr>
              <w:spacing w:line="240" w:lineRule="auto"/>
            </w:pPr>
            <w:r>
              <w:rPr>
                <w:b/>
                <w:bCs/>
                <w:sz w:val="22"/>
                <w:szCs w:val="22"/>
              </w:rPr>
              <w:t>Attribute</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c>
          <w:tcPr>
            <w:tcW w:w="4759" w:type="dxa"/>
            <w:tcMar>
              <w:top w:w="60" w:type="dxa"/>
              <w:left w:w="100" w:type="dxa"/>
              <w:bottom w:w="60" w:type="dxa"/>
              <w:right w:w="100" w:type="dxa"/>
            </w:tcMar>
          </w:tcPr>
          <w:p w:rsidR="0015244F" w:rsidRDefault="00A565B8">
            <w:pPr>
              <w:spacing w:line="240" w:lineRule="auto"/>
            </w:pPr>
            <w:r>
              <w:rPr>
                <w:b/>
                <w:bCs/>
                <w:sz w:val="22"/>
                <w:szCs w:val="22"/>
              </w:rPr>
              <w:t>How</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P1</w:t>
            </w:r>
          </w:p>
        </w:tc>
        <w:tc>
          <w:tcPr>
            <w:tcW w:w="2548" w:type="dxa"/>
            <w:tcMar>
              <w:top w:w="60" w:type="dxa"/>
              <w:left w:w="100" w:type="dxa"/>
              <w:bottom w:w="60" w:type="dxa"/>
              <w:right w:w="100" w:type="dxa"/>
            </w:tcMar>
          </w:tcPr>
          <w:p w:rsidR="0015244F" w:rsidRDefault="00A565B8">
            <w:pPr>
              <w:spacing w:line="240" w:lineRule="auto"/>
            </w:pPr>
            <w:r>
              <w:rPr>
                <w:sz w:val="22"/>
                <w:szCs w:val="22"/>
              </w:rPr>
              <w:t>Depth of knowledge required</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Survival formulation and its monotonicity proof, Section 4.3; conformal risk control, Section 4.10</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P2</w:t>
            </w:r>
          </w:p>
        </w:tc>
        <w:tc>
          <w:tcPr>
            <w:tcW w:w="2548" w:type="dxa"/>
            <w:tcMar>
              <w:top w:w="60" w:type="dxa"/>
              <w:left w:w="100" w:type="dxa"/>
              <w:bottom w:w="60" w:type="dxa"/>
              <w:right w:w="100" w:type="dxa"/>
            </w:tcMar>
          </w:tcPr>
          <w:p w:rsidR="0015244F" w:rsidRDefault="00A565B8">
            <w:pPr>
              <w:spacing w:line="240" w:lineRule="auto"/>
            </w:pPr>
            <w:r>
              <w:rPr>
                <w:sz w:val="22"/>
                <w:szCs w:val="22"/>
              </w:rPr>
              <w:t>Range of conflicting requirements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The warning frontier of Section 5.5: lead time against false-alarm cost, measured across the whole curve</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P3</w:t>
            </w:r>
          </w:p>
        </w:tc>
        <w:tc>
          <w:tcPr>
            <w:tcW w:w="2548" w:type="dxa"/>
            <w:tcMar>
              <w:top w:w="60" w:type="dxa"/>
              <w:left w:w="100" w:type="dxa"/>
              <w:bottom w:w="60" w:type="dxa"/>
              <w:right w:w="100" w:type="dxa"/>
            </w:tcMar>
          </w:tcPr>
          <w:p w:rsidR="0015244F" w:rsidRDefault="00A565B8">
            <w:pPr>
              <w:spacing w:line="240" w:lineRule="auto"/>
            </w:pPr>
            <w:r>
              <w:rPr>
                <w:sz w:val="22"/>
                <w:szCs w:val="22"/>
              </w:rPr>
              <w:t>Depth of analysis required</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No standard procedure applies; the standard evaluation protocol is shown to be invalid here, Section 5.3</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P4</w:t>
            </w:r>
          </w:p>
        </w:tc>
        <w:tc>
          <w:tcPr>
            <w:tcW w:w="2548" w:type="dxa"/>
            <w:tcMar>
              <w:top w:w="60" w:type="dxa"/>
              <w:left w:w="100" w:type="dxa"/>
              <w:bottom w:w="60" w:type="dxa"/>
              <w:right w:w="100" w:type="dxa"/>
            </w:tcMar>
          </w:tcPr>
          <w:p w:rsidR="0015244F" w:rsidRDefault="00A565B8">
            <w:pPr>
              <w:spacing w:line="240" w:lineRule="auto"/>
            </w:pPr>
            <w:r>
              <w:rPr>
                <w:sz w:val="22"/>
                <w:szCs w:val="22"/>
              </w:rPr>
              <w:t>Familiari</w:t>
            </w:r>
            <w:r>
              <w:rPr>
                <w:sz w:val="22"/>
                <w:szCs w:val="22"/>
              </w:rPr>
              <w:t>ty of issues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The deployed configuration was unknown before decoding, Section 3.5, and differs in sign from the literature's assumption</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P5</w:t>
            </w:r>
          </w:p>
        </w:tc>
        <w:tc>
          <w:tcPr>
            <w:tcW w:w="2548" w:type="dxa"/>
            <w:tcMar>
              <w:top w:w="60" w:type="dxa"/>
              <w:left w:w="100" w:type="dxa"/>
              <w:bottom w:w="60" w:type="dxa"/>
              <w:right w:w="100" w:type="dxa"/>
            </w:tcMar>
          </w:tcPr>
          <w:p w:rsidR="0015244F" w:rsidRDefault="00A565B8">
            <w:pPr>
              <w:spacing w:line="240" w:lineRule="auto"/>
            </w:pPr>
            <w:r>
              <w:rPr>
                <w:sz w:val="22"/>
                <w:szCs w:val="22"/>
              </w:rPr>
              <w:t>Extent of applicable codes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 xml:space="preserve">3GPP TS 36.331 and TS 36.300 govern the </w:t>
            </w:r>
            <w:proofErr w:type="spellStart"/>
            <w:r>
              <w:rPr>
                <w:sz w:val="22"/>
                <w:szCs w:val="22"/>
              </w:rPr>
              <w:t>signalling</w:t>
            </w:r>
            <w:proofErr w:type="spellEnd"/>
            <w:r>
              <w:rPr>
                <w:sz w:val="22"/>
                <w:szCs w:val="22"/>
              </w:rPr>
              <w:t xml:space="preserve"> interpretation throughout Chapter 3</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P6</w:t>
            </w:r>
          </w:p>
        </w:tc>
        <w:tc>
          <w:tcPr>
            <w:tcW w:w="2548" w:type="dxa"/>
            <w:tcMar>
              <w:top w:w="60" w:type="dxa"/>
              <w:left w:w="100" w:type="dxa"/>
              <w:bottom w:w="60" w:type="dxa"/>
              <w:right w:w="100" w:type="dxa"/>
            </w:tcMar>
          </w:tcPr>
          <w:p w:rsidR="0015244F" w:rsidRDefault="00A565B8">
            <w:pPr>
              <w:spacing w:line="240" w:lineRule="auto"/>
            </w:pPr>
            <w:r>
              <w:rPr>
                <w:sz w:val="22"/>
                <w:szCs w:val="22"/>
              </w:rPr>
              <w:t>Extent of stakeholder involvement</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Operator, subscriber and regulator interests differ; Section 6.6 states which are and are not addressed</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P7</w:t>
            </w:r>
          </w:p>
        </w:tc>
        <w:tc>
          <w:tcPr>
            <w:tcW w:w="2548" w:type="dxa"/>
            <w:tcMar>
              <w:top w:w="60" w:type="dxa"/>
              <w:left w:w="100" w:type="dxa"/>
              <w:bottom w:w="60" w:type="dxa"/>
              <w:right w:w="100" w:type="dxa"/>
            </w:tcMar>
          </w:tcPr>
          <w:p w:rsidR="0015244F" w:rsidRDefault="00A565B8">
            <w:pPr>
              <w:spacing w:line="240" w:lineRule="auto"/>
            </w:pPr>
            <w:r>
              <w:rPr>
                <w:sz w:val="22"/>
                <w:szCs w:val="22"/>
              </w:rPr>
              <w:t>Interdependence</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 xml:space="preserve">Six sub-problems — decoding, labelling, feature design, formulation, evaluation and risk </w:t>
            </w:r>
            <w:r>
              <w:rPr>
                <w:sz w:val="22"/>
                <w:szCs w:val="22"/>
              </w:rPr>
              <w:t>control — each of which constrains the others</w:t>
            </w:r>
          </w:p>
        </w:tc>
      </w:tr>
    </w:tbl>
    <w:p w:rsidR="0015244F" w:rsidRDefault="0015244F">
      <w:pPr>
        <w:spacing w:after="120" w:line="240" w:lineRule="auto"/>
      </w:pPr>
    </w:p>
    <w:p w:rsidR="0015244F" w:rsidRDefault="00A565B8">
      <w:pPr>
        <w:pStyle w:val="Heading2"/>
        <w:spacing w:before="360" w:after="140"/>
      </w:pPr>
      <w:r>
        <w:t>6.8 Attributes of complex engineering activities addressed</w:t>
      </w:r>
    </w:p>
    <w:p w:rsidR="0015244F" w:rsidRDefault="00A565B8">
      <w:pPr>
        <w:ind w:firstLine="567"/>
        <w:jc w:val="both"/>
      </w:pPr>
      <w:r>
        <w:t>Table 6.5 maps the attributes A1 to A5 onto the work.</w:t>
      </w:r>
    </w:p>
    <w:p w:rsidR="0015244F" w:rsidRDefault="00A565B8">
      <w:pPr>
        <w:pStyle w:val="TableCaption"/>
        <w:spacing w:before="240" w:after="120" w:line="240" w:lineRule="auto"/>
        <w:jc w:val="center"/>
      </w:pPr>
      <w:r>
        <w:t xml:space="preserve">Table 6.5 </w:t>
      </w:r>
      <w:proofErr w:type="gramStart"/>
      <w:r>
        <w:t>Attributes</w:t>
      </w:r>
      <w:proofErr w:type="gramEnd"/>
      <w:r>
        <w:t xml:space="preserve"> of complex engineering activities addressed.</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2612"/>
        <w:gridCol w:w="1191"/>
        <w:gridCol w:w="4438"/>
      </w:tblGrid>
      <w:tr w:rsidR="0015244F">
        <w:tblPrEx>
          <w:tblCellMar>
            <w:top w:w="0" w:type="dxa"/>
            <w:bottom w:w="0" w:type="dxa"/>
          </w:tblCellMar>
        </w:tblPrEx>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A</w:t>
            </w:r>
          </w:p>
        </w:tc>
        <w:tc>
          <w:tcPr>
            <w:tcW w:w="2687" w:type="dxa"/>
            <w:tcMar>
              <w:top w:w="60" w:type="dxa"/>
              <w:left w:w="100" w:type="dxa"/>
              <w:bottom w:w="60" w:type="dxa"/>
              <w:right w:w="100" w:type="dxa"/>
            </w:tcMar>
          </w:tcPr>
          <w:p w:rsidR="0015244F" w:rsidRDefault="00A565B8">
            <w:pPr>
              <w:spacing w:line="240" w:lineRule="auto"/>
            </w:pPr>
            <w:r>
              <w:rPr>
                <w:b/>
                <w:bCs/>
                <w:sz w:val="22"/>
                <w:szCs w:val="22"/>
              </w:rPr>
              <w:t>Attribute</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c>
          <w:tcPr>
            <w:tcW w:w="4620" w:type="dxa"/>
            <w:tcMar>
              <w:top w:w="60" w:type="dxa"/>
              <w:left w:w="100" w:type="dxa"/>
              <w:bottom w:w="60" w:type="dxa"/>
              <w:right w:w="100" w:type="dxa"/>
            </w:tcMar>
          </w:tcPr>
          <w:p w:rsidR="0015244F" w:rsidRDefault="00A565B8">
            <w:pPr>
              <w:spacing w:line="240" w:lineRule="auto"/>
            </w:pPr>
            <w:r>
              <w:rPr>
                <w:b/>
                <w:bCs/>
                <w:sz w:val="22"/>
                <w:szCs w:val="22"/>
              </w:rPr>
              <w:t>How</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A1</w:t>
            </w:r>
          </w:p>
        </w:tc>
        <w:tc>
          <w:tcPr>
            <w:tcW w:w="2687" w:type="dxa"/>
            <w:tcMar>
              <w:top w:w="60" w:type="dxa"/>
              <w:left w:w="100" w:type="dxa"/>
              <w:bottom w:w="60" w:type="dxa"/>
              <w:right w:w="100" w:type="dxa"/>
            </w:tcMar>
          </w:tcPr>
          <w:p w:rsidR="0015244F" w:rsidRDefault="00A565B8">
            <w:pPr>
              <w:spacing w:line="240" w:lineRule="auto"/>
            </w:pPr>
            <w:r>
              <w:rPr>
                <w:sz w:val="22"/>
                <w:szCs w:val="22"/>
              </w:rPr>
              <w:t>Range of resources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Commercial drive-test instrumentation, decoded control-plane logs, a gradient-boosting and deep-learning software stack, and 108 screened publications</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A2</w:t>
            </w:r>
          </w:p>
        </w:tc>
        <w:tc>
          <w:tcPr>
            <w:tcW w:w="2687" w:type="dxa"/>
            <w:tcMar>
              <w:top w:w="60" w:type="dxa"/>
              <w:left w:w="100" w:type="dxa"/>
              <w:bottom w:w="60" w:type="dxa"/>
              <w:right w:w="100" w:type="dxa"/>
            </w:tcMar>
          </w:tcPr>
          <w:p w:rsidR="0015244F" w:rsidRDefault="00A565B8">
            <w:pPr>
              <w:spacing w:line="240" w:lineRule="auto"/>
            </w:pPr>
            <w:r>
              <w:rPr>
                <w:sz w:val="22"/>
                <w:szCs w:val="22"/>
              </w:rPr>
              <w:t>Level of interaction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Resolution of conflicting requirements between prediction horizon, calibration quality and alarm cost, Sections 5.4 and 5.5</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A3</w:t>
            </w:r>
          </w:p>
        </w:tc>
        <w:tc>
          <w:tcPr>
            <w:tcW w:w="2687" w:type="dxa"/>
            <w:tcMar>
              <w:top w:w="60" w:type="dxa"/>
              <w:left w:w="100" w:type="dxa"/>
              <w:bottom w:w="60" w:type="dxa"/>
              <w:right w:w="100" w:type="dxa"/>
            </w:tcMar>
          </w:tcPr>
          <w:p w:rsidR="0015244F" w:rsidRDefault="00A565B8">
            <w:pPr>
              <w:spacing w:line="240" w:lineRule="auto"/>
            </w:pPr>
            <w:r>
              <w:rPr>
                <w:sz w:val="22"/>
                <w:szCs w:val="22"/>
              </w:rPr>
              <w:t>Innovation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 xml:space="preserve">The application of a discrete-time hazard formulation and a drive-level conformal risk </w:t>
            </w:r>
            <w:r>
              <w:rPr>
                <w:sz w:val="22"/>
                <w:szCs w:val="22"/>
              </w:rPr>
              <w:lastRenderedPageBreak/>
              <w:t>bound to mobility prediction</w:t>
            </w:r>
            <w:r>
              <w:rPr>
                <w:sz w:val="22"/>
                <w:szCs w:val="22"/>
              </w:rPr>
              <w:t>, neither of which appears in the audited literature</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lastRenderedPageBreak/>
              <w:t>A4</w:t>
            </w:r>
          </w:p>
        </w:tc>
        <w:tc>
          <w:tcPr>
            <w:tcW w:w="2687" w:type="dxa"/>
            <w:tcMar>
              <w:top w:w="60" w:type="dxa"/>
              <w:left w:w="100" w:type="dxa"/>
              <w:bottom w:w="60" w:type="dxa"/>
              <w:right w:w="100" w:type="dxa"/>
            </w:tcMar>
          </w:tcPr>
          <w:p w:rsidR="0015244F" w:rsidRDefault="00A565B8">
            <w:pPr>
              <w:spacing w:line="240" w:lineRule="auto"/>
            </w:pPr>
            <w:r>
              <w:rPr>
                <w:sz w:val="22"/>
                <w:szCs w:val="22"/>
              </w:rPr>
              <w:t>Consequences for society and the environment</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Section 6.6, bounded to what was measured</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A5</w:t>
            </w:r>
          </w:p>
        </w:tc>
        <w:tc>
          <w:tcPr>
            <w:tcW w:w="2687" w:type="dxa"/>
            <w:tcMar>
              <w:top w:w="60" w:type="dxa"/>
              <w:left w:w="100" w:type="dxa"/>
              <w:bottom w:w="60" w:type="dxa"/>
              <w:right w:w="100" w:type="dxa"/>
            </w:tcMar>
          </w:tcPr>
          <w:p w:rsidR="0015244F" w:rsidRDefault="00A565B8">
            <w:pPr>
              <w:spacing w:line="240" w:lineRule="auto"/>
            </w:pPr>
            <w:r>
              <w:rPr>
                <w:sz w:val="22"/>
                <w:szCs w:val="22"/>
              </w:rPr>
              <w:t>Familiarity</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 xml:space="preserve">The problem falls outside standards-governed practice: no 3GPP procedure specifies handover </w:t>
            </w:r>
            <w:r>
              <w:rPr>
                <w:i/>
                <w:iCs/>
                <w:sz w:val="22"/>
                <w:szCs w:val="22"/>
              </w:rPr>
              <w:t>prediction</w:t>
            </w:r>
            <w:r>
              <w:rPr>
                <w:sz w:val="22"/>
                <w:szCs w:val="22"/>
              </w:rPr>
              <w:t>, and no standard definition of ping-pong exists, as Section 5.10 demonstrates quantitatively</w:t>
            </w:r>
          </w:p>
        </w:tc>
      </w:tr>
    </w:tbl>
    <w:p w:rsidR="0015244F" w:rsidRDefault="0015244F">
      <w:pPr>
        <w:spacing w:after="120" w:line="240" w:lineRule="auto"/>
      </w:pPr>
    </w:p>
    <w:p w:rsidR="0015244F" w:rsidRDefault="00A565B8">
      <w:pPr>
        <w:pStyle w:val="Heading2"/>
        <w:spacing w:before="360" w:after="140"/>
      </w:pPr>
      <w:r>
        <w:t>6.9 Project management, resources and budget</w:t>
      </w:r>
    </w:p>
    <w:p w:rsidR="0015244F" w:rsidRDefault="00A565B8">
      <w:pPr>
        <w:ind w:firstLine="567"/>
        <w:jc w:val="both"/>
      </w:pPr>
      <w:r>
        <w:t>The project was conducted over two academic terms. The first term covered problem identification, the literature screening of Section 2.3 and the construction of the decoding pipeline; the second covered the four measurement campaigns of September 2026, the formulation and modelling of Chapter 4, the evaluation of Chapter 5 and the preparation of this report. The alignment audit of Section 5.1 was performed during the final revision, after all four campaigns and after the first complete draft, and it required every experiment in Chapter 5 to be re-run.</w:t>
      </w:r>
      <w:r/>
      <w:r/>
    </w:p>
    <w:p w:rsidR="0015244F" w:rsidRDefault="00A565B8">
      <w:pPr>
        <w:pStyle w:val="TableCaption"/>
        <w:spacing w:before="240" w:after="120" w:line="240" w:lineRule="auto"/>
        <w:jc w:val="center"/>
      </w:pPr>
      <w:r>
        <w:t>Ta</w:t>
      </w:r>
      <w:r>
        <w:t>ble 6.6 Resource and cost summary for the project.</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2"/>
        <w:gridCol w:w="5274"/>
        <w:gridCol w:w="1495"/>
      </w:tblGrid>
      <w:tr w:rsidR="0015244F">
        <w:tblPrEx>
          <w:tblCellMar>
            <w:top w:w="0" w:type="dxa"/>
            <w:bottom w:w="0" w:type="dxa"/>
          </w:tblCellMar>
        </w:tblPrEx>
        <w:trPr>
          <w:tblHeader/>
        </w:trPr>
        <w:tc>
          <w:tcPr>
            <w:tcW w:w="2389" w:type="dxa"/>
            <w:tcMar>
              <w:top w:w="60" w:type="dxa"/>
              <w:left w:w="100" w:type="dxa"/>
              <w:bottom w:w="60" w:type="dxa"/>
              <w:right w:w="100" w:type="dxa"/>
            </w:tcMar>
          </w:tcPr>
          <w:p w:rsidR="0015244F" w:rsidRDefault="00A565B8">
            <w:pPr>
              <w:spacing w:line="240" w:lineRule="auto"/>
            </w:pPr>
            <w:r>
              <w:rPr>
                <w:b/>
                <w:bCs/>
                <w:sz w:val="22"/>
                <w:szCs w:val="22"/>
              </w:rPr>
              <w:t>Item</w:t>
            </w:r>
          </w:p>
        </w:tc>
        <w:tc>
          <w:tcPr>
            <w:tcW w:w="5455" w:type="dxa"/>
            <w:tcMar>
              <w:top w:w="60" w:type="dxa"/>
              <w:left w:w="100" w:type="dxa"/>
              <w:bottom w:w="60" w:type="dxa"/>
              <w:right w:w="100" w:type="dxa"/>
            </w:tcMar>
          </w:tcPr>
          <w:p w:rsidR="0015244F" w:rsidRDefault="00A565B8">
            <w:pPr>
              <w:spacing w:line="240" w:lineRule="auto"/>
            </w:pPr>
            <w:r>
              <w:rPr>
                <w:b/>
                <w:bCs/>
                <w:sz w:val="22"/>
                <w:szCs w:val="22"/>
              </w:rPr>
              <w:t>Justification</w:t>
            </w:r>
          </w:p>
        </w:tc>
        <w:tc>
          <w:tcPr>
            <w:tcW w:w="1277" w:type="dxa"/>
            <w:tcMar>
              <w:top w:w="60" w:type="dxa"/>
              <w:left w:w="100" w:type="dxa"/>
              <w:bottom w:w="60" w:type="dxa"/>
              <w:right w:w="100" w:type="dxa"/>
            </w:tcMar>
          </w:tcPr>
          <w:p w:rsidR="0015244F" w:rsidRDefault="00A565B8">
            <w:pPr>
              <w:spacing w:line="240" w:lineRule="auto"/>
            </w:pPr>
            <w:r>
              <w:rPr>
                <w:b/>
                <w:bCs/>
                <w:sz w:val="22"/>
                <w:szCs w:val="22"/>
              </w:rPr>
              <w:t>Cost (BDT)</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sz w:val="22"/>
                <w:szCs w:val="22"/>
              </w:rPr>
              <w:t>Drive-test instrumentation</w:t>
            </w:r>
          </w:p>
        </w:tc>
        <w:tc>
          <w:tcPr>
            <w:tcW w:w="5455" w:type="dxa"/>
            <w:tcMar>
              <w:top w:w="60" w:type="dxa"/>
              <w:left w:w="100" w:type="dxa"/>
              <w:bottom w:w="60" w:type="dxa"/>
              <w:right w:w="100" w:type="dxa"/>
            </w:tcMar>
          </w:tcPr>
          <w:p w:rsidR="0015244F" w:rsidRDefault="00A565B8">
            <w:pPr>
              <w:spacing w:line="240" w:lineRule="auto"/>
            </w:pPr>
            <w:r>
              <w:rPr>
                <w:sz w:val="22"/>
                <w:szCs w:val="22"/>
              </w:rPr>
              <w:t>Departmental equipment, used under supervision</w:t>
            </w:r>
          </w:p>
        </w:tc>
        <w:tc>
          <w:tcPr>
            <w:tcW w:w="1277" w:type="dxa"/>
            <w:tcMar>
              <w:top w:w="60" w:type="dxa"/>
              <w:left w:w="100" w:type="dxa"/>
              <w:bottom w:w="60" w:type="dxa"/>
              <w:right w:w="100" w:type="dxa"/>
            </w:tcMar>
          </w:tcPr>
          <w:p w:rsidR="0015244F" w:rsidRDefault="00A565B8">
            <w:pPr>
              <w:spacing w:line="240" w:lineRule="auto"/>
            </w:pPr>
            <w:r>
              <w:rPr>
                <w:sz w:val="22"/>
                <w:szCs w:val="22"/>
              </w:rPr>
              <w:t>Nil (departmental)</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sz w:val="22"/>
                <w:szCs w:val="22"/>
              </w:rPr>
              <w:t>Mobile data and subscription</w:t>
            </w:r>
          </w:p>
        </w:tc>
        <w:tc>
          <w:tcPr>
            <w:tcW w:w="5455" w:type="dxa"/>
            <w:tcMar>
              <w:top w:w="60" w:type="dxa"/>
              <w:left w:w="100" w:type="dxa"/>
              <w:bottom w:w="60" w:type="dxa"/>
              <w:right w:w="100" w:type="dxa"/>
            </w:tcMar>
          </w:tcPr>
          <w:p w:rsidR="0015244F" w:rsidRDefault="00A565B8">
            <w:pPr>
              <w:spacing w:line="240" w:lineRule="auto"/>
            </w:pPr>
            <w:r>
              <w:rPr>
                <w:sz w:val="22"/>
                <w:szCs w:val="22"/>
              </w:rPr>
              <w:t>Four measurement campaigns on a live network</w:t>
            </w:r>
          </w:p>
        </w:tc>
        <w:tc>
          <w:tcPr>
            <w:tcW w:w="1277" w:type="dxa"/>
            <w:tcMar>
              <w:top w:w="60" w:type="dxa"/>
              <w:left w:w="100" w:type="dxa"/>
              <w:bottom w:w="60" w:type="dxa"/>
              <w:right w:w="100" w:type="dxa"/>
            </w:tcMar>
          </w:tcPr>
          <w:p w:rsidR="0015244F" w:rsidRDefault="00A565B8">
            <w:pPr>
              <w:spacing w:line="240" w:lineRule="auto"/>
            </w:pPr>
            <w:r>
              <w:rPr>
                <w:sz w:val="22"/>
                <w:szCs w:val="22"/>
              </w:rPr>
              <w:t>3,000</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sz w:val="22"/>
                <w:szCs w:val="22"/>
              </w:rPr>
              <w:t>Vehicle fuel and hire</w:t>
            </w:r>
          </w:p>
        </w:tc>
        <w:tc>
          <w:tcPr>
            <w:tcW w:w="5455" w:type="dxa"/>
            <w:tcMar>
              <w:top w:w="60" w:type="dxa"/>
              <w:left w:w="100" w:type="dxa"/>
              <w:bottom w:w="60" w:type="dxa"/>
              <w:right w:w="100" w:type="dxa"/>
            </w:tcMar>
          </w:tcPr>
          <w:p w:rsidR="0015244F" w:rsidRDefault="00A565B8">
            <w:pPr>
              <w:spacing w:line="240" w:lineRule="auto"/>
            </w:pPr>
            <w:r>
              <w:rPr>
                <w:sz w:val="22"/>
                <w:szCs w:val="22"/>
              </w:rPr>
              <w:t>Approximately 95 km across four campaigns, including the highway run</w:t>
            </w:r>
          </w:p>
        </w:tc>
        <w:tc>
          <w:tcPr>
            <w:tcW w:w="1277" w:type="dxa"/>
            <w:tcMar>
              <w:top w:w="60" w:type="dxa"/>
              <w:left w:w="100" w:type="dxa"/>
              <w:bottom w:w="60" w:type="dxa"/>
              <w:right w:w="100" w:type="dxa"/>
            </w:tcMar>
          </w:tcPr>
          <w:p w:rsidR="0015244F" w:rsidRDefault="00A565B8">
            <w:pPr>
              <w:spacing w:line="240" w:lineRule="auto"/>
            </w:pPr>
            <w:r>
              <w:rPr>
                <w:sz w:val="22"/>
                <w:szCs w:val="22"/>
              </w:rPr>
              <w:t>9,000</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sz w:val="22"/>
                <w:szCs w:val="22"/>
              </w:rPr>
              <w:t>Computation</w:t>
            </w:r>
          </w:p>
        </w:tc>
        <w:tc>
          <w:tcPr>
            <w:tcW w:w="5455" w:type="dxa"/>
            <w:tcMar>
              <w:top w:w="60" w:type="dxa"/>
              <w:left w:w="100" w:type="dxa"/>
              <w:bottom w:w="60" w:type="dxa"/>
              <w:right w:w="100" w:type="dxa"/>
            </w:tcMar>
          </w:tcPr>
          <w:p w:rsidR="0015244F" w:rsidRDefault="00A565B8">
            <w:pPr>
              <w:spacing w:line="240" w:lineRule="auto"/>
            </w:pPr>
            <w:r>
              <w:rPr>
                <w:sz w:val="22"/>
                <w:szCs w:val="22"/>
              </w:rPr>
              <w:t>Model training and evaluation on personal and departmental hardware</w:t>
            </w:r>
          </w:p>
        </w:tc>
        <w:tc>
          <w:tcPr>
            <w:tcW w:w="1277" w:type="dxa"/>
            <w:tcMar>
              <w:top w:w="60" w:type="dxa"/>
              <w:left w:w="100" w:type="dxa"/>
              <w:bottom w:w="60" w:type="dxa"/>
              <w:right w:w="100" w:type="dxa"/>
            </w:tcMar>
          </w:tcPr>
          <w:p w:rsidR="0015244F" w:rsidRDefault="00A565B8">
            <w:pPr>
              <w:spacing w:line="240" w:lineRule="auto"/>
            </w:pPr>
            <w:r>
              <w:rPr>
                <w:sz w:val="22"/>
                <w:szCs w:val="22"/>
              </w:rPr>
              <w:t>Nil</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sz w:val="22"/>
                <w:szCs w:val="22"/>
              </w:rPr>
              <w:t>Report production and binding</w:t>
            </w:r>
          </w:p>
        </w:tc>
        <w:tc>
          <w:tcPr>
            <w:tcW w:w="5455" w:type="dxa"/>
            <w:tcMar>
              <w:top w:w="60" w:type="dxa"/>
              <w:left w:w="100" w:type="dxa"/>
              <w:bottom w:w="60" w:type="dxa"/>
              <w:right w:w="100" w:type="dxa"/>
            </w:tcMar>
          </w:tcPr>
          <w:p w:rsidR="0015244F" w:rsidRDefault="00A565B8">
            <w:pPr>
              <w:spacing w:line="240" w:lineRule="auto"/>
            </w:pPr>
            <w:r>
              <w:rPr>
                <w:sz w:val="22"/>
                <w:szCs w:val="22"/>
              </w:rPr>
              <w:t>Three hard-bound copies as required</w:t>
            </w:r>
          </w:p>
        </w:tc>
        <w:tc>
          <w:tcPr>
            <w:tcW w:w="1277" w:type="dxa"/>
            <w:tcMar>
              <w:top w:w="60" w:type="dxa"/>
              <w:left w:w="100" w:type="dxa"/>
              <w:bottom w:w="60" w:type="dxa"/>
              <w:right w:w="100" w:type="dxa"/>
            </w:tcMar>
          </w:tcPr>
          <w:p w:rsidR="0015244F" w:rsidRDefault="00A565B8">
            <w:pPr>
              <w:spacing w:line="240" w:lineRule="auto"/>
            </w:pPr>
            <w:r>
              <w:rPr>
                <w:sz w:val="22"/>
                <w:szCs w:val="22"/>
              </w:rPr>
              <w:t>3,000</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b/>
                <w:bCs/>
                <w:sz w:val="22"/>
                <w:szCs w:val="22"/>
              </w:rPr>
              <w:t>Total</w:t>
            </w:r>
          </w:p>
        </w:tc>
        <w:tc>
          <w:tcPr>
            <w:tcW w:w="5455" w:type="dxa"/>
            <w:tcMar>
              <w:top w:w="60" w:type="dxa"/>
              <w:left w:w="100" w:type="dxa"/>
              <w:bottom w:w="60" w:type="dxa"/>
              <w:right w:w="100" w:type="dxa"/>
            </w:tcMar>
          </w:tcPr>
          <w:p w:rsidR="0015244F" w:rsidRDefault="0015244F">
            <w:pPr>
              <w:spacing w:line="240" w:lineRule="auto"/>
            </w:pPr>
          </w:p>
        </w:tc>
        <w:tc>
          <w:tcPr>
            <w:tcW w:w="1277" w:type="dxa"/>
            <w:tcMar>
              <w:top w:w="60" w:type="dxa"/>
              <w:left w:w="100" w:type="dxa"/>
              <w:bottom w:w="60" w:type="dxa"/>
              <w:right w:w="100" w:type="dxa"/>
            </w:tcMar>
          </w:tcPr>
          <w:p w:rsidR="0015244F" w:rsidRDefault="00A565B8">
            <w:pPr>
              <w:spacing w:line="240" w:lineRule="auto"/>
            </w:pPr>
            <w:r>
              <w:rPr>
                <w:b/>
                <w:bCs/>
                <w:sz w:val="22"/>
                <w:szCs w:val="22"/>
              </w:rPr>
              <w:t>15,000</w:t>
            </w:r>
          </w:p>
        </w:tc>
      </w:tr>
    </w:tbl>
    <w:p w:rsidR="0015244F" w:rsidRDefault="0015244F">
      <w:pPr>
        <w:spacing w:after="120" w:line="240" w:lineRule="auto"/>
      </w:pPr>
    </w:p>
    <w:p w:rsidR="0015244F" w:rsidRDefault="00A565B8">
      <w:pPr>
        <w:ind w:firstLine="567"/>
        <w:jc w:val="both"/>
      </w:pPr>
      <w:r>
        <w:t xml:space="preserve">Table 6.6 </w:t>
      </w:r>
      <w:proofErr w:type="spellStart"/>
      <w:r>
        <w:t>itemises</w:t>
      </w:r>
      <w:proofErr w:type="spellEnd"/>
      <w:r>
        <w:t xml:space="preserve"> the cost. The budget falls within the departmental allocation of BDT 15,000 per group. The dominant cost is field data collection rather than computation, which is </w:t>
      </w:r>
      <w:r>
        <w:lastRenderedPageBreak/>
        <w:t>characteristic of measurement-driven work and is the reason the feasibili</w:t>
      </w:r>
      <w:r>
        <w:t>ty floor of Section 5.5 is an economic constraint as much as a statistical one: buying a tighter guarantee means buying more driving.</w:t>
      </w:r>
    </w:p>
    <w:p w:rsidR="0015244F" w:rsidRDefault="00A565B8">
      <w:pPr>
        <w:pageBreakBefore/>
        <w:jc w:val="center"/>
      </w:pPr>
      <w:r>
        <w:rPr>
          <w:b/>
          <w:bCs/>
          <w:sz w:val="40"/>
          <w:szCs w:val="40"/>
        </w:rPr>
        <w:lastRenderedPageBreak/>
        <w:t>CHAPTER 7</w:t>
      </w:r>
    </w:p>
    <w:p w:rsidR="0015244F" w:rsidRDefault="0015244F"/>
    <w:p w:rsidR="0015244F" w:rsidRDefault="00A565B8">
      <w:pPr>
        <w:pStyle w:val="Heading1"/>
        <w:jc w:val="center"/>
      </w:pPr>
      <w:r>
        <w:t>CONCLUSIONS</w:t>
      </w:r>
    </w:p>
    <w:p w:rsidR="0015244F" w:rsidRDefault="0015244F"/>
    <w:p w:rsidR="0015244F" w:rsidRDefault="0015244F"/>
    <w:p w:rsidR="0015244F" w:rsidRDefault="00A565B8">
      <w:pPr>
        <w:pStyle w:val="Heading2"/>
        <w:spacing w:before="360" w:after="140"/>
      </w:pPr>
      <w:r>
        <w:t>7.1 Summary of findings</w:t>
      </w:r>
    </w:p>
    <w:p w:rsidR="0015244F" w:rsidRDefault="00A565B8">
      <w:pPr>
        <w:ind w:firstLine="567"/>
        <w:jc w:val="both"/>
      </w:pPr>
      <w:r>
        <w:t>This thesis set out to determine whether the next LTE handover can be forecast from the measurements a handset already reports, how far in advance, and with what guarantee. On four drive-test campaigns conducted on a live commercial network in Dhaka and Gazipur — four continuous sessions, 10,260 samples and 957 handover commands whose ground truth is decoded from RRC signalling — the answer is a qualified yes, and the qualification is the first finding.</w:t>
      </w:r>
      <w:r/>
      <w:proofErr w:type="spellStart"/>
      <w:r/>
      <w:proofErr w:type="spellEnd"/>
      <w:r/>
      <w:r/>
      <w:proofErr w:type="spellStart"/>
      <w:r/>
      <w:proofErr w:type="spellEnd"/>
      <w:r/>
    </w:p>
    <w:p w:rsidR="0015244F" w:rsidRDefault="00A565B8">
      <w:pPr>
        <w:ind w:firstLine="567"/>
        <w:jc w:val="both"/>
      </w:pPr>
      <w:r>
        <w:rPr>
          <w:b w:val="0"/>
          <w:bCs/>
        </w:rPr>
        <w:t>The measurement grid must be aligned to the event clock before anything else is believed. In 76% of handovers the one-hertz export row stamped before the handover command already carries the post-handover serving cell. Lagging every export feature by one row moves the one-second AUPRC of the same model from 0.600 to 0.179, and the dwell feature's own AUROC from 0.873 to 0.664. The audit costs three lines of code and is the recommendation this thesis makes most strongly.</w:t>
      </w:r>
      <w:r/>
      <w:r/>
      <w:r/>
    </w:p>
    <w:p w:rsidR="0015244F" w:rsidRDefault="00A565B8">
      <w:pPr>
        <w:ind w:firstLine="567"/>
        <w:jc w:val="both"/>
      </w:pPr>
      <w:r>
        <w:rPr>
          <w:b/>
          <w:bCs/>
        </w:rPr>
        <w:t xml:space="preserve">The next handover is predictable, modestly. </w:t>
      </w:r>
      <w:r>
        <w:rPr>
          <w:b w:val="0"/>
        </w:rPr>
        <w:t>Gradient-boosted trees under a discrete-time hazard formulation reach AUPRC 0.179 at one second against a 6.8% floor (2.6x, AUROC 0.777) and AUPRC 0.475 at five seconds (1.8x), against AUPRC 0.116 for the deployed Event A3 rule scored as a predictor.</w:t>
      </w:r>
      <w:r/>
      <w:r/>
    </w:p>
    <w:p w:rsidR="0015244F" w:rsidRDefault="00A565B8">
      <w:pPr>
        <w:ind w:firstLine="567"/>
        <w:jc w:val="both"/>
      </w:pPr>
      <w:r>
        <w:rPr>
          <w:b/>
          <w:bCs/>
        </w:rPr>
        <w:t xml:space="preserve">The unit of splitting is worth more than the model. </w:t>
      </w:r>
      <w:r>
        <w:rPr>
          <w:b w:val="0"/>
        </w:rPr>
        <w:t>Against leave-one-campaign-out, random-row splitting inflates the one-second AUPRC by 48 % and random 180-second blocks of the same session by 13 %; the inflation is architecture-dependent, so a careless protocol reorders the leaderboard rather than merely raising it.</w:t>
      </w:r>
      <w:r/>
      <w:r/>
    </w:p>
    <w:p w:rsidR="0015244F" w:rsidRDefault="00A565B8">
      <w:pPr>
        <w:ind w:firstLine="567"/>
        <w:jc w:val="both"/>
      </w:pPr>
      <w:r>
        <w:rPr>
          <w:b w:val="0"/>
          <w:bCs/>
        </w:rPr>
        <w:t>A single hazard model makes the five horizons mutually consistent, and the correct comparison for that property is a monotone projection rather than raw independent classifiers. Independent heads violate ordering on 40.2% of rows; a cumulative-maximum projection, isotonic calibration composed with that projection, and the hazard model all reach zero. The hazard model calibrates better than the projections that cost nothing (0.036 against 0.047 at one second) and worse than the isotonic composite (0.016), which spends a calibration split this dataset cannot spare.</w:t>
      </w:r>
      <w:proofErr w:type="spellStart"/>
      <w:r>
        <w:rPr>
          <w:b/>
          <w:bCs/>
        </w:rPr>
      </w:r>
      <w:proofErr w:type="spellEnd"/>
      <w:r>
        <w:rPr>
          <w:b/>
          <w:bCs/>
        </w:rPr>
      </w:r>
      <w:r/>
      <w:r/>
      <w:r/>
    </w:p>
    <w:p w:rsidR="0015244F" w:rsidRDefault="00A565B8">
      <w:pPr>
        <w:ind w:firstLine="567"/>
        <w:jc w:val="both"/>
      </w:pPr>
      <w:r>
        <w:rPr>
          <w:b w:val="0"/>
          <w:bCs/>
        </w:rPr>
        <w:t>The warning carries a guarantee whose assumption is testable, and was tested — and whose estimand turns out to be the binding question. Over rows, with calibration and test units drawn from the same pool of 180-second blocks, the realised per-unit miss rate sits at or below the target (0.168 at α = 0.20, at a 47% alarm rate); calibrating on one campaign and deploying on another it holds in 83% of rotations. Over handovers, which is what the objective promised, it cannot be certified at one second at any useful level, because 36.4% of commands have no usable row in their lead window and are missed whatever the threshold. The sampling rate of the instrument, not the model, is the binding constraint on what a study like this may promise.</w:t>
      </w:r>
      <w:r/>
      <w:r/>
      <w:proofErr w:type="spellStart"/>
      <w:r/>
      <w:proofErr w:type="spellEnd"/>
      <w:r/>
      <w:proofErr w:type="gramStart"/>
      <w:r/>
      <w:proofErr w:type="gramEnd"/>
      <w:r>
        <w:rPr>
          <w:i/>
          <w:iCs/>
        </w:rPr>
      </w:r>
      <w:r/>
    </w:p>
    <w:p w:rsidR="0015244F" w:rsidRDefault="00A565B8">
      <w:pPr>
        <w:ind w:firstLine="567"/>
        <w:jc w:val="both"/>
      </w:pPr>
      <w:r>
        <w:t>Two properties of the deployed network were characterised, both corrected against an earlier draft, and a third quantity was shown to have no unit-free value at all. The A3 conversion rate reads 63% declined per transmitted report, 30% per trigger episode when overlapping episodes may claim the same command, and 73% once each command is matched to exactly one episode; what survives every unit is the separation between the mobility configuration and the monitoring configurations (37% declined against 95%). Weighted by handovers rather than by configurations, 75% of A3-triggered handovers fire under a positive offset. And the ping-pong rate on one fixed set of 957 handover commands moves from 26.3% to 43.8% depending on three definitional choices that published work routinely leaves unstated.</w:t>
      </w:r>
      <w:proofErr w:type="spellStart"/>
      <w:r/>
      <w:proofErr w:type="spellEnd"/>
      <w:r/>
      <w:r/>
      <w:r/>
    </w:p>
    <w:p w:rsidR="0015244F" w:rsidRDefault="00A565B8">
      <w:pPr>
        <w:ind w:firstLine="567"/>
        <w:jc w:val="both"/>
      </w:pPr>
      <w:r>
        <w:t>Underlying all of these is the most compact statement of what this work found: on drive-test data, the protocol and the timestamp semantics decide the result before the model does.</w:t>
      </w:r>
      <w:r/>
      <w:r>
        <w:rPr>
          <w:b/>
          <w:bCs/>
        </w:rPr>
      </w:r>
      <w:r/>
      <w:proofErr w:type="spellStart"/>
      <w:r/>
      <w:proofErr w:type="spellEnd"/>
      <w:r/>
      <w:r/>
    </w:p>
    <w:p w:rsidR="0015244F" w:rsidRDefault="00A565B8">
      <w:pPr>
        <w:pStyle w:val="Heading2"/>
        <w:spacing w:before="360" w:after="140"/>
      </w:pPr>
      <w:r>
        <w:t>7.2 Limitations</w:t>
      </w:r>
    </w:p>
    <w:p w:rsidR="0015244F" w:rsidRDefault="00A565B8">
      <w:pPr>
        <w:ind w:firstLine="567"/>
        <w:jc w:val="both"/>
      </w:pPr>
      <w:r>
        <w:t>The limits of the present study are restated here because they determine what follows from it.</w:t>
      </w:r>
      <w:r/>
    </w:p>
    <w:p w:rsidR="0015244F" w:rsidRDefault="00A565B8">
      <w:pPr>
        <w:ind w:firstLine="567"/>
        <w:jc w:val="both"/>
      </w:pPr>
      <w:r>
        <w:t>The evidence base is four continuous sessions, one operator, four days and one radio access technology. The deployed configuration is stable across all four campaigns, so the cross-regime transfer of Section 5.6 rests on a single configuration set; a second operator would test what a second corridor cannot. The one-hertz export caps event-level detection and fixes the information cut-off one sample period before the prediction instant, so every figure here is conservative by that margin and exact semantics await a native-rate export.</w:t>
      </w:r>
      <w:r/>
    </w:p>
    <w:p w:rsidR="0015244F" w:rsidRDefault="00A565B8">
      <w:pPr>
        <w:ind w:firstLine="567"/>
        <w:jc w:val="both"/>
      </w:pPr>
      <w:r>
        <w:t>No causal claim is made about the benefit of ac</w:t>
      </w:r>
      <w:r>
        <w:t xml:space="preserve">ting on the warning. The logging policy is deterministic — given the radio state and the configuration, Event A3 either fires or it does not — so the propensities required for off-policy evaluation take the values zero and one and the causal </w:t>
      </w:r>
      <w:proofErr w:type="spellStart"/>
      <w:r>
        <w:t>estimand</w:t>
      </w:r>
      <w:proofErr w:type="spellEnd"/>
      <w:r>
        <w:t xml:space="preserve"> is no</w:t>
      </w:r>
      <w:r>
        <w:t>t identified. Only a counting upper bound was reported.</w:t>
      </w:r>
    </w:p>
    <w:p w:rsidR="0015244F" w:rsidRDefault="00A565B8">
      <w:pPr>
        <w:ind w:firstLine="567"/>
        <w:jc w:val="both"/>
      </w:pPr>
      <w:r>
        <w:t>Finally, the system is an offline predictor evaluated on recorded data. It has not been integrated into a network and no network key performance indicator has been measured with it in the loop.</w:t>
      </w:r>
    </w:p>
    <w:p w:rsidR="0015244F" w:rsidRDefault="00A565B8">
      <w:pPr>
        <w:pStyle w:val="Heading2"/>
        <w:spacing w:before="360" w:after="140"/>
      </w:pPr>
      <w:r>
        <w:t>7.3 Re</w:t>
      </w:r>
      <w:r>
        <w:t>commendations for future work</w:t>
      </w:r>
    </w:p>
    <w:p w:rsidR="0015244F" w:rsidRDefault="00A565B8">
      <w:pPr>
        <w:ind w:firstLine="567"/>
        <w:jc w:val="both"/>
      </w:pPr>
      <w:r>
        <w:t>Six items follow from those limits, in the order the limits dictate.</w:t>
      </w:r>
    </w:p>
    <w:p w:rsidR="0015244F" w:rsidRDefault="00A565B8">
      <w:pPr>
        <w:ind w:firstLine="567"/>
        <w:jc w:val="both"/>
      </w:pPr>
      <w:r>
        <w:rPr>
          <w:b/>
          <w:bCs/>
        </w:rPr>
        <w:t xml:space="preserve">A native-rate export and a published alignment statement. </w:t>
      </w:r>
      <w:r>
        <w:rPr>
          <w:b w:val="0"/>
        </w:rPr>
        <w:t>The single most valuable follow-up is a re-export of the same captures at the message rate rather than at one hertz. Section 5.1 infers the write rule from its consequences and confirms the inference on a native-rate corpus collected elsewhere; a native-rate export of these captures would replace inference with observation and would allow horizons below one second to be modelled rather than approximated.</w:t>
      </w:r>
      <w:r/>
      <w:r/>
    </w:p>
    <w:p w:rsidR="0015244F" w:rsidRDefault="00A565B8">
      <w:pPr>
        <w:ind w:firstLine="567"/>
        <w:jc w:val="both"/>
      </w:pPr>
      <w:r>
        <w:rPr>
          <w:b/>
          <w:bCs/>
        </w:rPr>
        <w:t xml:space="preserve">More sessions, not more blocks. </w:t>
      </w:r>
      <w:r>
        <w:rPr>
          <w:b w:val="0"/>
        </w:rPr>
        <w:t>Eight to ten independent sessions across days, times and routes would make a paired test over units informative, tighten the conformal feasibility floor and give the block bootstrap something to be conditional on.</w:t>
      </w:r>
      <w:r/>
      <w:r/>
    </w:p>
    <w:p w:rsidR="0015244F" w:rsidRDefault="00A565B8">
      <w:pPr>
        <w:ind w:firstLine="567"/>
        <w:jc w:val="both"/>
      </w:pPr>
      <w:r>
        <w:rPr>
          <w:b/>
          <w:bCs/>
        </w:rPr>
        <w:t xml:space="preserve">A second operator. </w:t>
      </w:r>
      <w:r>
        <w:rPr>
          <w:b w:val="0"/>
        </w:rPr>
        <w:t>Four days on one network is sufficient for a careful study and insufficient to claim generality; a second operator would also break the single-configuration limitation, since the offsets reported in Section 3.5 are one operator's choice rather than a property of LTE.</w:t>
      </w:r>
      <w:r/>
      <w:r/>
    </w:p>
    <w:p w:rsidR="0015244F" w:rsidRDefault="00A565B8">
      <w:pPr>
        <w:ind w:firstLine="567"/>
        <w:jc w:val="both"/>
      </w:pPr>
      <w:r>
        <w:rPr>
          <w:b/>
          <w:bCs/>
        </w:rPr>
        <w:t>Linking the warning to a measured service outcome.</w:t>
      </w:r>
      <w:r>
        <w:t xml:space="preserve"> The benefit reported here is a counting bound. Connecting the warning to a measured throughput or interruption effect — ideally in a testbed where the action taken on the warning can be varied — </w:t>
      </w:r>
      <w:r>
        <w:t>would convert that bound into an estimate.</w:t>
      </w:r>
    </w:p>
    <w:p w:rsidR="0015244F" w:rsidRDefault="00A565B8">
      <w:pPr>
        <w:ind w:firstLine="567"/>
        <w:jc w:val="both"/>
      </w:pPr>
      <w:r>
        <w:rPr>
          <w:b/>
          <w:bCs/>
        </w:rPr>
        <w:lastRenderedPageBreak/>
        <w:t>An experimental test of the time-to-trigger.</w:t>
      </w:r>
      <w:r>
        <w:t xml:space="preserve"> Section 5.10 identifies the time-to-trigger of the dominant configuration profile as the lever governing ping-pong, having ruled out speed as the driver. Varying that p</w:t>
      </w:r>
      <w:r>
        <w:t>arameter under controlled conditions and measuring the resulting return rate is the direct test of that inference, and it would also supply the treatment variation that the causal design above requires.</w:t>
      </w:r>
    </w:p>
    <w:p w:rsidR="0015244F" w:rsidRDefault="00A565B8">
      <w:pPr>
        <w:ind w:firstLine="567"/>
        <w:jc w:val="both"/>
      </w:pPr>
      <w:r>
        <w:rPr>
          <w:b/>
          <w:bCs/>
        </w:rPr>
        <w:t xml:space="preserve">Release of code and data. </w:t>
      </w:r>
      <w:r>
        <w:rPr>
          <w:b w:val="0"/>
        </w:rPr>
        <w:t>The protocol and alignment arguments of Sections 5.1 and 5.3 are claims about how results in this field should be produced, and such claims are only worth making if others can reproduce and contest them. The audit script, the four protocols and the table-generation pipeline are the parts of this work most worth releasing.</w:t>
      </w:r>
      <w:r/>
      <w:r/>
    </w:p>
    <w:p w:rsidR="0015244F" w:rsidRDefault="00A565B8">
      <w:pPr>
        <w:pStyle w:val="Heading2"/>
        <w:spacing w:before="360" w:after="140"/>
      </w:pPr>
      <w:r>
        <w:t>7.4 Concluding remark</w:t>
      </w:r>
    </w:p>
    <w:p w:rsidR="0015244F" w:rsidRDefault="00A565B8">
      <w:pPr>
        <w:ind w:firstLine="567"/>
        <w:jc w:val="both"/>
      </w:pPr>
      <w:r>
        <w:t>The contribution of this work is not a new learning algorithm, and it is worth closing by saying so directly. Gradient boosting, discrete-time survival analysis and conformal risk control are all established methods, and this thesis is explicit throughout about where each came from. What it offers is measurement-grade ground truth decoded from signalling, a formulation that makes multi-horizon outputs coherent by construction, an evaluation protocol whose unit is defended and whose alternatives are measured, a guarantee whose exchangeability assumption is tested in both directions, and an alignment audit that removed this project's own most impressive result. On the evidence of the protocol audit in Section 2.3, the parts of that list the field most consistently omits are the least novel ones.</w:t>
      </w:r>
      <w:r/>
      <w:proofErr w:type="spellStart"/>
      <w:r/>
      <w:proofErr w:type="spellEnd"/>
      <w:r/>
      <w:r/>
      <w:r/>
      <w:r/>
    </w:p>
    <w:p w:rsidR="0015244F" w:rsidRDefault="00A565B8">
      <w:pPr>
        <w:pStyle w:val="Heading1"/>
        <w:pageBreakBefore/>
        <w:spacing w:after="360"/>
        <w:jc w:val="center"/>
      </w:pPr>
      <w:r>
        <w:lastRenderedPageBreak/>
        <w:t>REFERENCES</w:t>
      </w:r>
    </w:p>
    <w:p w:rsidR="0015244F" w:rsidRDefault="00A565B8">
      <w:pPr>
        <w:spacing w:after="120" w:line="240" w:lineRule="auto"/>
        <w:ind w:left="284" w:hanging="284"/>
        <w:jc w:val="both"/>
      </w:pPr>
      <w:r>
        <w:t>[1] 3GPP, "Evolved Universal Terrestrial Radio Access (E-UTRA); Radio Resource Control (RRC); Protocol specification," 3GPP TS 36.331, Release 17, 2022.</w:t>
      </w:r>
      <w:r/>
      <w:r>
        <w:rPr>
          <w:i/>
          <w:iCs/>
        </w:rPr>
      </w:r>
      <w:r/>
    </w:p>
    <w:p w:rsidR="0015244F" w:rsidRDefault="00A565B8">
      <w:pPr>
        <w:spacing w:after="120" w:line="240" w:lineRule="auto"/>
        <w:ind w:left="284" w:hanging="284"/>
        <w:jc w:val="both"/>
      </w:pPr>
      <w:r>
        <w:t>[2] 3GPP, "Evolved Universal Terrestrial Radio Access (E-UTRA) and Evolved Universal Terrestrial Radio Access Network (E-UTRAN); Overall description; Stage 2," 3GPP TS 36.300, Release 17, 2022.</w:t>
      </w:r>
      <w:r>
        <w:rPr>
          <w:i/>
          <w:iCs/>
        </w:rPr>
      </w:r>
      <w:r/>
    </w:p>
    <w:p w:rsidR="0015244F" w:rsidRDefault="00A565B8">
      <w:pPr>
        <w:spacing w:after="120" w:line="240" w:lineRule="auto"/>
        <w:ind w:left="284" w:hanging="284"/>
        <w:jc w:val="both"/>
      </w:pPr>
      <w:r>
        <w:t>[3] H. Deng, C. Peng, A. Fida, J. Meng, and Y. C. Hu, "Mobility support in cellular networks: a measurement study on its configurations and implications," in Proc. ACM Internet Measurement Conference (IMC), 2018, doi:10.1145/3278532.3278546.</w:t>
      </w:r>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[4] M. Ghoshal, I. Khan, P. Dinh, Z. J. Kong, O. Basit, S. Wang, Y. Feng, Y. C. Hu, and D. Koutsonikolas, "Handover configurations in operational 5G networks: diversity, evolution, and impact on performance," arXiv:2511.03116, 2025.</w:t>
      </w:r>
      <w:proofErr w:type="spellStart"/>
      <w:r/>
      <w:proofErr w:type="spellEnd"/>
      <w:r/>
      <w:proofErr w:type="spellStart"/>
      <w:r/>
      <w:proofErr w:type="spellEnd"/>
      <w:r/>
      <w:proofErr w:type="spellStart"/>
      <w:r>
        <w:rPr>
          <w:i/>
          <w:iCs/>
        </w:rPr>
      </w:r>
      <w:proofErr w:type="spellEnd"/>
      <w:r>
        <w:rPr>
          <w:i/>
          <w:iCs/>
        </w:rPr>
      </w:r>
      <w:proofErr w:type="gramStart"/>
      <w:r>
        <w:rPr>
          <w:i/>
          <w:iCs/>
        </w:rPr>
      </w:r>
      <w:proofErr w:type="gramEnd"/>
      <w:r/>
    </w:p>
    <w:p w:rsidR="0015244F" w:rsidRDefault="00A565B8">
      <w:pPr>
        <w:spacing w:after="120" w:line="240" w:lineRule="auto"/>
        <w:ind w:left="284" w:hanging="284"/>
        <w:jc w:val="both"/>
      </w:pPr>
      <w:r>
        <w:t>[5] A. Hassan, A. Narayanan, A. Zhang, W. Ye, R. Zhu, S. Jin, J. Carpenter, Z. M. Mao, F. Qian, and Z.-L. Zhang, "Vivisecting mobility management in 5G cellular networks," in Proc. ACM SIGCOMM, 2022, pp. 86–100, doi:10.1145/3544216.3544217.</w:t>
      </w:r>
      <w:proofErr w:type="spellStart"/>
      <w:r/>
      <w:proofErr w:type="spellEnd"/>
      <w:r/>
      <w:r/>
      <w:r>
        <w:rPr>
          <w:i/>
          <w:iCs/>
        </w:rPr>
      </w:r>
      <w:r/>
    </w:p>
    <w:p w:rsidR="0015244F" w:rsidRDefault="00A565B8">
      <w:pPr>
        <w:spacing w:after="120" w:line="240" w:lineRule="auto"/>
        <w:ind w:left="284" w:hanging="284"/>
        <w:jc w:val="both"/>
      </w:pPr>
      <w:r>
        <w:t>[6] "M2HO: Mitigating the adverse effects of 5G handovers on TCP," in Proc. ACM MobiCom, 2024, doi:10.1145/3636534.3690680. [Author list to be completed from the ACM record before submission.]</w:t>
      </w:r>
      <w:r/>
      <w:r>
        <w:rPr>
          <w:i/>
          <w:iCs/>
        </w:rPr>
      </w:r>
      <w:proofErr w:type="spellStart"/>
      <w:r>
        <w:rPr>
          <w:i/>
          <w:iCs/>
        </w:rPr>
      </w:r>
      <w:proofErr w:type="spellEnd"/>
      <w:r>
        <w:rPr>
          <w:i/>
          <w:iCs/>
        </w:rPr>
      </w:r>
      <w:r/>
    </w:p>
    <w:p w:rsidR="0015244F" w:rsidRDefault="00A565B8">
      <w:pPr>
        <w:spacing w:after="120" w:line="240" w:lineRule="auto"/>
        <w:ind w:left="284" w:hanging="284"/>
        <w:jc w:val="both"/>
      </w:pPr>
      <w:r>
        <w:t>[7] T. Ankome and E. Hanada, "Reactive to predictive mobility management: a systematic review of ML-driven handover optimization in 5G and beyond," Machine Learning and Knowledge Extraction, vol. 8, no. 5, art. 133, 2026, doi:10.3390/make8050133.</w:t>
      </w:r>
      <w:proofErr w:type="spellStart"/>
      <w:r/>
      <w:proofErr w:type="spellEnd"/>
      <w:r/>
      <w:proofErr w:type="spellStart"/>
      <w:r/>
      <w:proofErr w:type="spellEnd"/>
      <w:r/>
      <w:r>
        <w:rPr>
          <w:i/>
          <w:iCs/>
        </w:rPr>
      </w:r>
      <w:r>
        <w:rPr>
          <w:i/>
          <w:iCs/>
        </w:rPr>
      </w:r>
      <w:r/>
    </w:p>
    <w:p w:rsidR="0015244F" w:rsidRDefault="00A565B8">
      <w:pPr>
        <w:spacing w:after="120" w:line="240" w:lineRule="auto"/>
        <w:ind w:left="284" w:hanging="284"/>
        <w:jc w:val="both"/>
      </w:pPr>
      <w:r>
        <w:t>[8] B. Saoud, I. Shayea, M. A. Alnakhli, and H. Mohamad, "Mobility and handover management in 5G/6G networks: challenges, innovations, and sustainable solutions," Technologies, vol. 13, no. 8, art. 352, 2025, doi:10.3390/technologies13080352.</w:t>
      </w:r>
      <w:proofErr w:type="spellStart"/>
      <w:r/>
      <w:proofErr w:type="spellEnd"/>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[9] C. Chabira, I. Shayea, G. Nurzhaubayeva, L. Aldasheva, D. Yedilkhan, and S. Amanzholova, "AI-driven handover management and load balancing optimization in ultra-dense 5G/6G cellular networks," Technologies, vol. 13, no. 7, art. 276, 2025, doi:10.3390/technologies13070276.</w:t>
      </w:r>
      <w:proofErr w:type="spellStart"/>
      <w:r/>
      <w:proofErr w:type="spellEnd"/>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[10] K. Nguyen Dang Dinh, P. Fazio, and M. Voznak, "A proposed mobility and resource prediction method for seamless handover and service continuity in 5G small cell networks," PLOS ONE, vol. 21, no. 8, art. e0355372, 2026, doi:10.1371/journal.pone.0355372.</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[11] J. M. Sánchez-Martín, J. L. Bejarano-Luque, C. Gijón, M. Toril, and S. Luna-Ramírez, "GRIMCELL: a graph neural network to predict the impact of new cells in mobile networks," Machine Learning and Knowledge Extraction, vol. 8, no. 9, art. 260, 2026, doi:10.3390/make8090260.</w:t>
      </w:r>
      <w:proofErr w:type="spellStart"/>
      <w:r/>
      <w:proofErr w:type="spellEnd"/>
      <w:r/>
      <w:proofErr w:type="spellStart"/>
      <w:r/>
      <w:proofErr w:type="spellEnd"/>
      <w:r/>
      <w:r>
        <w:rPr>
          <w:i/>
          <w:iCs/>
        </w:rPr>
      </w:r>
      <w:r>
        <w:rPr>
          <w:i/>
          <w:iCs/>
        </w:rPr>
      </w:r>
      <w:r/>
    </w:p>
    <w:p w:rsidR="0015244F" w:rsidRDefault="00A565B8">
      <w:pPr>
        <w:spacing w:after="120" w:line="240" w:lineRule="auto"/>
        <w:ind w:left="284" w:hanging="284"/>
        <w:jc w:val="both"/>
      </w:pPr>
      <w:r>
        <w:t>[12] N. Mehregan and R. E. De Grande, "GCN-based throughput-oriented handover management in dense 5G vehicular networks," arXiv:2505.04894, IEEE DCOSS-IoT, 2025.</w:t>
      </w:r>
      <w:proofErr w:type="spellStart"/>
      <w:r/>
      <w:proofErr w:type="spellEnd"/>
      <w:r/>
      <w:proofErr w:type="spellStart"/>
      <w:r/>
      <w:proofErr w:type="spellEnd"/>
      <w:r/>
      <w:proofErr w:type="spellStart"/>
      <w:r>
        <w:rPr>
          <w:i/>
          <w:iCs/>
        </w:rPr>
      </w:r>
      <w:proofErr w:type="spellEnd"/>
      <w:r>
        <w:rPr>
          <w:i/>
          <w:iCs/>
        </w:rPr>
      </w:r>
      <w:proofErr w:type="gramStart"/>
      <w:r>
        <w:rPr>
          <w:i/>
          <w:iCs/>
        </w:rPr>
      </w:r>
      <w:r>
        <w:rPr>
          <w:i/>
          <w:iCs/>
        </w:rPr>
      </w:r>
      <w:proofErr w:type="gramEnd"/>
      <w:r/>
      <w:proofErr w:type="spellStart"/>
      <w:r/>
      <w:proofErr w:type="spellEnd"/>
      <w:r/>
    </w:p>
    <w:p w:rsidR="0015244F" w:rsidRDefault="00A565B8">
      <w:pPr>
        <w:spacing w:after="120" w:line="240" w:lineRule="auto"/>
        <w:ind w:left="284" w:hanging="284"/>
        <w:jc w:val="both"/>
      </w:pPr>
      <w:r>
        <w:t>[13] A. Graser, A. Jalali, J. Lampert, A. Weißenfeld, and K. Janowicz, "MobilityDL: a review of deep learning from trajectory data," GeoInformatica, vol. 29, no. 1, pp. 115–147, 2025, doi:10.1007/s10707-024-00518-8.</w:t>
      </w:r>
      <w:proofErr w:type="spellStart"/>
      <w:r/>
      <w:proofErr w:type="spellEnd"/>
      <w:r/>
      <w:proofErr w:type="spellStart"/>
      <w:r/>
      <w:proofErr w:type="spellEnd"/>
      <w:r/>
      <w:proofErr w:type="spellStart"/>
      <w:r/>
      <w:proofErr w:type="spellEnd"/>
      <w:r/>
      <w:proofErr w:type="spellStart"/>
      <w:r/>
      <w:proofErr w:type="spellEnd"/>
      <w:r/>
      <w:proofErr w:type="spellStart"/>
      <w:r>
        <w:rPr>
          <w:i/>
          <w:iCs/>
        </w:rPr>
      </w:r>
      <w:proofErr w:type="spellEnd"/>
      <w:r/>
    </w:p>
    <w:p w:rsidR="0015244F" w:rsidRDefault="00A565B8">
      <w:pPr>
        <w:spacing w:after="120" w:line="240" w:lineRule="auto"/>
        <w:ind w:left="284" w:hanging="284"/>
        <w:jc w:val="both"/>
      </w:pPr>
      <w:r>
        <w:t>[14] D. Zidic, T. Mastelic, I. Nizetic Kosovic, M. Cagalj, and J. Lorincz, "Analyses of ping-pong handovers in real 4G telecommunication networks," Computer Networks, vol. 227, art. 109699, 2023.</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[15] Amirova et al., "Data-driven and machine learning-based analysis of handover behavior and network stability in mobile networks," Future Internet, vol. 18, no. 6, art. 290, 2026, doi:10.3390/fi18060290. [Full author list to be completed from the MDPI record before submission.]</w:t>
      </w:r>
      <w:proofErr w:type="spellStart"/>
      <w:r/>
      <w:proofErr w:type="spellEnd"/>
      <w:r/>
      <w:proofErr w:type="spellStart"/>
      <w:r/>
      <w:proofErr w:type="spellEnd"/>
      <w:r/>
      <w:proofErr w:type="spellStart"/>
      <w:r/>
      <w:proofErr w:type="spellEnd"/>
      <w:r/>
      <w:proofErr w:type="spellStart"/>
      <w:r/>
      <w:r/>
      <w:proofErr w:type="spellEnd"/>
      <w:r/>
      <w:r>
        <w:rPr>
          <w:i/>
          <w:iCs/>
        </w:rPr>
      </w:r>
      <w:r/>
    </w:p>
    <w:p w:rsidR="0015244F" w:rsidRDefault="00A565B8">
      <w:pPr>
        <w:spacing w:after="120" w:line="240" w:lineRule="auto"/>
        <w:ind w:left="284" w:hanging="284"/>
        <w:jc w:val="both"/>
      </w:pPr>
      <w:r>
        <w:t>[16] S. Wiegrebe, P. Kopper, R. Sonabend, B. Bischl, and A. Bender, "Deep learning for survival analysis: a review," Artificial Intelligence Review, vol. 57, no. 3, art. 65, 2024, doi:10.1007/s10462-023-10681-3.</w:t>
      </w:r>
      <w:proofErr w:type="spellStart"/>
      <w:r/>
      <w:proofErr w:type="spellEnd"/>
      <w:r/>
      <w:proofErr w:type="spellStart"/>
      <w:r/>
      <w:proofErr w:type="spellEnd"/>
      <w:r/>
      <w:proofErr w:type="spellStart"/>
      <w:r/>
      <w:proofErr w:type="spellEnd"/>
      <w:r/>
      <w:proofErr w:type="spellStart"/>
      <w:r/>
      <w:proofErr w:type="spellEnd"/>
      <w:r/>
      <w:r>
        <w:rPr>
          <w:i/>
          <w:iCs/>
        </w:rPr>
      </w:r>
      <w:r/>
      <w:r/>
    </w:p>
    <w:p w:rsidR="0015244F" w:rsidRDefault="00A565B8">
      <w:pPr>
        <w:spacing w:after="120" w:line="240" w:lineRule="auto"/>
        <w:ind w:left="284" w:hanging="284"/>
        <w:jc w:val="both"/>
      </w:pPr>
      <w:r>
        <w:t>[17] H.-C. Thorsen-Meyer, D. Placido, B. S. Kaas-Hansen, et al., "Discrete-time survival analysis in the critically ill: a deep learning approach using heterogeneous data," npj Digital Medicine, vol. 5, art. 142, 2022, doi:10.1038/s41746-022-00679-6.</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rPr>
          <w:i/>
          <w:iCs/>
        </w:rPr>
      </w:r>
      <w:proofErr w:type="spellEnd"/>
      <w:r>
        <w:rPr>
          <w:i/>
          <w:iCs/>
        </w:rPr>
      </w:r>
      <w:r>
        <w:rPr>
          <w:i/>
          <w:iCs/>
        </w:rPr>
      </w:r>
      <w:r/>
    </w:p>
    <w:p w:rsidR="0015244F" w:rsidRDefault="00A565B8">
      <w:pPr>
        <w:spacing w:after="120" w:line="240" w:lineRule="auto"/>
        <w:ind w:left="284" w:hanging="284"/>
        <w:jc w:val="both"/>
      </w:pPr>
      <w:r>
        <w:t>[18] E. J. Candès, L. Lei, and Z. Ren, "Conformalized survival analysis," Journal of the Royal Statistical Society Series B, vol. 85, no. 1, pp. 24–45, 2023, doi:10.1093/jrsssb/qkac004.</w:t>
      </w:r>
      <w:proofErr w:type="spellStart"/>
      <w:r/>
      <w:proofErr w:type="spellEnd"/>
      <w:r/>
      <w:proofErr w:type="spellStart"/>
      <w:r/>
      <w:proofErr w:type="spellEnd"/>
      <w:r/>
      <w:proofErr w:type="spellStart"/>
      <w:r>
        <w:rPr>
          <w:i/>
          <w:iCs/>
        </w:rPr>
      </w:r>
      <w:proofErr w:type="spellEnd"/>
      <w:r>
        <w:rPr>
          <w:i/>
          <w:iCs/>
        </w:rPr>
      </w:r>
      <w:proofErr w:type="gramStart"/>
      <w:r>
        <w:rPr>
          <w:i/>
          <w:iCs/>
        </w:rPr>
      </w:r>
      <w:proofErr w:type="gramEnd"/>
      <w:r/>
    </w:p>
    <w:p w:rsidR="0015244F" w:rsidRDefault="00A565B8">
      <w:pPr>
        <w:spacing w:after="120" w:line="240" w:lineRule="auto"/>
        <w:ind w:left="284" w:hanging="284"/>
        <w:jc w:val="both"/>
      </w:pPr>
      <w:r>
        <w:t>[19] K. M. Cohen, S. Park, O. Simeone, and S. Shamai (Shitz), "Calibrating AI models for wireless communications via conformal prediction," arXiv:2212.07775, 2022.</w:t>
      </w:r>
      <w:proofErr w:type="spellStart"/>
      <w:r/>
      <w:proofErr w:type="spellEnd"/>
      <w:r/>
      <w:proofErr w:type="spellStart"/>
      <w:r/>
      <w:proofErr w:type="spellEnd"/>
      <w:r/>
      <w:r/>
      <w:proofErr w:type="spellStart"/>
      <w:r>
        <w:rPr>
          <w:i/>
          <w:iCs/>
        </w:rPr>
      </w:r>
      <w:proofErr w:type="spellEnd"/>
      <w:r>
        <w:rPr>
          <w:i/>
          <w:iCs/>
        </w:rPr>
      </w:r>
      <w:proofErr w:type="gramStart"/>
      <w:r>
        <w:rPr>
          <w:i/>
          <w:iCs/>
        </w:rPr>
      </w:r>
      <w:proofErr w:type="gramEnd"/>
      <w:r/>
    </w:p>
    <w:p w:rsidR="0015244F" w:rsidRDefault="00A565B8">
      <w:pPr>
        <w:spacing w:after="120" w:line="240" w:lineRule="auto"/>
        <w:ind w:left="284" w:hanging="284"/>
        <w:jc w:val="both"/>
      </w:pPr>
      <w:r>
        <w:t>[20] O. Simeone, S. Park, and M. Zecchin, "Conformal calibration: ensuring the reliability of black-box AI in wireless systems," arXiv:2504.09310, 2025.</w:t>
      </w:r>
      <w:proofErr w:type="spellStart"/>
      <w:r/>
      <w:proofErr w:type="spellEnd"/>
      <w:r/>
      <w:r>
        <w:rPr>
          <w:i/>
          <w:iCs/>
        </w:rPr>
      </w:r>
      <w:r>
        <w:rPr>
          <w:i/>
          <w:iCs/>
        </w:rPr>
      </w:r>
      <w:r/>
    </w:p>
    <w:p w:rsidR="0015244F" w:rsidRDefault="00A565B8">
      <w:pPr>
        <w:spacing w:after="120" w:line="240" w:lineRule="auto"/>
        <w:ind w:left="284" w:hanging="284"/>
        <w:jc w:val="both"/>
      </w:pPr>
      <w:r>
        <w:t>[21] A. N. Angelopoulos, S. Bates, A. Fisch, L. Lei, and T. Schuster, "Conformal risk control," in Proc. International Conference on Learning Representations (ICLR), 2024.</w:t>
      </w:r>
      <w:proofErr w:type="spellStart"/>
      <w:r>
        <w:rPr>
          <w:i/>
          <w:iCs/>
        </w:rPr>
      </w:r>
      <w:proofErr w:type="spellEnd"/>
      <w:r/>
    </w:p>
    <w:p w:rsidR="0015244F" w:rsidRDefault="00A565B8">
      <w:pPr>
        <w:spacing w:after="120" w:line="240" w:lineRule="auto"/>
        <w:ind w:left="284" w:hanging="284"/>
        <w:jc w:val="both"/>
      </w:pPr>
      <w:r>
        <w:t>[22] S. Bates, A. Angelopoulos, L. Lei, J. Malik, and M. I. Jordan, "Distribution-free, risk-controlling prediction sets," Journal of the ACM, vol. 68, no. 6, 2021, doi:10.1145/3478535.</w:t>
      </w:r>
      <w:proofErr w:type="spellStart"/>
      <w:r/>
      <w:proofErr w:type="spellEnd"/>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[23] A. G. Hawkes, "Spectra of some self-exciting and mutually exciting point processes," Biometrika, vol. 58, no. 1, pp. 83–90, 1971.</w:t>
      </w:r>
      <w:r>
        <w:rPr>
          <w:i/>
          <w:iCs/>
        </w:rPr>
      </w:r>
      <w:r/>
      <w:r/>
    </w:p>
    <w:p w:rsidR="0015244F" w:rsidRDefault="00A565B8">
      <w:pPr>
        <w:spacing w:after="120" w:line="240" w:lineRule="auto"/>
        <w:ind w:left="284" w:hanging="284"/>
        <w:jc w:val="both"/>
      </w:pPr>
      <w:r>
        <w:t>[24] P. J. Laub, Y. Lee, P. K. Pollett, and T. Taimre, "Hawkes models and their applications," Annual Review of Statistics and Its Application, vol. 12, pp. 233–258, 2025.</w:t>
      </w:r>
      <w:r>
        <w:rPr>
          <w:i/>
          <w:iCs/>
        </w:rPr>
      </w:r>
      <w:r/>
    </w:p>
    <w:p w:rsidR="0015244F" w:rsidRDefault="00A565B8">
      <w:pPr>
        <w:spacing w:after="120" w:line="240" w:lineRule="auto"/>
        <w:ind w:left="284" w:hanging="284"/>
        <w:jc w:val="both"/>
      </w:pPr>
      <w:r>
        <w:t>[25] Y. Ogata, "Statistical models for earthquake occurrences and residual analysis for point processes," Journal of the American Statistical Association, vol. 83, no. 401, pp. 9–27, 1988.</w:t>
      </w:r>
      <w:proofErr w:type="spellStart"/>
      <w:r/>
      <w:proofErr w:type="spellEnd"/>
      <w:r/>
      <w:proofErr w:type="spellStart"/>
      <w:r/>
      <w:proofErr w:type="spellEnd"/>
      <w:r/>
      <w:proofErr w:type="spellStart"/>
      <w:r/>
      <w:proofErr w:type="spellEnd"/>
      <w:r/>
      <w:proofErr w:type="spellStart"/>
      <w:r/>
      <w:r/>
      <w:proofErr w:type="spellEnd"/>
      <w:r/>
      <w:proofErr w:type="spellStart"/>
      <w:r>
        <w:rPr>
          <w:i/>
          <w:iCs/>
        </w:rPr>
      </w:r>
      <w:proofErr w:type="spellEnd"/>
      <w:r>
        <w:rPr>
          <w:i/>
          <w:iCs/>
        </w:rPr>
      </w:r>
      <w:proofErr w:type="gramStart"/>
      <w:r>
        <w:rPr>
          <w:i/>
          <w:iCs/>
        </w:rPr>
      </w:r>
      <w:proofErr w:type="gramEnd"/>
      <w:r/>
    </w:p>
    <w:p w:rsidR="0015244F" w:rsidRDefault="00A565B8">
      <w:pPr>
        <w:spacing w:after="120" w:line="240" w:lineRule="auto"/>
        <w:ind w:left="284" w:hanging="284"/>
        <w:jc w:val="both"/>
      </w:pPr>
      <w:r>
        <w:t>[26] M. Price-Williams and N. A. Heard, "Nonparametric self-exciting models for computer network traffic," Statistics and Computing, vol. 30, no. 2, pp. 209–220, 2020.</w:t>
      </w:r>
      <w:proofErr w:type="spellStart"/>
      <w:r/>
      <w:proofErr w:type="spellEnd"/>
      <w:r/>
      <w:r>
        <w:rPr>
          <w:i/>
          <w:iCs/>
        </w:rPr>
      </w:r>
      <w:r>
        <w:rPr>
          <w:i/>
          <w:iCs/>
        </w:rPr>
      </w:r>
      <w:r/>
    </w:p>
    <w:p w:rsidR="0015244F" w:rsidRDefault="00A565B8">
      <w:pPr>
        <w:spacing w:after="120" w:line="240" w:lineRule="auto"/>
        <w:ind w:left="284" w:hanging="284"/>
        <w:jc w:val="both"/>
      </w:pPr>
      <w:r>
        <w:t>[27] H. Ismail Fawaz, G. Del Grosso, T. Kerdoncuff, A. Boisbunon, and I. Saffar, "Deep unsupervised domain adaptation for time series classification: a benchmark," arXiv:2312.09857, 2023.</w:t>
      </w:r>
      <w:r>
        <w:rPr>
          <w:i/>
          <w:iCs/>
        </w:rPr>
      </w:r>
      <w:r/>
    </w:p>
    <w:p w:rsidR="0015244F" w:rsidRDefault="00A565B8">
      <w:pPr>
        <w:spacing w:after="120" w:line="240" w:lineRule="auto"/>
        <w:ind w:left="284" w:hanging="284"/>
        <w:jc w:val="both"/>
      </w:pPr>
      <w:r>
        <w:t>[28] B. Sun and K. Saenko, "Deep CORAL: correlation alignment for deep domain adaptation," in Computer Vision – ECCV 2016 Workshops, LNCS vol. 9915, pp. 443–450, 2016.</w:t>
      </w:r>
      <w:proofErr w:type="spellStart"/>
      <w:r/>
      <w:proofErr w:type="spellEnd"/>
      <w:r/>
      <w:r/>
      <w:proofErr w:type="spellStart"/>
      <w:r/>
      <w:proofErr w:type="spellEnd"/>
      <w:r/>
      <w:proofErr w:type="spellStart"/>
      <w:r>
        <w:rPr>
          <w:i/>
          <w:iCs/>
        </w:rPr>
      </w:r>
      <w:proofErr w:type="spellEnd"/>
      <w:r>
        <w:rPr>
          <w:i/>
          <w:iCs/>
        </w:rPr>
      </w:r>
      <w:proofErr w:type="gramStart"/>
      <w:r>
        <w:rPr>
          <w:i/>
          <w:iCs/>
        </w:rPr>
      </w:r>
      <w:proofErr w:type="gramEnd"/>
      <w:r/>
    </w:p>
    <w:p w:rsidR="0015244F" w:rsidRDefault="00A565B8">
      <w:pPr>
        <w:spacing w:after="120" w:line="240" w:lineRule="auto"/>
        <w:ind w:left="284" w:hanging="284"/>
        <w:jc w:val="both"/>
      </w:pPr>
      <w:r>
        <w:t>[29] Y. Shi, X. Ying, and J. Yang, "Deep unsupervised domain adaptation with time series sensor data: a survey," Sensors, vol. 22, no. 15, art. 5507, 2022.</w:t>
      </w:r>
      <w:proofErr w:type="spellStart"/>
      <w:r/>
      <w:proofErr w:type="spellEnd"/>
      <w:r/>
      <w:proofErr w:type="spellStart"/>
      <w:r/>
      <w:proofErr w:type="spellEnd"/>
      <w:r/>
      <w:r/>
      <w:proofErr w:type="spellStart"/>
      <w:r>
        <w:rPr>
          <w:i/>
          <w:iCs/>
        </w:rPr>
      </w:r>
      <w:proofErr w:type="spellEnd"/>
      <w:r>
        <w:rPr>
          <w:i/>
          <w:iCs/>
        </w:rPr>
      </w:r>
      <w:proofErr w:type="gramStart"/>
      <w:r>
        <w:rPr>
          <w:i/>
          <w:iCs/>
        </w:rPr>
      </w:r>
      <w:proofErr w:type="gramEnd"/>
      <w:r/>
    </w:p>
    <w:p w:rsidR="0015244F" w:rsidRDefault="00A565B8">
      <w:pPr>
        <w:spacing w:after="120" w:line="240" w:lineRule="auto"/>
        <w:ind w:left="284" w:hanging="284"/>
        <w:jc w:val="both"/>
      </w:pPr>
      <w:r>
        <w:t>[30] D. Wagner, A. Nair, B. J. Franks, et al., "Formally exploring time-series anomaly detection evaluation metrics," arXiv:2510.17562, 2025.</w:t>
      </w:r>
      <w:proofErr w:type="spellStart"/>
      <w:r/>
      <w:proofErr w:type="spellEnd"/>
      <w:r/>
      <w:proofErr w:type="spellStart"/>
      <w:r/>
      <w:proofErr w:type="spellEnd"/>
      <w:r/>
      <w:proofErr w:type="spellStart"/>
      <w:r/>
      <w:proofErr w:type="spellEnd"/>
      <w:r/>
      <w:r>
        <w:rPr>
          <w:i/>
          <w:iCs/>
        </w:rPr>
      </w:r>
      <w:r>
        <w:rPr>
          <w:i/>
          <w:iCs/>
        </w:rPr>
      </w:r>
      <w:r/>
    </w:p>
    <w:p w:rsidR="0015244F" w:rsidRDefault="00A565B8">
      <w:pPr>
        <w:spacing w:after="120" w:line="240" w:lineRule="auto"/>
        <w:ind w:left="284" w:hanging="284"/>
        <w:jc w:val="both"/>
      </w:pPr>
      <w:r>
        <w:t>[31] S. Deb, M. Rathod, R. Balamurugan, S. K. Ghosh, R. K. Singh, and S. Sanyal, "Performance evaluation of conditional handover in 5G systems under fading scenario," arXiv:2403.04379, 2024.</w:t>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[32] G. Ke, Q. Meng, T. Finley, T. Wang, W. Chen, W. Ma, Q. Ye, and T.-Y. Liu, "LightGBM: a highly efficient gradient boosting decision tree," in Advances in Neural Information Processing Systems 30, 2017, pp. 3146–3154.</w:t>
      </w:r>
      <w:proofErr w:type="spellStart"/>
      <w:r/>
      <w:proofErr w:type="spellEnd"/>
      <w:r/>
      <w:r>
        <w:rPr>
          <w:i/>
          <w:iCs/>
        </w:rPr>
      </w:r>
      <w:r/>
    </w:p>
    <w:p w:rsidR="0015244F" w:rsidRDefault="00A565B8">
      <w:pPr>
        <w:spacing w:after="120" w:line="240" w:lineRule="auto"/>
        <w:ind w:left="284" w:hanging="284"/>
        <w:jc w:val="both"/>
      </w:pPr>
      <w:r>
        <w:t>[33] C. Guo, G. Pleiss, Y. Sun, and K. Q. Weinberger, "On calibration of modern neural networks," in Proc. ICML, 2017, pp. 1321–1330.</w:t>
      </w:r>
      <w:r/>
      <w:proofErr w:type="spellStart"/>
      <w:r/>
      <w:proofErr w:type="spellEnd"/>
      <w:r/>
      <w:proofErr w:type="spellStart"/>
      <w:r>
        <w:rPr>
          <w:i/>
          <w:iCs/>
        </w:rPr>
      </w:r>
      <w:proofErr w:type="spellEnd"/>
      <w:r>
        <w:rPr>
          <w:i/>
          <w:iCs/>
        </w:rPr>
      </w:r>
      <w:r/>
    </w:p>
    <w:p w:rsidR="0015244F" w:rsidRDefault="00A565B8">
      <w:pPr>
        <w:spacing w:after="120" w:line="240" w:lineRule="auto"/>
        <w:ind w:left="284" w:hanging="284"/>
        <w:jc w:val="both"/>
      </w:pPr>
      <w:r>
        <w:t>[34] B. Zadrozny and C. Elkan, "Transforming classifier scores into accurate multiclass probability estimates," in Proc. ACM SIGKDD, 2002, pp. 694–699.</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[35] D. R. Roberts et al., "Cross-validation strategies for data with temporal, spatial, hierarchical, or phylogenetic structure," Ecography, vol. 40, no. 8, pp. 913–929, 2017, doi:10.1111/ecog.02881.</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[36] S. Kaufman, S. Rosset, C. Perlich, and O. Stitelman, "Leakage in data mining: formulation, detection, and avoidance," ACM Transactions on Knowledge Discovery from Data, vol. 6, no. 4, art. 15, 2012, doi:10.1145/2382577.2382579.</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[37] D. Raca, D. Leahy, C. J. Sreenan, and J. J. Quinlan, "Beyond throughput, the next generation: a 5G dataset with channel and context metrics," in Proc. ACM Multimedia Systems Conference (MMSys), 2020, pp. 303–308, doi:10.1145/3339825.3394938. Dataset: github.com/uccmisl/5Gdataset (GPL-3.0).</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[38] M. M. S. Shafi, K. M. Istiaque, S. S. Sowad, and M. T. Kawser, "Drive-test-based LTE handover dataset for cellular mobility studies in urban Bangladesh," Mendeley Data, version 1, 2025, doi:10.17632/n2pvmtyn2j.1. [The files used are the "ver 2" release folder; confirm the version DOI before submission.]</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[39] M. M. S. Shafi, K. M. Istiaque, S. S. Sowad, and M. T. Kawser, "Handover optimization in LTE networks using contextual bandit reinforcement learning and real-world data," manuscript, Islamic University of Technology, 2025. [Venue to be confirmed; a ResearchGate record exists.]</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[40] F. Chen, M. Ghoshal, E. Nan, P. Dinh, I. Khan, Z. J. Kong, Y. C. Hu, and D. Koutsonikolas, "A large-scale study of the potential of multi-carrier access in the 5G era," in Passive and Active Measurement (PAM), LNCS vol. 15567, 2025, pp. 469–484, doi:10.1007/978-3-031-85960-1_19. Dataset: github.com/NUWiNS/pam2025-multi-carrier-dataset.</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[41] M. Ghoshal, I. Khan, Z. J. Kong, P. Dinh, J. Meng, Y. C. Hu, and D. Koutsonikolas, "Performance of cellular networks on the wheels," in Proc. ACM Internet Measurement Conference (IMC), 2023, doi:10.1145/3618257.3624814.</w:t>
      </w:r>
      <w:proofErr w:type="spellStart"/>
      <w:r/>
      <w:proofErr w:type="spellEnd"/>
      <w:r/>
      <w:proofErr w:type="spellStart"/>
      <w:r/>
      <w:proofErr w:type="spellEnd"/>
      <w:r/>
      <w:r/>
      <w:r>
        <w:rPr>
          <w:i/>
          <w:iCs/>
        </w:rPr>
      </w:r>
      <w:r/>
    </w:p>
    <w:p w:rsidR="0015244F" w:rsidRDefault="00A565B8">
      <w:pPr>
        <w:pageBreakBefore/>
        <w:jc w:val="center"/>
      </w:pPr>
      <w:r>
        <w:rPr>
          <w:b/>
          <w:bCs/>
          <w:sz w:val="40"/>
          <w:szCs w:val="40"/>
        </w:rPr>
        <w:lastRenderedPageBreak/>
        <w:t>APPENDIX A</w:t>
      </w:r>
    </w:p>
    <w:p w:rsidR="0015244F" w:rsidRDefault="0015244F"/>
    <w:p w:rsidR="0015244F" w:rsidRDefault="00A565B8">
      <w:pPr>
        <w:pStyle w:val="Heading1"/>
        <w:jc w:val="center"/>
      </w:pPr>
      <w:r>
        <w:t>FULL PER-HORIZON RESULTS</w:t>
      </w:r>
    </w:p>
    <w:p w:rsidR="0015244F" w:rsidRDefault="0015244F"/>
    <w:p w:rsidR="0015244F" w:rsidRDefault="0015244F"/>
    <w:p w:rsidR="0015244F" w:rsidRDefault="00A565B8">
      <w:pPr>
        <w:ind w:firstLine="567"/>
        <w:jc w:val="both"/>
      </w:pPr>
      <w:r>
        <w:t>Table A.1 gives the per-horizon AUPRC of every learner compared in Section 5.2, against the prevalence floor of each h</w:t>
      </w:r>
      <w:r>
        <w:t>orizon. Table A.2 gives the event-level operating characteristics of the primary model at the certified operating point of Section 5.5.</w:t>
      </w:r>
    </w:p>
    <w:p w:rsidR="0015244F" w:rsidRDefault="00A565B8">
      <w:pPr>
        <w:pStyle w:val="TableCaption"/>
        <w:spacing w:before="240" w:after="120" w:line="240" w:lineRule="auto"/>
        <w:jc w:val="center"/>
      </w:pPr>
      <w:r>
        <w:t>Table A.1 Per-horizon AUPRC for every learner under leave-one-campaign-out, against the prevalence floor.</w:t>
      </w:r>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Learner</w:t>
            </w:r>
          </w:p>
        </w:tc>
        <w:tc>
          <w:tcPr>
            <w:tcMar>
              <w:top w:w="60" w:type="dxa"/>
              <w:left w:w="100" w:type="dxa"/>
              <w:bottom w:w="60" w:type="dxa"/>
              <w:right w:w="100" w:type="dxa"/>
            </w:tcMar>
          </w:tcPr>
          <w:p>
            <w:r>
              <w:t>0.5 s</w:t>
            </w:r>
          </w:p>
        </w:tc>
        <w:tc>
          <w:tcPr>
            <w:tcMar>
              <w:top w:w="60" w:type="dxa"/>
              <w:left w:w="100" w:type="dxa"/>
              <w:bottom w:w="60" w:type="dxa"/>
              <w:right w:w="100" w:type="dxa"/>
            </w:tcMar>
          </w:tcPr>
          <w:p>
            <w:r>
              <w:t>1 s</w:t>
            </w:r>
          </w:p>
        </w:tc>
        <w:tc>
          <w:tcPr>
            <w:tcMar>
              <w:top w:w="60" w:type="dxa"/>
              <w:left w:w="100" w:type="dxa"/>
              <w:bottom w:w="60" w:type="dxa"/>
              <w:right w:w="100" w:type="dxa"/>
            </w:tcMar>
          </w:tcPr>
          <w:p>
            <w:r>
              <w:t>2 s</w:t>
            </w:r>
          </w:p>
        </w:tc>
        <w:tc>
          <w:tcPr>
            <w:tcMar>
              <w:top w:w="60" w:type="dxa"/>
              <w:left w:w="100" w:type="dxa"/>
              <w:bottom w:w="60" w:type="dxa"/>
              <w:right w:w="100" w:type="dxa"/>
            </w:tcMar>
          </w:tcPr>
          <w:p>
            <w:r>
              <w:t>3 s</w:t>
            </w:r>
          </w:p>
        </w:tc>
        <w:tc>
          <w:tcPr>
            <w:tcMar>
              <w:top w:w="60" w:type="dxa"/>
              <w:left w:w="100" w:type="dxa"/>
              <w:bottom w:w="60" w:type="dxa"/>
              <w:right w:w="100" w:type="dxa"/>
            </w:tcMar>
          </w:tcPr>
          <w:p>
            <w:r>
              <w:t>5 s</w:t>
            </w:r>
          </w:p>
        </w:tc>
      </w:tr>
      <w:tr w:rsidR="0015244F">
        <w:tblPrEx>
          <w:tblCellMar>
            <w:top w:w="0" w:type="dxa"/>
            <w:bottom w:w="0" w:type="dxa"/>
          </w:tblCellMar>
        </w:tblPrEx>
        <w:trPr>
          <w:tblHeader/>
        </w:trPr>
        <w:tc>
          <w:tcPr>
            <w:tcMar>
              <w:top w:w="60" w:type="dxa"/>
              <w:left w:w="100" w:type="dxa"/>
              <w:bottom w:w="60" w:type="dxa"/>
              <w:right w:w="100" w:type="dxa"/>
            </w:tcMar>
          </w:tcPr>
          <w:p>
            <w:r>
              <w:t>LightGBM</w:t>
            </w:r>
          </w:p>
        </w:tc>
        <w:tc>
          <w:tcPr>
            <w:tcMar>
              <w:top w:w="60" w:type="dxa"/>
              <w:left w:w="100" w:type="dxa"/>
              <w:bottom w:w="60" w:type="dxa"/>
              <w:right w:w="100" w:type="dxa"/>
            </w:tcMar>
          </w:tcPr>
          <w:p>
            <w:r>
              <w:t>0.103</w:t>
            </w:r>
          </w:p>
        </w:tc>
        <w:tc>
          <w:tcPr>
            <w:tcMar>
              <w:top w:w="60" w:type="dxa"/>
              <w:left w:w="100" w:type="dxa"/>
              <w:bottom w:w="60" w:type="dxa"/>
              <w:right w:w="100" w:type="dxa"/>
            </w:tcMar>
          </w:tcPr>
          <w:p>
            <w:r>
              <w:t>0.179</w:t>
            </w:r>
          </w:p>
        </w:tc>
        <w:tc>
          <w:tcPr>
            <w:tcMar>
              <w:top w:w="60" w:type="dxa"/>
              <w:left w:w="100" w:type="dxa"/>
              <w:bottom w:w="60" w:type="dxa"/>
              <w:right w:w="100" w:type="dxa"/>
            </w:tcMar>
          </w:tcPr>
          <w:p>
            <w:r>
              <w:t>0.285</w:t>
            </w:r>
          </w:p>
        </w:tc>
        <w:tc>
          <w:tcPr>
            <w:tcMar>
              <w:top w:w="60" w:type="dxa"/>
              <w:left w:w="100" w:type="dxa"/>
              <w:bottom w:w="60" w:type="dxa"/>
              <w:right w:w="100" w:type="dxa"/>
            </w:tcMar>
          </w:tcPr>
          <w:p>
            <w:r>
              <w:t>0.362</w:t>
            </w:r>
          </w:p>
        </w:tc>
        <w:tc>
          <w:tcPr>
            <w:tcMar>
              <w:top w:w="60" w:type="dxa"/>
              <w:left w:w="100" w:type="dxa"/>
              <w:bottom w:w="60" w:type="dxa"/>
              <w:right w:w="100" w:type="dxa"/>
            </w:tcMar>
          </w:tcPr>
          <w:p>
            <w:r>
              <w:t>0.475</w:t>
            </w:r>
          </w:p>
        </w:tc>
      </w:tr>
      <w:tr w:rsidR="0015244F">
        <w:tblPrEx>
          <w:tblCellMar>
            <w:top w:w="0" w:type="dxa"/>
            <w:bottom w:w="0" w:type="dxa"/>
          </w:tblCellMar>
        </w:tblPrEx>
        <w:trPr>
          <w:tblHeader/>
        </w:trPr>
        <w:tc>
          <w:tcPr>
            <w:tcMar>
              <w:top w:w="60" w:type="dxa"/>
              <w:left w:w="100" w:type="dxa"/>
              <w:bottom w:w="60" w:type="dxa"/>
              <w:right w:w="100" w:type="dxa"/>
            </w:tcMar>
          </w:tcPr>
          <w:p>
            <w:r>
              <w:t>MLP</w:t>
            </w:r>
          </w:p>
        </w:tc>
        <w:tc>
          <w:tcPr>
            <w:tcMar>
              <w:top w:w="60" w:type="dxa"/>
              <w:left w:w="100" w:type="dxa"/>
              <w:bottom w:w="60" w:type="dxa"/>
              <w:right w:w="100" w:type="dxa"/>
            </w:tcMar>
          </w:tcPr>
          <w:p>
            <w:r>
              <w:t>0.101</w:t>
            </w:r>
          </w:p>
        </w:tc>
        <w:tc>
          <w:tcPr>
            <w:tcMar>
              <w:top w:w="60" w:type="dxa"/>
              <w:left w:w="100" w:type="dxa"/>
              <w:bottom w:w="60" w:type="dxa"/>
              <w:right w:w="100" w:type="dxa"/>
            </w:tcMar>
          </w:tcPr>
          <w:p>
            <w:r>
              <w:t>0.173</w:t>
            </w:r>
          </w:p>
        </w:tc>
        <w:tc>
          <w:tcPr>
            <w:tcMar>
              <w:top w:w="60" w:type="dxa"/>
              <w:left w:w="100" w:type="dxa"/>
              <w:bottom w:w="60" w:type="dxa"/>
              <w:right w:w="100" w:type="dxa"/>
            </w:tcMar>
          </w:tcPr>
          <w:p>
            <w:r>
              <w:t>0.280</w:t>
            </w:r>
          </w:p>
        </w:tc>
        <w:tc>
          <w:tcPr>
            <w:tcMar>
              <w:top w:w="60" w:type="dxa"/>
              <w:left w:w="100" w:type="dxa"/>
              <w:bottom w:w="60" w:type="dxa"/>
              <w:right w:w="100" w:type="dxa"/>
            </w:tcMar>
          </w:tcPr>
          <w:p>
            <w:r>
              <w:t>0.359</w:t>
            </w:r>
          </w:p>
        </w:tc>
        <w:tc>
          <w:tcPr>
            <w:tcMar>
              <w:top w:w="60" w:type="dxa"/>
              <w:left w:w="100" w:type="dxa"/>
              <w:bottom w:w="60" w:type="dxa"/>
              <w:right w:w="100" w:type="dxa"/>
            </w:tcMar>
          </w:tcPr>
          <w:p>
            <w:r>
              <w:t>0.467</w:t>
            </w:r>
          </w:p>
        </w:tc>
      </w:tr>
      <w:tr w:rsidR="0015244F">
        <w:tblPrEx>
          <w:tblCellMar>
            <w:top w:w="0" w:type="dxa"/>
            <w:bottom w:w="0" w:type="dxa"/>
          </w:tblCellMar>
        </w:tblPrEx>
        <w:trPr>
          <w:tblHeader/>
        </w:trPr>
        <w:tc>
          <w:tcPr>
            <w:tcMar>
              <w:top w:w="60" w:type="dxa"/>
              <w:left w:w="100" w:type="dxa"/>
              <w:bottom w:w="60" w:type="dxa"/>
              <w:right w:w="100" w:type="dxa"/>
            </w:tcMar>
          </w:tcPr>
          <w:p>
            <w:r>
              <w:t>TCN</w:t>
            </w:r>
          </w:p>
        </w:tc>
        <w:tc>
          <w:tcPr>
            <w:tcMar>
              <w:top w:w="60" w:type="dxa"/>
              <w:left w:w="100" w:type="dxa"/>
              <w:bottom w:w="60" w:type="dxa"/>
              <w:right w:w="100" w:type="dxa"/>
            </w:tcMar>
          </w:tcPr>
          <w:p>
            <w:r>
              <w:t>0.104</w:t>
            </w:r>
          </w:p>
        </w:tc>
        <w:tc>
          <w:tcPr>
            <w:tcMar>
              <w:top w:w="60" w:type="dxa"/>
              <w:left w:w="100" w:type="dxa"/>
              <w:bottom w:w="60" w:type="dxa"/>
              <w:right w:w="100" w:type="dxa"/>
            </w:tcMar>
          </w:tcPr>
          <w:p>
            <w:r>
              <w:t>0.167</w:t>
            </w:r>
          </w:p>
        </w:tc>
        <w:tc>
          <w:tcPr>
            <w:tcMar>
              <w:top w:w="60" w:type="dxa"/>
              <w:left w:w="100" w:type="dxa"/>
              <w:bottom w:w="60" w:type="dxa"/>
              <w:right w:w="100" w:type="dxa"/>
            </w:tcMar>
          </w:tcPr>
          <w:p>
            <w:r>
              <w:t>0.281</w:t>
            </w:r>
          </w:p>
        </w:tc>
        <w:tc>
          <w:tcPr>
            <w:tcMar>
              <w:top w:w="60" w:type="dxa"/>
              <w:left w:w="100" w:type="dxa"/>
              <w:bottom w:w="60" w:type="dxa"/>
              <w:right w:w="100" w:type="dxa"/>
            </w:tcMar>
          </w:tcPr>
          <w:p>
            <w:r>
              <w:t>0.367</w:t>
            </w:r>
          </w:p>
        </w:tc>
        <w:tc>
          <w:tcPr>
            <w:tcMar>
              <w:top w:w="60" w:type="dxa"/>
              <w:left w:w="100" w:type="dxa"/>
              <w:bottom w:w="60" w:type="dxa"/>
              <w:right w:w="100" w:type="dxa"/>
            </w:tcMar>
          </w:tcPr>
          <w:p>
            <w:r>
              <w:t>0.481</w:t>
            </w:r>
          </w:p>
        </w:tc>
      </w:tr>
      <w:tr w:rsidR="0015244F">
        <w:tblPrEx>
          <w:tblCellMar>
            <w:top w:w="0" w:type="dxa"/>
            <w:bottom w:w="0" w:type="dxa"/>
          </w:tblCellMar>
        </w:tblPrEx>
        <w:trPr>
          <w:tblHeader/>
        </w:trPr>
        <w:tc>
          <w:tcPr>
            <w:tcMar>
              <w:top w:w="60" w:type="dxa"/>
              <w:left w:w="100" w:type="dxa"/>
              <w:bottom w:w="60" w:type="dxa"/>
              <w:right w:w="100" w:type="dxa"/>
            </w:tcMar>
          </w:tcPr>
          <w:p>
            <w:r>
              <w:t>Transformer</w:t>
            </w:r>
          </w:p>
        </w:tc>
        <w:tc>
          <w:tcPr>
            <w:tcMar>
              <w:top w:w="60" w:type="dxa"/>
              <w:left w:w="100" w:type="dxa"/>
              <w:bottom w:w="60" w:type="dxa"/>
              <w:right w:w="100" w:type="dxa"/>
            </w:tcMar>
          </w:tcPr>
          <w:p>
            <w:r>
              <w:t>0.090</w:t>
            </w:r>
          </w:p>
        </w:tc>
        <w:tc>
          <w:tcPr>
            <w:tcMar>
              <w:top w:w="60" w:type="dxa"/>
              <w:left w:w="100" w:type="dxa"/>
              <w:bottom w:w="60" w:type="dxa"/>
              <w:right w:w="100" w:type="dxa"/>
            </w:tcMar>
          </w:tcPr>
          <w:p>
            <w:r>
              <w:t>0.152</w:t>
            </w:r>
          </w:p>
        </w:tc>
        <w:tc>
          <w:tcPr>
            <w:tcMar>
              <w:top w:w="60" w:type="dxa"/>
              <w:left w:w="100" w:type="dxa"/>
              <w:bottom w:w="60" w:type="dxa"/>
              <w:right w:w="100" w:type="dxa"/>
            </w:tcMar>
          </w:tcPr>
          <w:p>
            <w:r>
              <w:t>0.256</w:t>
            </w:r>
          </w:p>
        </w:tc>
        <w:tc>
          <w:tcPr>
            <w:tcMar>
              <w:top w:w="60" w:type="dxa"/>
              <w:left w:w="100" w:type="dxa"/>
              <w:bottom w:w="60" w:type="dxa"/>
              <w:right w:w="100" w:type="dxa"/>
            </w:tcMar>
          </w:tcPr>
          <w:p>
            <w:r>
              <w:t>0.338</w:t>
            </w:r>
          </w:p>
        </w:tc>
        <w:tc>
          <w:tcPr>
            <w:tcMar>
              <w:top w:w="60" w:type="dxa"/>
              <w:left w:w="100" w:type="dxa"/>
              <w:bottom w:w="60" w:type="dxa"/>
              <w:right w:w="100" w:type="dxa"/>
            </w:tcMar>
          </w:tcPr>
          <w:p>
            <w:r>
              <w:t>0.453</w:t>
            </w:r>
          </w:p>
        </w:tc>
      </w:tr>
      <w:tr w:rsidR="0015244F">
        <w:tblPrEx>
          <w:tblCellMar>
            <w:top w:w="0" w:type="dxa"/>
            <w:bottom w:w="0" w:type="dxa"/>
          </w:tblCellMar>
        </w:tblPrEx>
        <w:trPr>
          <w:tblHeader/>
        </w:trPr>
        <w:tc>
          <w:tcPr>
            <w:tcMar>
              <w:top w:w="60" w:type="dxa"/>
              <w:left w:w="100" w:type="dxa"/>
              <w:bottom w:w="60" w:type="dxa"/>
              <w:right w:w="100" w:type="dxa"/>
            </w:tcMar>
          </w:tcPr>
          <w:p>
            <w:r>
              <w:t>GRU</w:t>
            </w:r>
          </w:p>
        </w:tc>
        <w:tc>
          <w:tcPr>
            <w:tcMar>
              <w:top w:w="60" w:type="dxa"/>
              <w:left w:w="100" w:type="dxa"/>
              <w:bottom w:w="60" w:type="dxa"/>
              <w:right w:w="100" w:type="dxa"/>
            </w:tcMar>
          </w:tcPr>
          <w:p>
            <w:r>
              <w:t>0.075</w:t>
            </w:r>
          </w:p>
        </w:tc>
        <w:tc>
          <w:tcPr>
            <w:tcMar>
              <w:top w:w="60" w:type="dxa"/>
              <w:left w:w="100" w:type="dxa"/>
              <w:bottom w:w="60" w:type="dxa"/>
              <w:right w:w="100" w:type="dxa"/>
            </w:tcMar>
          </w:tcPr>
          <w:p>
            <w:r>
              <w:t>0.130</w:t>
            </w:r>
          </w:p>
        </w:tc>
        <w:tc>
          <w:tcPr>
            <w:tcMar>
              <w:top w:w="60" w:type="dxa"/>
              <w:left w:w="100" w:type="dxa"/>
              <w:bottom w:w="60" w:type="dxa"/>
              <w:right w:w="100" w:type="dxa"/>
            </w:tcMar>
          </w:tcPr>
          <w:p>
            <w:r>
              <w:t>0.237</w:t>
            </w:r>
          </w:p>
        </w:tc>
        <w:tc>
          <w:tcPr>
            <w:tcMar>
              <w:top w:w="60" w:type="dxa"/>
              <w:left w:w="100" w:type="dxa"/>
              <w:bottom w:w="60" w:type="dxa"/>
              <w:right w:w="100" w:type="dxa"/>
            </w:tcMar>
          </w:tcPr>
          <w:p>
            <w:r>
              <w:t>0.321</w:t>
            </w:r>
          </w:p>
        </w:tc>
        <w:tc>
          <w:tcPr>
            <w:tcMar>
              <w:top w:w="60" w:type="dxa"/>
              <w:left w:w="100" w:type="dxa"/>
              <w:bottom w:w="60" w:type="dxa"/>
              <w:right w:w="100" w:type="dxa"/>
            </w:tcMar>
          </w:tcPr>
          <w:p>
            <w:r>
              <w:t>0.438</w:t>
            </w:r>
          </w:p>
        </w:tc>
      </w:tr>
      <w:tr w:rsidR="0015244F">
        <w:tblPrEx>
          <w:tblCellMar>
            <w:top w:w="0" w:type="dxa"/>
            <w:bottom w:w="0" w:type="dxa"/>
          </w:tblCellMar>
        </w:tblPrEx>
        <w:trPr>
          <w:tblHeader/>
        </w:trPr>
        <w:tc>
          <w:tcPr>
            <w:tcMar>
              <w:top w:w="60" w:type="dxa"/>
              <w:left w:w="100" w:type="dxa"/>
              <w:bottom w:w="60" w:type="dxa"/>
              <w:right w:w="100" w:type="dxa"/>
            </w:tcMar>
          </w:tcPr>
          <w:p>
            <w:r>
              <w:t>Logistic regression</w:t>
            </w:r>
          </w:p>
        </w:tc>
        <w:tc>
          <w:tcPr>
            <w:tcMar>
              <w:top w:w="60" w:type="dxa"/>
              <w:left w:w="100" w:type="dxa"/>
              <w:bottom w:w="60" w:type="dxa"/>
              <w:right w:w="100" w:type="dxa"/>
            </w:tcMar>
          </w:tcPr>
          <w:p>
            <w:r>
              <w:t>0.072</w:t>
            </w:r>
          </w:p>
        </w:tc>
        <w:tc>
          <w:tcPr>
            <w:tcMar>
              <w:top w:w="60" w:type="dxa"/>
              <w:left w:w="100" w:type="dxa"/>
              <w:bottom w:w="60" w:type="dxa"/>
              <w:right w:w="100" w:type="dxa"/>
            </w:tcMar>
          </w:tcPr>
          <w:p>
            <w:r>
              <w:t>0.130</w:t>
            </w:r>
          </w:p>
        </w:tc>
        <w:tc>
          <w:tcPr>
            <w:tcMar>
              <w:top w:w="60" w:type="dxa"/>
              <w:left w:w="100" w:type="dxa"/>
              <w:bottom w:w="60" w:type="dxa"/>
              <w:right w:w="100" w:type="dxa"/>
            </w:tcMar>
          </w:tcPr>
          <w:p>
            <w:r>
              <w:t>0.224</w:t>
            </w:r>
          </w:p>
        </w:tc>
        <w:tc>
          <w:tcPr>
            <w:tcMar>
              <w:top w:w="60" w:type="dxa"/>
              <w:left w:w="100" w:type="dxa"/>
              <w:bottom w:w="60" w:type="dxa"/>
              <w:right w:w="100" w:type="dxa"/>
            </w:tcMar>
          </w:tcPr>
          <w:p>
            <w:r>
              <w:t>0.299</w:t>
            </w:r>
          </w:p>
        </w:tc>
        <w:tc>
          <w:tcPr>
            <w:tcMar>
              <w:top w:w="60" w:type="dxa"/>
              <w:left w:w="100" w:type="dxa"/>
              <w:bottom w:w="60" w:type="dxa"/>
              <w:right w:w="100" w:type="dxa"/>
            </w:tcMar>
          </w:tcPr>
          <w:p>
            <w:r>
              <w:t>0.417</w:t>
            </w:r>
          </w:p>
        </w:tc>
      </w:tr>
      <w:tr w:rsidR="0015244F">
        <w:tblPrEx>
          <w:tblCellMar>
            <w:top w:w="0" w:type="dxa"/>
            <w:bottom w:w="0" w:type="dxa"/>
          </w:tblCellMar>
        </w:tblPrEx>
        <w:trPr>
          <w:tblHeader/>
        </w:trPr>
        <w:tc>
          <w:tcPr>
            <w:tcMar>
              <w:top w:w="60" w:type="dxa"/>
              <w:left w:w="100" w:type="dxa"/>
              <w:bottom w:w="60" w:type="dxa"/>
              <w:right w:w="100" w:type="dxa"/>
            </w:tcMar>
          </w:tcPr>
          <w:p>
            <w:r>
              <w:t>Hawkes-kernel intensity (LR)</w:t>
            </w:r>
          </w:p>
        </w:tc>
        <w:tc>
          <w:tcPr>
            <w:tcMar>
              <w:top w:w="60" w:type="dxa"/>
              <w:left w:w="100" w:type="dxa"/>
              <w:bottom w:w="60" w:type="dxa"/>
              <w:right w:w="100" w:type="dxa"/>
            </w:tcMar>
          </w:tcPr>
          <w:p>
            <w:r>
              <w:t>0.070</w:t>
            </w:r>
          </w:p>
        </w:tc>
        <w:tc>
          <w:tcPr>
            <w:tcMar>
              <w:top w:w="60" w:type="dxa"/>
              <w:left w:w="100" w:type="dxa"/>
              <w:bottom w:w="60" w:type="dxa"/>
              <w:right w:w="100" w:type="dxa"/>
            </w:tcMar>
          </w:tcPr>
          <w:p>
            <w:r>
              <w:t>0.120</w:t>
            </w:r>
          </w:p>
        </w:tc>
        <w:tc>
          <w:tcPr>
            <w:tcMar>
              <w:top w:w="60" w:type="dxa"/>
              <w:left w:w="100" w:type="dxa"/>
              <w:bottom w:w="60" w:type="dxa"/>
              <w:right w:w="100" w:type="dxa"/>
            </w:tcMar>
          </w:tcPr>
          <w:p>
            <w:r>
              <w:t>0.210</w:t>
            </w:r>
          </w:p>
        </w:tc>
        <w:tc>
          <w:tcPr>
            <w:tcMar>
              <w:top w:w="60" w:type="dxa"/>
              <w:left w:w="100" w:type="dxa"/>
              <w:bottom w:w="60" w:type="dxa"/>
              <w:right w:w="100" w:type="dxa"/>
            </w:tcMar>
          </w:tcPr>
          <w:p>
            <w:r>
              <w:t>0.285</w:t>
            </w:r>
          </w:p>
        </w:tc>
        <w:tc>
          <w:tcPr>
            <w:tcMar>
              <w:top w:w="60" w:type="dxa"/>
              <w:left w:w="100" w:type="dxa"/>
              <w:bottom w:w="60" w:type="dxa"/>
              <w:right w:w="100" w:type="dxa"/>
            </w:tcMar>
          </w:tcPr>
          <w:p>
            <w:r>
              <w:t>0.403</w:t>
            </w:r>
          </w:p>
        </w:tc>
      </w:tr>
      <w:tr w:rsidR="0015244F">
        <w:tblPrEx>
          <w:tblCellMar>
            <w:top w:w="0" w:type="dxa"/>
            <w:bottom w:w="0" w:type="dxa"/>
          </w:tblCellMar>
        </w:tblPrEx>
        <w:trPr>
          <w:tblHeader/>
        </w:trPr>
        <w:tc>
          <w:tcPr>
            <w:tcMar>
              <w:top w:w="60" w:type="dxa"/>
              <w:left w:w="100" w:type="dxa"/>
              <w:bottom w:w="60" w:type="dxa"/>
              <w:right w:w="100" w:type="dxa"/>
            </w:tcMar>
          </w:tcPr>
          <w:p>
            <w:r>
              <w:t>Event A3 rule (deployed parameters)</w:t>
            </w:r>
          </w:p>
        </w:tc>
        <w:tc>
          <w:tcPr>
            <w:tcMar>
              <w:top w:w="60" w:type="dxa"/>
              <w:left w:w="100" w:type="dxa"/>
              <w:bottom w:w="60" w:type="dxa"/>
              <w:right w:w="100" w:type="dxa"/>
            </w:tcMar>
          </w:tcPr>
          <w:p>
            <w:r>
              <w:t>0.068</w:t>
            </w:r>
          </w:p>
        </w:tc>
        <w:tc>
          <w:tcPr>
            <w:tcMar>
              <w:top w:w="60" w:type="dxa"/>
              <w:left w:w="100" w:type="dxa"/>
              <w:bottom w:w="60" w:type="dxa"/>
              <w:right w:w="100" w:type="dxa"/>
            </w:tcMar>
          </w:tcPr>
          <w:p>
            <w:r>
              <w:t>0.116</w:t>
            </w:r>
          </w:p>
        </w:tc>
        <w:tc>
          <w:tcPr>
            <w:tcMar>
              <w:top w:w="60" w:type="dxa"/>
              <w:left w:w="100" w:type="dxa"/>
              <w:bottom w:w="60" w:type="dxa"/>
              <w:right w:w="100" w:type="dxa"/>
            </w:tcMar>
          </w:tcPr>
          <w:p>
            <w:r>
              <w:t>0.204</w:t>
            </w:r>
          </w:p>
        </w:tc>
        <w:tc>
          <w:tcPr>
            <w:tcMar>
              <w:top w:w="60" w:type="dxa"/>
              <w:left w:w="100" w:type="dxa"/>
              <w:bottom w:w="60" w:type="dxa"/>
              <w:right w:w="100" w:type="dxa"/>
            </w:tcMar>
          </w:tcPr>
          <w:p>
            <w:r>
              <w:t>0.272</w:t>
            </w:r>
          </w:p>
        </w:tc>
        <w:tc>
          <w:tcPr>
            <w:tcMar>
              <w:top w:w="60" w:type="dxa"/>
              <w:left w:w="100" w:type="dxa"/>
              <w:bottom w:w="60" w:type="dxa"/>
              <w:right w:w="100" w:type="dxa"/>
            </w:tcMar>
          </w:tcPr>
          <w:p>
            <w:r>
              <w:t>0.374</w:t>
            </w:r>
          </w:p>
        </w:tc>
      </w:tr>
      <w:tr w:rsidR="0015244F">
        <w:tblPrEx>
          <w:tblCellMar>
            <w:top w:w="0" w:type="dxa"/>
            <w:bottom w:w="0" w:type="dxa"/>
          </w:tblCellMar>
        </w:tblPrEx>
        <w:trPr>
          <w:tblHeader/>
        </w:trPr>
        <w:tc>
          <w:tcPr>
            <w:tcMar>
              <w:top w:w="60" w:type="dxa"/>
              <w:left w:w="100" w:type="dxa"/>
              <w:bottom w:w="60" w:type="dxa"/>
              <w:right w:w="100" w:type="dxa"/>
            </w:tcMar>
          </w:tcPr>
          <w:p>
            <w:r>
              <w:t>History block only (LightGBM)</w:t>
            </w:r>
          </w:p>
        </w:tc>
        <w:tc>
          <w:tcPr>
            <w:tcMar>
              <w:top w:w="60" w:type="dxa"/>
              <w:left w:w="100" w:type="dxa"/>
              <w:bottom w:w="60" w:type="dxa"/>
              <w:right w:w="100" w:type="dxa"/>
            </w:tcMar>
          </w:tcPr>
          <w:p>
            <w:r>
              <w:t>0.066</w:t>
            </w:r>
          </w:p>
        </w:tc>
        <w:tc>
          <w:tcPr>
            <w:tcMar>
              <w:top w:w="60" w:type="dxa"/>
              <w:left w:w="100" w:type="dxa"/>
              <w:bottom w:w="60" w:type="dxa"/>
              <w:right w:w="100" w:type="dxa"/>
            </w:tcMar>
          </w:tcPr>
          <w:p>
            <w:r>
              <w:t>0.114</w:t>
            </w:r>
          </w:p>
        </w:tc>
        <w:tc>
          <w:tcPr>
            <w:tcMar>
              <w:top w:w="60" w:type="dxa"/>
              <w:left w:w="100" w:type="dxa"/>
              <w:bottom w:w="60" w:type="dxa"/>
              <w:right w:w="100" w:type="dxa"/>
            </w:tcMar>
          </w:tcPr>
          <w:p>
            <w:r>
              <w:t>0.203</w:t>
            </w:r>
          </w:p>
        </w:tc>
        <w:tc>
          <w:tcPr>
            <w:tcMar>
              <w:top w:w="60" w:type="dxa"/>
              <w:left w:w="100" w:type="dxa"/>
              <w:bottom w:w="60" w:type="dxa"/>
              <w:right w:w="100" w:type="dxa"/>
            </w:tcMar>
          </w:tcPr>
          <w:p>
            <w:r>
              <w:t>0.277</w:t>
            </w:r>
          </w:p>
        </w:tc>
        <w:tc>
          <w:tcPr>
            <w:tcMar>
              <w:top w:w="60" w:type="dxa"/>
              <w:left w:w="100" w:type="dxa"/>
              <w:bottom w:w="60" w:type="dxa"/>
              <w:right w:w="100" w:type="dxa"/>
            </w:tcMar>
          </w:tcPr>
          <w:p>
            <w:r>
              <w:t>0.397</w:t>
            </w:r>
          </w:p>
        </w:tc>
      </w:tr>
      <w:tr w:rsidR="0015244F">
        <w:tblPrEx>
          <w:tblCellMar>
            <w:top w:w="0" w:type="dxa"/>
            <w:bottom w:w="0" w:type="dxa"/>
          </w:tblCellMar>
        </w:tblPrEx>
        <w:trPr>
          <w:tblHeader/>
        </w:trPr>
        <w:tc>
          <w:tcPr>
            <w:tcMar>
              <w:top w:w="60" w:type="dxa"/>
              <w:left w:w="100" w:type="dxa"/>
              <w:bottom w:w="60" w:type="dxa"/>
              <w:right w:w="100" w:type="dxa"/>
            </w:tcMar>
          </w:tcPr>
          <w:p>
            <w:r>
              <w:t>Dwell time only (LightGBM)</w:t>
            </w:r>
          </w:p>
        </w:tc>
        <w:tc>
          <w:tcPr>
            <w:tcMar>
              <w:top w:w="60" w:type="dxa"/>
              <w:left w:w="100" w:type="dxa"/>
              <w:bottom w:w="60" w:type="dxa"/>
              <w:right w:w="100" w:type="dxa"/>
            </w:tcMar>
          </w:tcPr>
          <w:p>
            <w:r>
              <w:t>0.062</w:t>
            </w:r>
          </w:p>
        </w:tc>
        <w:tc>
          <w:tcPr>
            <w:tcMar>
              <w:top w:w="60" w:type="dxa"/>
              <w:left w:w="100" w:type="dxa"/>
              <w:bottom w:w="60" w:type="dxa"/>
              <w:right w:w="100" w:type="dxa"/>
            </w:tcMar>
          </w:tcPr>
          <w:p>
            <w:r>
              <w:t>0.105</w:t>
            </w:r>
          </w:p>
        </w:tc>
        <w:tc>
          <w:tcPr>
            <w:tcMar>
              <w:top w:w="60" w:type="dxa"/>
              <w:left w:w="100" w:type="dxa"/>
              <w:bottom w:w="60" w:type="dxa"/>
              <w:right w:w="100" w:type="dxa"/>
            </w:tcMar>
          </w:tcPr>
          <w:p>
            <w:r>
              <w:t>0.190</w:t>
            </w:r>
          </w:p>
        </w:tc>
        <w:tc>
          <w:tcPr>
            <w:tcMar>
              <w:top w:w="60" w:type="dxa"/>
              <w:left w:w="100" w:type="dxa"/>
              <w:bottom w:w="60" w:type="dxa"/>
              <w:right w:w="100" w:type="dxa"/>
            </w:tcMar>
          </w:tcPr>
          <w:p>
            <w:r>
              <w:t>0.258</w:t>
            </w:r>
          </w:p>
        </w:tc>
        <w:tc>
          <w:tcPr>
            <w:tcMar>
              <w:top w:w="60" w:type="dxa"/>
              <w:left w:w="100" w:type="dxa"/>
              <w:bottom w:w="60" w:type="dxa"/>
              <w:right w:w="100" w:type="dxa"/>
            </w:tcMar>
          </w:tcPr>
          <w:p>
            <w:r>
              <w:t>0.367</w:t>
            </w:r>
          </w:p>
        </w:tc>
      </w:tr>
      <w:tr w:rsidR="0015244F">
        <w:tblPrEx>
          <w:tblCellMar>
            <w:top w:w="0" w:type="dxa"/>
            <w:bottom w:w="0" w:type="dxa"/>
          </w:tblCellMar>
        </w:tblPrEx>
        <w:trPr>
          <w:tblHeader/>
        </w:trPr>
        <w:tc>
          <w:tcPr>
            <w:tcMar>
              <w:top w:w="60" w:type="dxa"/>
              <w:left w:w="100" w:type="dxa"/>
              <w:bottom w:w="60" w:type="dxa"/>
              <w:right w:w="100" w:type="dxa"/>
            </w:tcMar>
          </w:tcPr>
          <w:p>
            <w:r>
              <w:t>Prevalence floor</w:t>
            </w:r>
          </w:p>
        </w:tc>
        <w:tc>
          <w:tcPr>
            <w:tcMar>
              <w:top w:w="60" w:type="dxa"/>
              <w:left w:w="100" w:type="dxa"/>
              <w:bottom w:w="60" w:type="dxa"/>
              <w:right w:w="100" w:type="dxa"/>
            </w:tcMar>
          </w:tcPr>
          <w:p>
            <w:r>
              <w:t>0.037</w:t>
            </w:r>
          </w:p>
        </w:tc>
        <w:tc>
          <w:tcPr>
            <w:tcMar>
              <w:top w:w="60" w:type="dxa"/>
              <w:left w:w="100" w:type="dxa"/>
              <w:bottom w:w="60" w:type="dxa"/>
              <w:right w:w="100" w:type="dxa"/>
            </w:tcMar>
          </w:tcPr>
          <w:p>
            <w:r>
              <w:t>0.068</w:t>
            </w:r>
          </w:p>
        </w:tc>
        <w:tc>
          <w:tcPr>
            <w:tcMar>
              <w:top w:w="60" w:type="dxa"/>
              <w:left w:w="100" w:type="dxa"/>
              <w:bottom w:w="60" w:type="dxa"/>
              <w:right w:w="100" w:type="dxa"/>
            </w:tcMar>
          </w:tcPr>
          <w:p>
            <w:r>
              <w:t>0.126</w:t>
            </w:r>
          </w:p>
        </w:tc>
        <w:tc>
          <w:tcPr>
            <w:tcMar>
              <w:top w:w="60" w:type="dxa"/>
              <w:left w:w="100" w:type="dxa"/>
              <w:bottom w:w="60" w:type="dxa"/>
              <w:right w:w="100" w:type="dxa"/>
            </w:tcMar>
          </w:tcPr>
          <w:p>
            <w:r>
              <w:t>0.176</w:t>
            </w:r>
          </w:p>
        </w:tc>
        <w:tc>
          <w:tcPr>
            <w:tcMar>
              <w:top w:w="60" w:type="dxa"/>
              <w:left w:w="100" w:type="dxa"/>
              <w:bottom w:w="60" w:type="dxa"/>
              <w:right w:w="100" w:type="dxa"/>
            </w:tcMar>
          </w:tcPr>
          <w:p>
            <w:r>
              <w:t>0.261</w:t>
            </w:r>
          </w:p>
        </w:tc>
      </w:tr>
    </w:tbl>
    <w:p w:rsidR="0015244F" w:rsidRDefault="0015244F">
      <w:pPr>
        <w:spacing w:after="120" w:line="240" w:lineRule="auto"/>
      </w:pPr>
    </w:p>
    <w:p w:rsidR="0015244F" w:rsidRDefault="00A565B8">
      <w:pPr>
        <w:pStyle w:val="TableCaption"/>
        <w:spacing w:before="240" w:after="120" w:line="240" w:lineRule="auto"/>
        <w:jc w:val="center"/>
      </w:pPr>
      <w:r>
        <w:t>Table A.2 Event-level operating characteristics of the primary model at the 5 % false-positive operating point.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Horizon</w:t>
            </w:r>
          </w:p>
        </w:tc>
        <w:tc>
          <w:tcPr>
            <w:tcMar>
              <w:top w:w="60" w:type="dxa"/>
              <w:left w:w="100" w:type="dxa"/>
              <w:bottom w:w="60" w:type="dxa"/>
              <w:right w:w="100" w:type="dxa"/>
            </w:tcMar>
          </w:tcPr>
          <w:p>
            <w:r>
              <w:t>Events</w:t>
            </w:r>
          </w:p>
        </w:tc>
        <w:tc>
          <w:tcPr>
            <w:tcMar>
              <w:top w:w="60" w:type="dxa"/>
              <w:left w:w="100" w:type="dxa"/>
              <w:bottom w:w="60" w:type="dxa"/>
              <w:right w:w="100" w:type="dxa"/>
            </w:tcMar>
          </w:tcPr>
          <w:p>
            <w:r>
              <w:t>Resolvable on the 1 Hz grid</w:t>
            </w:r>
          </w:p>
        </w:tc>
        <w:tc>
          <w:tcPr>
            <w:tcMar>
              <w:top w:w="60" w:type="dxa"/>
              <w:left w:w="100" w:type="dxa"/>
              <w:bottom w:w="60" w:type="dxa"/>
              <w:right w:w="100" w:type="dxa"/>
            </w:tcMar>
          </w:tcPr>
          <w:p>
            <w:r>
              <w:t>Detected</w:t>
            </w:r>
          </w:p>
        </w:tc>
        <w:tc>
          <w:tcPr>
            <w:tcMar>
              <w:top w:w="60" w:type="dxa"/>
              <w:left w:w="100" w:type="dxa"/>
              <w:bottom w:w="60" w:type="dxa"/>
              <w:right w:w="100" w:type="dxa"/>
            </w:tcMar>
          </w:tcPr>
          <w:p>
            <w:r>
              <w:t>Detection rate</w:t>
            </w:r>
          </w:p>
        </w:tc>
        <w:tc>
          <w:tcPr>
            <w:tcMar>
              <w:top w:w="60" w:type="dxa"/>
              <w:left w:w="100" w:type="dxa"/>
              <w:bottom w:w="60" w:type="dxa"/>
              <w:right w:w="100" w:type="dxa"/>
            </w:tcMar>
          </w:tcPr>
          <w:p>
            <w:r>
              <w:t>False alarms / h</w:t>
            </w:r>
          </w:p>
        </w:tc>
        <w:tc>
          <w:tcPr>
            <w:tcMar>
              <w:top w:w="60" w:type="dxa"/>
              <w:left w:w="100" w:type="dxa"/>
              <w:bottom w:w="60" w:type="dxa"/>
              <w:right w:w="100" w:type="dxa"/>
            </w:tcMar>
          </w:tcPr>
          <w:p>
            <w:r>
              <w:t>False alarms / km</w:t>
            </w:r>
          </w:p>
        </w:tc>
        <w:tc>
          <w:tcPr>
            <w:tcMar>
              <w:top w:w="60" w:type="dxa"/>
              <w:left w:w="100" w:type="dxa"/>
              <w:bottom w:w="60" w:type="dxa"/>
              <w:right w:w="100" w:type="dxa"/>
            </w:tcMar>
          </w:tcPr>
          <w:p>
            <w:r>
              <w:t>Median lead time</w:t>
            </w:r>
          </w:p>
        </w:tc>
      </w:tr>
      <w:tr w:rsidR="0015244F">
        <w:tblPrEx>
          <w:tblCellMar>
            <w:top w:w="0" w:type="dxa"/>
            <w:bottom w:w="0" w:type="dxa"/>
          </w:tblCellMar>
        </w:tblPrEx>
        <w:trPr>
          <w:tblHeader/>
        </w:trPr>
        <w:tc>
          <w:tcPr>
            <w:tcMar>
              <w:top w:w="60" w:type="dxa"/>
              <w:left w:w="100" w:type="dxa"/>
              <w:bottom w:w="60" w:type="dxa"/>
              <w:right w:w="100" w:type="dxa"/>
            </w:tcMar>
          </w:tcPr>
          <w:p>
            <w:r>
              <w:t>0.5 s</w:t>
            </w:r>
          </w:p>
        </w:tc>
        <w:tc>
          <w:tcPr>
            <w:tcMar>
              <w:top w:w="60" w:type="dxa"/>
              <w:left w:w="100" w:type="dxa"/>
              <w:bottom w:w="60" w:type="dxa"/>
              <w:right w:w="100" w:type="dxa"/>
            </w:tcMar>
          </w:tcPr>
          <w:p>
            <w:r>
              <w:t>934</w:t>
            </w:r>
          </w:p>
        </w:tc>
        <w:tc>
          <w:tcPr>
            <w:tcMar>
              <w:top w:w="60" w:type="dxa"/>
              <w:left w:w="100" w:type="dxa"/>
              <w:bottom w:w="60" w:type="dxa"/>
              <w:right w:w="100" w:type="dxa"/>
            </w:tcMar>
          </w:tcPr>
          <w:p>
            <w:r>
              <w:t>34.2 %</w:t>
            </w:r>
          </w:p>
        </w:tc>
        <w:tc>
          <w:tcPr>
            <w:tcMar>
              <w:top w:w="60" w:type="dxa"/>
              <w:left w:w="100" w:type="dxa"/>
              <w:bottom w:w="60" w:type="dxa"/>
              <w:right w:w="100" w:type="dxa"/>
            </w:tcMar>
          </w:tcPr>
          <w:p>
            <w:r>
              <w:t>203</w:t>
            </w:r>
          </w:p>
        </w:tc>
        <w:tc>
          <w:tcPr>
            <w:tcMar>
              <w:top w:w="60" w:type="dxa"/>
              <w:left w:w="100" w:type="dxa"/>
              <w:bottom w:w="60" w:type="dxa"/>
              <w:right w:w="100" w:type="dxa"/>
            </w:tcMar>
          </w:tcPr>
          <w:p>
            <w:r>
              <w:t>21.7 %</w:t>
            </w:r>
          </w:p>
        </w:tc>
        <w:tc>
          <w:tcPr>
            <w:tcMar>
              <w:top w:w="60" w:type="dxa"/>
              <w:left w:w="100" w:type="dxa"/>
              <w:bottom w:w="60" w:type="dxa"/>
              <w:right w:w="100" w:type="dxa"/>
            </w:tcMar>
          </w:tcPr>
          <w:p>
            <w:r>
              <w:t>277.6</w:t>
            </w:r>
          </w:p>
        </w:tc>
        <w:tc>
          <w:tcPr>
            <w:tcMar>
              <w:top w:w="60" w:type="dxa"/>
              <w:left w:w="100" w:type="dxa"/>
              <w:bottom w:w="60" w:type="dxa"/>
              <w:right w:w="100" w:type="dxa"/>
            </w:tcMar>
          </w:tcPr>
          <w:p>
            <w:r>
              <w:t>8.45</w:t>
            </w:r>
          </w:p>
        </w:tc>
        <w:tc>
          <w:tcPr>
            <w:tcMar>
              <w:top w:w="60" w:type="dxa"/>
              <w:left w:w="100" w:type="dxa"/>
              <w:bottom w:w="60" w:type="dxa"/>
              <w:right w:w="100" w:type="dxa"/>
            </w:tcMar>
          </w:tcPr>
          <w:p>
            <w:r>
              <w:t>0.25 s</w:t>
            </w:r>
          </w:p>
        </w:tc>
      </w:tr>
      <w:tr w:rsidR="0015244F">
        <w:tblPrEx>
          <w:tblCellMar>
            <w:top w:w="0" w:type="dxa"/>
            <w:bottom w:w="0" w:type="dxa"/>
          </w:tblCellMar>
        </w:tblPrEx>
        <w:trPr>
          <w:tblHeader/>
        </w:trPr>
        <w:tc>
          <w:tcPr>
            <w:tcMar>
              <w:top w:w="60" w:type="dxa"/>
              <w:left w:w="100" w:type="dxa"/>
              <w:bottom w:w="60" w:type="dxa"/>
              <w:right w:w="100" w:type="dxa"/>
            </w:tcMar>
          </w:tcPr>
          <w:p>
            <w:r>
              <w:t>1 s</w:t>
            </w:r>
          </w:p>
        </w:tc>
        <w:tc>
          <w:tcPr>
            <w:tcMar>
              <w:top w:w="60" w:type="dxa"/>
              <w:left w:w="100" w:type="dxa"/>
              <w:bottom w:w="60" w:type="dxa"/>
              <w:right w:w="100" w:type="dxa"/>
            </w:tcMar>
          </w:tcPr>
          <w:p>
            <w:r>
              <w:t>935</w:t>
            </w:r>
          </w:p>
        </w:tc>
        <w:tc>
          <w:tcPr>
            <w:tcMar>
              <w:top w:w="60" w:type="dxa"/>
              <w:left w:w="100" w:type="dxa"/>
              <w:bottom w:w="60" w:type="dxa"/>
              <w:right w:w="100" w:type="dxa"/>
            </w:tcMar>
          </w:tcPr>
          <w:p>
            <w:r>
              <w:t>64.6 %</w:t>
            </w:r>
          </w:p>
        </w:tc>
        <w:tc>
          <w:tcPr>
            <w:tcMar>
              <w:top w:w="60" w:type="dxa"/>
              <w:left w:w="100" w:type="dxa"/>
              <w:bottom w:w="60" w:type="dxa"/>
              <w:right w:w="100" w:type="dxa"/>
            </w:tcMar>
          </w:tcPr>
          <w:p>
            <w:r>
              <w:t>318</w:t>
            </w:r>
          </w:p>
        </w:tc>
        <w:tc>
          <w:tcPr>
            <w:tcMar>
              <w:top w:w="60" w:type="dxa"/>
              <w:left w:w="100" w:type="dxa"/>
              <w:bottom w:w="60" w:type="dxa"/>
              <w:right w:w="100" w:type="dxa"/>
            </w:tcMar>
          </w:tcPr>
          <w:p>
            <w:r>
              <w:t>34.0 %</w:t>
            </w:r>
          </w:p>
        </w:tc>
        <w:tc>
          <w:tcPr>
            <w:tcMar>
              <w:top w:w="60" w:type="dxa"/>
              <w:left w:w="100" w:type="dxa"/>
              <w:bottom w:w="60" w:type="dxa"/>
              <w:right w:w="100" w:type="dxa"/>
            </w:tcMar>
          </w:tcPr>
          <w:p>
            <w:r>
              <w:t>179.0</w:t>
            </w:r>
          </w:p>
        </w:tc>
        <w:tc>
          <w:tcPr>
            <w:tcMar>
              <w:top w:w="60" w:type="dxa"/>
              <w:left w:w="100" w:type="dxa"/>
              <w:bottom w:w="60" w:type="dxa"/>
              <w:right w:w="100" w:type="dxa"/>
            </w:tcMar>
          </w:tcPr>
          <w:p>
            <w:r>
              <w:t>5.45</w:t>
            </w:r>
          </w:p>
        </w:tc>
        <w:tc>
          <w:tcPr>
            <w:tcMar>
              <w:top w:w="60" w:type="dxa"/>
              <w:left w:w="100" w:type="dxa"/>
              <w:bottom w:w="60" w:type="dxa"/>
              <w:right w:w="100" w:type="dxa"/>
            </w:tcMar>
          </w:tcPr>
          <w:p>
            <w:r>
              <w:t>0.47 s</w:t>
            </w:r>
          </w:p>
        </w:tc>
      </w:tr>
      <w:tr w:rsidR="0015244F">
        <w:tblPrEx>
          <w:tblCellMar>
            <w:top w:w="0" w:type="dxa"/>
            <w:bottom w:w="0" w:type="dxa"/>
          </w:tblCellMar>
        </w:tblPrEx>
        <w:trPr>
          <w:tblHeader/>
        </w:trPr>
        <w:tc>
          <w:tcPr>
            <w:tcMar>
              <w:top w:w="60" w:type="dxa"/>
              <w:left w:w="100" w:type="dxa"/>
              <w:bottom w:w="60" w:type="dxa"/>
              <w:right w:w="100" w:type="dxa"/>
            </w:tcMar>
          </w:tcPr>
          <w:p>
            <w:r>
              <w:t>2 s</w:t>
            </w:r>
          </w:p>
        </w:tc>
        <w:tc>
          <w:tcPr>
            <w:tcMar>
              <w:top w:w="60" w:type="dxa"/>
              <w:left w:w="100" w:type="dxa"/>
              <w:bottom w:w="60" w:type="dxa"/>
              <w:right w:w="100" w:type="dxa"/>
            </w:tcMar>
          </w:tcPr>
          <w:p>
            <w:r>
              <w:t>935</w:t>
            </w:r>
          </w:p>
        </w:tc>
        <w:tc>
          <w:tcPr>
            <w:tcMar>
              <w:top w:w="60" w:type="dxa"/>
              <w:left w:w="100" w:type="dxa"/>
              <w:bottom w:w="60" w:type="dxa"/>
              <w:right w:w="100" w:type="dxa"/>
            </w:tcMar>
          </w:tcPr>
          <w:p>
            <w:r>
              <w:t>74.8 %</w:t>
            </w:r>
          </w:p>
        </w:tc>
        <w:tc>
          <w:tcPr>
            <w:tcMar>
              <w:top w:w="60" w:type="dxa"/>
              <w:left w:w="100" w:type="dxa"/>
              <w:bottom w:w="60" w:type="dxa"/>
              <w:right w:w="100" w:type="dxa"/>
            </w:tcMar>
          </w:tcPr>
          <w:p>
            <w:r>
              <w:t>314</w:t>
            </w:r>
          </w:p>
        </w:tc>
        <w:tc>
          <w:tcPr>
            <w:tcMar>
              <w:top w:w="60" w:type="dxa"/>
              <w:left w:w="100" w:type="dxa"/>
              <w:bottom w:w="60" w:type="dxa"/>
              <w:right w:w="100" w:type="dxa"/>
            </w:tcMar>
          </w:tcPr>
          <w:p>
            <w:r>
              <w:t>33.6 %</w:t>
            </w:r>
          </w:p>
        </w:tc>
        <w:tc>
          <w:tcPr>
            <w:tcMar>
              <w:top w:w="60" w:type="dxa"/>
              <w:left w:w="100" w:type="dxa"/>
              <w:bottom w:w="60" w:type="dxa"/>
              <w:right w:w="100" w:type="dxa"/>
            </w:tcMar>
          </w:tcPr>
          <w:p>
            <w:r>
              <w:t>124.1</w:t>
            </w:r>
          </w:p>
        </w:tc>
        <w:tc>
          <w:tcPr>
            <w:tcMar>
              <w:top w:w="60" w:type="dxa"/>
              <w:left w:w="100" w:type="dxa"/>
              <w:bottom w:w="60" w:type="dxa"/>
              <w:right w:w="100" w:type="dxa"/>
            </w:tcMar>
          </w:tcPr>
          <w:p>
            <w:r>
              <w:t>3.78</w:t>
            </w:r>
          </w:p>
        </w:tc>
        <w:tc>
          <w:tcPr>
            <w:tcMar>
              <w:top w:w="60" w:type="dxa"/>
              <w:left w:w="100" w:type="dxa"/>
              <w:bottom w:w="60" w:type="dxa"/>
              <w:right w:w="100" w:type="dxa"/>
            </w:tcMar>
          </w:tcPr>
          <w:p>
            <w:r>
              <w:t>1.24 s</w:t>
            </w:r>
          </w:p>
        </w:tc>
      </w:tr>
      <w:tr w:rsidR="0015244F">
        <w:tblPrEx>
          <w:tblCellMar>
            <w:top w:w="0" w:type="dxa"/>
            <w:bottom w:w="0" w:type="dxa"/>
          </w:tblCellMar>
        </w:tblPrEx>
        <w:trPr>
          <w:tblHeader/>
        </w:trPr>
        <w:tc>
          <w:tcPr>
            <w:tcMar>
              <w:top w:w="60" w:type="dxa"/>
              <w:left w:w="100" w:type="dxa"/>
              <w:bottom w:w="60" w:type="dxa"/>
              <w:right w:w="100" w:type="dxa"/>
            </w:tcMar>
          </w:tcPr>
          <w:p>
            <w:r>
              <w:t>3 s</w:t>
            </w:r>
          </w:p>
        </w:tc>
        <w:tc>
          <w:tcPr>
            <w:tcMar>
              <w:top w:w="60" w:type="dxa"/>
              <w:left w:w="100" w:type="dxa"/>
              <w:bottom w:w="60" w:type="dxa"/>
              <w:right w:w="100" w:type="dxa"/>
            </w:tcMar>
          </w:tcPr>
          <w:p>
            <w:r>
              <w:t>936</w:t>
            </w:r>
          </w:p>
        </w:tc>
        <w:tc>
          <w:tcPr>
            <w:tcMar>
              <w:top w:w="60" w:type="dxa"/>
              <w:left w:w="100" w:type="dxa"/>
              <w:bottom w:w="60" w:type="dxa"/>
              <w:right w:w="100" w:type="dxa"/>
            </w:tcMar>
          </w:tcPr>
          <w:p>
            <w:r>
              <w:t>88.2 %</w:t>
            </w:r>
          </w:p>
        </w:tc>
        <w:tc>
          <w:tcPr>
            <w:tcMar>
              <w:top w:w="60" w:type="dxa"/>
              <w:left w:w="100" w:type="dxa"/>
              <w:bottom w:w="60" w:type="dxa"/>
              <w:right w:w="100" w:type="dxa"/>
            </w:tcMar>
          </w:tcPr>
          <w:p>
            <w:r>
              <w:t>344</w:t>
            </w:r>
          </w:p>
        </w:tc>
        <w:tc>
          <w:tcPr>
            <w:tcMar>
              <w:top w:w="60" w:type="dxa"/>
              <w:left w:w="100" w:type="dxa"/>
              <w:bottom w:w="60" w:type="dxa"/>
              <w:right w:w="100" w:type="dxa"/>
            </w:tcMar>
          </w:tcPr>
          <w:p>
            <w:r>
              <w:t>36.8 %</w:t>
            </w:r>
          </w:p>
        </w:tc>
        <w:tc>
          <w:tcPr>
            <w:tcMar>
              <w:top w:w="60" w:type="dxa"/>
              <w:left w:w="100" w:type="dxa"/>
              <w:bottom w:w="60" w:type="dxa"/>
              <w:right w:w="100" w:type="dxa"/>
            </w:tcMar>
          </w:tcPr>
          <w:p>
            <w:r>
              <w:t>91.8</w:t>
            </w:r>
          </w:p>
        </w:tc>
        <w:tc>
          <w:tcPr>
            <w:tcMar>
              <w:top w:w="60" w:type="dxa"/>
              <w:left w:w="100" w:type="dxa"/>
              <w:bottom w:w="60" w:type="dxa"/>
              <w:right w:w="100" w:type="dxa"/>
            </w:tcMar>
          </w:tcPr>
          <w:p>
            <w:r>
              <w:t>2.80</w:t>
            </w:r>
          </w:p>
        </w:tc>
        <w:tc>
          <w:tcPr>
            <w:tcMar>
              <w:top w:w="60" w:type="dxa"/>
              <w:left w:w="100" w:type="dxa"/>
              <w:bottom w:w="60" w:type="dxa"/>
              <w:right w:w="100" w:type="dxa"/>
            </w:tcMar>
          </w:tcPr>
          <w:p>
            <w:r>
              <w:t>1.96 s</w:t>
            </w:r>
          </w:p>
        </w:tc>
      </w:tr>
      <w:tr w:rsidR="0015244F">
        <w:tblPrEx>
          <w:tblCellMar>
            <w:top w:w="0" w:type="dxa"/>
            <w:bottom w:w="0" w:type="dxa"/>
          </w:tblCellMar>
        </w:tblPrEx>
        <w:trPr>
          <w:tblHeader/>
        </w:trPr>
        <w:tc>
          <w:tcPr>
            <w:tcMar>
              <w:top w:w="60" w:type="dxa"/>
              <w:left w:w="100" w:type="dxa"/>
              <w:bottom w:w="60" w:type="dxa"/>
              <w:right w:w="100" w:type="dxa"/>
            </w:tcMar>
          </w:tcPr>
          <w:p>
            <w:r>
              <w:t>5 s</w:t>
            </w:r>
          </w:p>
        </w:tc>
        <w:tc>
          <w:tcPr>
            <w:tcMar>
              <w:top w:w="60" w:type="dxa"/>
              <w:left w:w="100" w:type="dxa"/>
              <w:bottom w:w="60" w:type="dxa"/>
              <w:right w:w="100" w:type="dxa"/>
            </w:tcMar>
          </w:tcPr>
          <w:p>
            <w:r>
              <w:t>937</w:t>
            </w:r>
          </w:p>
        </w:tc>
        <w:tc>
          <w:tcPr>
            <w:tcMar>
              <w:top w:w="60" w:type="dxa"/>
              <w:left w:w="100" w:type="dxa"/>
              <w:bottom w:w="60" w:type="dxa"/>
              <w:right w:w="100" w:type="dxa"/>
            </w:tcMar>
          </w:tcPr>
          <w:p>
            <w:r>
              <w:t>95.3 %</w:t>
            </w:r>
          </w:p>
        </w:tc>
        <w:tc>
          <w:tcPr>
            <w:tcMar>
              <w:top w:w="60" w:type="dxa"/>
              <w:left w:w="100" w:type="dxa"/>
              <w:bottom w:w="60" w:type="dxa"/>
              <w:right w:w="100" w:type="dxa"/>
            </w:tcMar>
          </w:tcPr>
          <w:p>
            <w:r>
              <w:t>398</w:t>
            </w:r>
          </w:p>
        </w:tc>
        <w:tc>
          <w:tcPr>
            <w:tcMar>
              <w:top w:w="60" w:type="dxa"/>
              <w:left w:w="100" w:type="dxa"/>
              <w:bottom w:w="60" w:type="dxa"/>
              <w:right w:w="100" w:type="dxa"/>
            </w:tcMar>
          </w:tcPr>
          <w:p>
            <w:r>
              <w:t>42.5 %</w:t>
            </w:r>
          </w:p>
        </w:tc>
        <w:tc>
          <w:tcPr>
            <w:tcMar>
              <w:top w:w="60" w:type="dxa"/>
              <w:left w:w="100" w:type="dxa"/>
              <w:bottom w:w="60" w:type="dxa"/>
              <w:right w:w="100" w:type="dxa"/>
            </w:tcMar>
          </w:tcPr>
          <w:p>
            <w:r>
              <w:t>69.6</w:t>
            </w:r>
          </w:p>
        </w:tc>
        <w:tc>
          <w:tcPr>
            <w:tcMar>
              <w:top w:w="60" w:type="dxa"/>
              <w:left w:w="100" w:type="dxa"/>
              <w:bottom w:w="60" w:type="dxa"/>
              <w:right w:w="100" w:type="dxa"/>
            </w:tcMar>
          </w:tcPr>
          <w:p>
            <w:r>
              <w:t>2.12</w:t>
            </w:r>
          </w:p>
        </w:tc>
        <w:tc>
          <w:tcPr>
            <w:tcMar>
              <w:top w:w="60" w:type="dxa"/>
              <w:left w:w="100" w:type="dxa"/>
              <w:bottom w:w="60" w:type="dxa"/>
              <w:right w:w="100" w:type="dxa"/>
            </w:tcMar>
          </w:tcPr>
          <w:p>
            <w:r>
              <w:t>3.31 s</w:t>
            </w:r>
          </w:p>
        </w:tc>
      </w:tr>
    </w:tbl>
    <w:p w:rsidR="0015244F" w:rsidRDefault="00A565B8">
      <w:pPr>
        <w:pStyle w:val="TableCaption"/>
        <w:spacing w:before="240" w:after="120" w:line="240" w:lineRule="auto"/>
        <w:jc w:val="center"/>
      </w:pPr>
      <w:r>
        <w:t>Table A.3 The alignment audit of Section 5.1 across three datasets and two instruments. The defect follows the row-aggregation rule, not the vendor and not the network: it is present wherever a row summarises the second that ends at its timestamp, absent where rows are instantaneous samples, and it disappears from the same NUWiNS handovers when the downsampling rule is changed to the start of the second.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tblGrid>
      <w:tr>
        <w:tc>
          <w:tcPr/>
          <w:p>
            <w:r>
              <w:t>Property</w:t>
            </w:r>
          </w:p>
        </w:tc>
        <w:tc>
          <w:tcPr/>
          <w:p>
            <w:r>
              <w:t>This work</w:t>
            </w:r>
          </w:p>
        </w:tc>
        <w:tc>
          <w:tcPr/>
          <w:p>
            <w:r>
              <w:t>Irish 4G/5G (MMSys 2020)</w:t>
            </w:r>
          </w:p>
        </w:tc>
        <w:tc>
          <w:tcPr/>
          <w:p>
            <w:r>
              <w:t>US tier-1 (NUWiNS PAM 2025)</w:t>
            </w:r>
          </w:p>
        </w:tc>
      </w:tr>
      <w:tr>
        <w:tc>
          <w:tcPr/>
          <w:p>
            <w:r>
              <w:t>Instrument</w:t>
            </w:r>
          </w:p>
        </w:tc>
        <w:tc>
          <w:tcPr/>
          <w:p>
            <w:r>
              <w:t>XCAL, 1 Hz export produced by the tool</w:t>
            </w:r>
          </w:p>
        </w:tc>
        <w:tc>
          <w:tcPr/>
          <w:p>
            <w:r>
              <w:t>G-NetTrack Pro, ~1 Hz application log</w:t>
            </w:r>
          </w:p>
        </w:tc>
        <w:tc>
          <w:tcPr/>
          <w:p>
            <w:r>
              <w:t>XCAL, native 10 Hz export downsampled here</w:t>
            </w:r>
          </w:p>
        </w:tc>
      </w:tr>
      <w:tr>
        <w:tc>
          <w:tcPr/>
          <w:p>
            <w:r>
              <w:t>Network and region</w:t>
            </w:r>
          </w:p>
        </w:tc>
        <w:tc>
          <w:tcPr/>
          <w:p>
            <w:r>
              <w:t>One operator, Dhaka and Gazipur</w:t>
            </w:r>
          </w:p>
        </w:tc>
        <w:tc>
          <w:tcPr/>
          <w:p>
            <w:r>
              <w:t>One operator, Ireland (Raca et al., MMSys 2020)</w:t>
            </w:r>
          </w:p>
        </w:tc>
        <w:tc>
          <w:tcPr/>
          <w:p>
            <w:r>
              <w:t>3 tier-1 operators, two cross-US routes (NUWiNS, PAM 2025)</w:t>
            </w:r>
          </w:p>
        </w:tc>
      </w:tr>
      <w:tr>
        <w:tc>
          <w:tcPr/>
          <w:p>
            <w:r>
              <w:t>Event clock</w:t>
            </w:r>
          </w:p>
        </w:tc>
        <w:tc>
          <w:tcPr/>
          <w:p>
            <w:r>
              <w:t>RRC signalling: command and complete</w:t>
            </w:r>
          </w:p>
        </w:tc>
        <w:tc>
          <w:tcPr/>
          <w:p>
            <w:r>
              <w:t>serving-cell identifier changes only</w:t>
            </w:r>
          </w:p>
        </w:tc>
        <w:tc>
          <w:tcPr/>
          <w:p>
            <w:r>
              <w:t>XCAL handover event column</w:t>
            </w:r>
          </w:p>
        </w:tc>
      </w:tr>
      <w:tr>
        <w:tc>
          <w:tcPr/>
          <w:p>
            <w:r>
              <w:t>Row semantics</w:t>
            </w:r>
          </w:p>
        </w:tc>
        <w:tc>
          <w:tcPr/>
          <w:p>
            <w:r>
              <w:t>aggregate over the second, written at its end</w:t>
            </w:r>
          </w:p>
        </w:tc>
        <w:tc>
          <w:tcPr/>
          <w:p>
            <w:r>
              <w:t>instantaneous sample</w:t>
            </w:r>
          </w:p>
        </w:tc>
        <w:tc>
          <w:tcPr/>
          <w:p>
            <w:r>
              <w:t>set by us: last, or first, sample of the second</w:t>
            </w:r>
          </w:p>
        </w:tc>
      </w:tr>
      <w:tr>
        <w:tc>
          <w:tcPr/>
          <w:p>
            <w:r>
              <w:t>Handovers audited</w:t>
            </w:r>
          </w:p>
        </w:tc>
        <w:tc>
          <w:tcPr/>
          <w:p>
            <w:r>
              <w:t>938</w:t>
            </w:r>
          </w:p>
        </w:tc>
        <w:tc>
          <w:tcPr/>
          <w:p>
            <w:r>
              <w:t>1,175 cell changes</w:t>
            </w:r>
          </w:p>
        </w:tc>
        <w:tc>
          <w:tcPr/>
          <w:p>
            <w:r>
              <w:t>4,712 in 12 files</w:t>
            </w:r>
          </w:p>
        </w:tc>
      </w:tr>
      <w:tr>
        <w:tc>
          <w:tcPr/>
          <w:p>
            <w:r>
              <w:t>Row t shows the target cell</w:t>
            </w:r>
          </w:p>
        </w:tc>
        <w:tc>
          <w:tcPr/>
          <w:p>
            <w:r>
              <w:t>75.9 %</w:t>
            </w:r>
          </w:p>
        </w:tc>
        <w:tc>
          <w:tcPr/>
          <w:p>
            <w:r>
              <w:t>29.4 %</w:t>
            </w:r>
          </w:p>
        </w:tc>
        <w:tc>
          <w:tcPr/>
          <w:p>
            <w:r>
              <w:t>93.2 %</w:t>
            </w:r>
          </w:p>
        </w:tc>
      </w:tr>
      <w:tr>
        <w:tc>
          <w:tcPr/>
          <w:p>
            <w:r>
              <w:t>Isolated handovers only</w:t>
            </w:r>
          </w:p>
        </w:tc>
        <w:tc>
          <w:tcPr/>
          <w:p>
            <w:r>
              <w:t>74.6 % (n = 291)</w:t>
            </w:r>
          </w:p>
        </w:tc>
        <w:tc>
          <w:tcPr/>
          <w:p>
            <w:r>
              <w:t>not separable (no signalling clock)</w:t>
            </w:r>
          </w:p>
        </w:tc>
        <w:tc>
          <w:tcPr/>
          <w:p>
            <w:r>
              <w:t>92.8 % (n = 3,160)</w:t>
            </w:r>
          </w:p>
        </w:tc>
      </w:tr>
      <w:tr>
        <w:tc>
          <w:tcPr/>
          <w:p>
            <w:r>
              <w:t>Row t-1 shows the target cell</w:t>
            </w:r>
          </w:p>
        </w:tc>
        <w:tc>
          <w:tcPr/>
          <w:p>
            <w:r>
              <w:t>15.6 %</w:t>
            </w:r>
          </w:p>
        </w:tc>
        <w:tc>
          <w:tcPr/>
          <w:p>
            <w:r>
              <w:t>no step across the integer boundary</w:t>
            </w:r>
          </w:p>
        </w:tc>
        <w:tc>
          <w:tcPr/>
          <w:p>
            <w:r>
              <w:t>0.1 %</w:t>
            </w:r>
          </w:p>
        </w:tc>
      </w:tr>
      <w:tr>
        <w:tc>
          <w:tcPr/>
          <w:p>
            <w:r>
              <w:t>Same rows, start-of-second rule</w:t>
            </w:r>
          </w:p>
        </w:tc>
        <w:tc>
          <w:tcPr/>
          <w:p>
            <w:r>
              <w:t>not available (the tool aggregates)</w:t>
            </w:r>
          </w:p>
        </w:tc>
        <w:tc>
          <w:tcPr/>
          <w:p>
            <w:r>
              <w:t>not applicable (rows are samples)</w:t>
            </w:r>
          </w:p>
        </w:tc>
        <w:tc>
          <w:tcPr/>
          <w:p>
            <w:r>
              <w:t>4.1 %</w:t>
            </w:r>
          </w:p>
        </w:tc>
      </w:tr>
      <w:tr>
        <w:tc>
          <w:tcPr/>
          <w:p>
            <w:r>
              <w:t>Update delay observed</w:t>
            </w:r>
          </w:p>
        </w:tc>
        <w:tc>
          <w:tcPr/>
          <w:p>
            <w:r>
              <w:t>p90 99 ms from RRC complete messages</w:t>
            </w:r>
          </w:p>
        </w:tc>
        <w:tc>
          <w:tcPr/>
          <w:p>
            <w:r>
              <w:t>not observable on a 1 Hz grid</w:t>
            </w:r>
          </w:p>
        </w:tc>
        <w:tc>
          <w:tcPr/>
          <w:p>
            <w:r>
              <w:t>50-75 ms, recovered from the contamination cliff (98 % at 75-100 ms left, 44 % at 50-75 ms, 0 % below 50 ms)</w:t>
            </w:r>
          </w:p>
        </w:tc>
      </w:tr>
      <w:tr>
        <w:tc>
          <w:tcPr/>
          <w:p>
            <w:r>
              <w:t>Verdict</w:t>
            </w:r>
          </w:p>
        </w:tc>
        <w:tc>
          <w:tcPr/>
          <w:p>
            <w:r>
              <w:t>defect present, attenuated by a one-row KPI refresh lag</w:t>
            </w:r>
          </w:p>
        </w:tc>
        <w:tc>
          <w:tcPr/>
          <w:p>
            <w:r>
              <w:t>no defect: sampled rows are not aggregates</w:t>
            </w:r>
          </w:p>
        </w:tc>
        <w:tc>
          <w:tcPr/>
          <w:p>
            <w:r>
              <w:t>defect present under end-of-second, absent under start-of-second</w:t>
            </w:r>
          </w:p>
        </w:tc>
      </w:tr>
    </w:tbl>
    <w:p w:rsidR="0015244F" w:rsidRDefault="0015244F">
      <w:pPr>
        <w:spacing w:after="120" w:line="240" w:lineRule="auto"/>
      </w:pPr>
    </w:p>
    <w:p w:rsidR="0015244F" w:rsidRDefault="00A565B8">
      <w:pPr>
        <w:pageBreakBefore/>
        <w:jc w:val="center"/>
      </w:pPr>
      <w:r>
        <w:rPr>
          <w:b/>
          <w:bCs/>
          <w:sz w:val="40"/>
          <w:szCs w:val="40"/>
        </w:rPr>
        <w:lastRenderedPageBreak/>
        <w:t>APPENDIX B</w:t>
      </w:r>
    </w:p>
    <w:p w:rsidR="0015244F" w:rsidRDefault="0015244F"/>
    <w:p w:rsidR="0015244F" w:rsidRDefault="00A565B8">
      <w:pPr>
        <w:pStyle w:val="Heading1"/>
        <w:jc w:val="center"/>
      </w:pPr>
      <w:r>
        <w:t>FEATURE INVENTORY</w:t>
      </w:r>
    </w:p>
    <w:p w:rsidR="0015244F" w:rsidRDefault="0015244F"/>
    <w:p w:rsidR="0015244F" w:rsidRDefault="0015244F"/>
    <w:p w:rsidR="0015244F" w:rsidRDefault="00A565B8">
      <w:pPr>
        <w:ind w:firstLine="567"/>
        <w:jc w:val="both"/>
      </w:pPr>
      <w:r>
        <w:t xml:space="preserve">The 107 features retained after the degenerate-feature filter of Section 4.6 are </w:t>
      </w:r>
      <w:proofErr w:type="spellStart"/>
      <w:r>
        <w:t>organised</w:t>
      </w:r>
      <w:proofErr w:type="spellEnd"/>
      <w:r>
        <w:t xml:space="preserve"> as follows. All rolling statistics are computed per drive over backward-looking windows closing at the prediction instant.</w:t>
      </w:r>
    </w:p>
    <w:p w:rsidR="0015244F" w:rsidRDefault="00A565B8">
      <w:pPr>
        <w:ind w:firstLine="567"/>
        <w:jc w:val="both"/>
      </w:pPr>
      <w:r>
        <w:rPr>
          <w:b/>
          <w:bCs/>
        </w:rPr>
        <w:t>Radio block (83 features).</w:t>
      </w:r>
      <w:r>
        <w:t xml:space="preserve"> For each of ser</w:t>
      </w:r>
      <w:r>
        <w:t>ving RSRP, serving RSRQ, serving SINR and the corresponding best-</w:t>
      </w:r>
      <w:proofErr w:type="spellStart"/>
      <w:r>
        <w:t>neighbour</w:t>
      </w:r>
      <w:proofErr w:type="spellEnd"/>
      <w:r>
        <w:t xml:space="preserve"> quantities: the instantaneous value; the rolling mean, standard deviation, range and first difference over 3, 5 and 10 second windows; and the serving-to-</w:t>
      </w:r>
      <w:proofErr w:type="spellStart"/>
      <w:r>
        <w:t>neighbour</w:t>
      </w:r>
      <w:proofErr w:type="spellEnd"/>
      <w:r>
        <w:t xml:space="preserve"> gap in each quant</w:t>
      </w:r>
      <w:r>
        <w:t>ity together with its rolling statistics over the same windows.</w:t>
      </w:r>
    </w:p>
    <w:p w:rsidR="0015244F" w:rsidRDefault="00A565B8">
      <w:pPr>
        <w:ind w:firstLine="567"/>
        <w:jc w:val="both"/>
      </w:pPr>
      <w:r>
        <w:rPr>
          <w:b/>
          <w:bCs/>
        </w:rPr>
        <w:t>Mobility block (17 features).</w:t>
      </w:r>
      <w:r>
        <w:t xml:space="preserve"> GPS speed and its rolling mean and standard deviation over 3, 5 and 10 s; heading and absolute heading change over the same windows; longitudinal acceleration and</w:t>
      </w:r>
      <w:r>
        <w:t xml:space="preserve"> its rolling statistics; and a stationarity indicator derived from the speed trace.</w:t>
      </w:r>
    </w:p>
    <w:p w:rsidR="0015244F" w:rsidRDefault="00A565B8">
      <w:pPr>
        <w:ind w:firstLine="567"/>
        <w:jc w:val="both"/>
      </w:pPr>
      <w:proofErr w:type="spellStart"/>
      <w:r>
        <w:rPr>
          <w:b/>
          <w:bCs/>
        </w:rPr>
        <w:t>Signalling</w:t>
      </w:r>
      <w:proofErr w:type="spellEnd"/>
      <w:r>
        <w:rPr>
          <w:b/>
          <w:bCs/>
        </w:rPr>
        <w:t xml:space="preserve"> block (13 features).</w:t>
      </w:r>
      <w:r>
        <w:t xml:space="preserve"> Counts of measurement reports by event type within the preceding 5 and 10 s; time since the most recent report of each type, subject to the </w:t>
      </w:r>
      <w:r>
        <w:t>leakage guard of Section 4.6; the identifier of the report configuration in force; and the offset and time-to-trigger values it carries.</w:t>
      </w:r>
    </w:p>
    <w:p w:rsidR="0015244F" w:rsidRDefault="00A565B8">
      <w:pPr>
        <w:ind w:firstLine="567"/>
        <w:jc w:val="both"/>
      </w:pPr>
      <w:r>
        <w:rPr>
          <w:b/>
          <w:bCs/>
        </w:rPr>
        <w:t>History block (7 features).</w:t>
      </w:r>
      <w:r>
        <w:t xml:space="preserve"> Serving dwell time; time since the previous handover command; the count of handover command</w:t>
      </w:r>
      <w:r>
        <w:t>s within the preceding 30 and 60 s; the number of distinct serving cells within the preceding 60 s; and an indicator of whether the previous handover was a return to the cell before it.</w:t>
      </w:r>
    </w:p>
    <w:p w:rsidR="0015244F" w:rsidRDefault="00A565B8">
      <w:pPr>
        <w:pageBreakBefore/>
        <w:jc w:val="center"/>
      </w:pPr>
      <w:r>
        <w:rPr>
          <w:b/>
          <w:bCs/>
          <w:sz w:val="40"/>
          <w:szCs w:val="40"/>
        </w:rPr>
        <w:lastRenderedPageBreak/>
        <w:t>APPENDIX C</w:t>
      </w:r>
    </w:p>
    <w:p w:rsidR="0015244F" w:rsidRDefault="0015244F"/>
    <w:p w:rsidR="0015244F" w:rsidRDefault="00A565B8">
      <w:pPr>
        <w:pStyle w:val="Heading1"/>
        <w:jc w:val="center"/>
      </w:pPr>
      <w:r>
        <w:t>REPRODUCTION NOTES</w:t>
      </w:r>
    </w:p>
    <w:p w:rsidR="0015244F" w:rsidRDefault="0015244F"/>
    <w:p w:rsidR="0015244F" w:rsidRDefault="0015244F"/>
    <w:p w:rsidR="0015244F" w:rsidRDefault="00A565B8">
      <w:pPr>
        <w:ind w:firstLine="567"/>
        <w:jc w:val="both"/>
      </w:pPr>
      <w:r>
        <w:t xml:space="preserve">The analysis pipeline is </w:t>
      </w:r>
      <w:proofErr w:type="spellStart"/>
      <w:r>
        <w:t>organised</w:t>
      </w:r>
      <w:proofErr w:type="spellEnd"/>
      <w:r>
        <w:t xml:space="preserve"> as</w:t>
      </w:r>
      <w:r>
        <w:t xml:space="preserve"> a sequence of numbered stages, each of which writes its outputs to a versioned directory and records the configuration under which it ran. The stages are, in order: </w:t>
      </w:r>
      <w:proofErr w:type="spellStart"/>
      <w:r>
        <w:t>signalling</w:t>
      </w:r>
      <w:proofErr w:type="spellEnd"/>
      <w:r>
        <w:t xml:space="preserve"> decoding and configuration-timeline construction; drive segmentation and qualit</w:t>
      </w:r>
      <w:r>
        <w:t>y control; feature construction; long-format expansion for the hazard formulation; model fitting under the grouped rotation; calibration; conformal threshold certification; event-level scoring; transfer and external validation; and point-process fitting wi</w:t>
      </w:r>
      <w:r>
        <w:t>th residual testing.</w:t>
      </w:r>
    </w:p>
    <w:p w:rsidR="0015244F" w:rsidRDefault="00A565B8">
      <w:pPr>
        <w:ind w:firstLine="567"/>
        <w:jc w:val="both"/>
      </w:pPr>
      <w:r>
        <w:t xml:space="preserve">Two conventions are enforced throughout and are worth recording because they are the source of most reproduction failures in work of this kind. First, no stage may read a file written by a later stage, which makes the dependency order </w:t>
      </w:r>
      <w:r>
        <w:t xml:space="preserve">a directed acyclic graph that can be verified mechanically. Second, every table reported in Chapters 4 and 5 is regenerated from the stage outputs rather than transcribed, so that a change in an upstream stage propagates to the report rather than silently </w:t>
      </w:r>
      <w:r>
        <w:t>disagreeing with it.</w:t>
      </w:r>
    </w:p>
    <w:p w:rsidR="0015244F" w:rsidRDefault="00A565B8">
      <w:pPr>
        <w:ind w:firstLine="567"/>
        <w:jc w:val="both"/>
      </w:pPr>
      <w:r>
        <w:t xml:space="preserve">The modelling decisions frozen before the fourth measurement campaign are recorded in a manifest fixing the feature set, the formulation, the model family, the </w:t>
      </w:r>
      <w:proofErr w:type="spellStart"/>
      <w:r>
        <w:t>hyperparameter</w:t>
      </w:r>
      <w:proofErr w:type="spellEnd"/>
      <w:r>
        <w:t xml:space="preserve"> search space and the evaluation protocol. The out-of-sample </w:t>
      </w:r>
      <w:r>
        <w:t>status of the highway result in Section 5.6 rests on that manifest.</w:t>
      </w:r>
    </w:p>
    <w:p w:rsidR="0015244F" w:rsidRDefault="00A565B8">
      <w:pPr>
        <w:ind w:firstLine="567"/>
        <w:jc w:val="both"/>
      </w:pPr>
      <w:r>
        <w:t>APPENDIX D</w:t>
      </w:r>
      <w:proofErr w:type="spellStart"/>
      <w:r/>
      <w:proofErr w:type="spellEnd"/>
      <w:r/>
      <w:r/>
    </w:p>
    <w:p w:rsidR="0015244F" w:rsidRDefault="00A565B8">
      <w:pPr>
        <w:pStyle w:val="Heading1"/>
        <w:ind w:firstLine="567"/>
        <w:jc w:val="both"/>
      </w:pPr>
      <w:r>
        <w:t>THE 22 AUDITED MODELS</w:t>
      </w:r>
      <w:proofErr w:type="spellStart"/>
      <w:r/>
      <w:proofErr w:type="spellEnd"/>
      <w:r/>
      <w:r/>
    </w:p>
    <w:p w:rsidR="0015244F" w:rsidRDefault="00A565B8">
      <w:pPr>
        <w:ind w:firstLine="567"/>
        <w:jc w:val="both"/>
      </w:pPr>
      <w:r>
        <w:t>Table D.1 lists every model audited in Section 2.3, so that each row of Table 2.1 can be checked. The screening set was 108 publications; these 22 are those presenting a learned or analytical model that predicts handover, radio-link failure or next-cell occupancy.</w:t>
      </w:r>
      <w:proofErr w:type="spellStart"/>
      <w:r/>
      <w:proofErr w:type="spellEnd"/>
      <w:r/>
      <w:r/>
    </w:p>
    <w:p w:rsidR="0015244F" w:rsidRDefault="00A565B8">
      <w:pPr>
        <w:pStyle w:val="TableCaption"/>
        <w:ind w:firstLine="567"/>
        <w:jc w:val="both"/>
      </w:pPr>
      <w:r>
        <w:t>Table D.1 The 22 audited prediction models.</w:t>
      </w:r>
      <w:proofErr w:type="spellStart"/>
      <w:r/>
      <w:proofErr w:type="spellEnd"/>
      <w:r/>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gridCol/>
        <w:gridCol/>
        <w:gridCol/>
      </w:tblGrid>
      <w:tr>
        <w:tc>
          <w:tcPr/>
          <w:p>
            <w:r>
              <w:t>#</w:t>
            </w:r>
          </w:p>
        </w:tc>
        <w:tc>
          <w:tcPr/>
          <w:p>
            <w:r>
              <w:t>Model</w:t>
            </w:r>
          </w:p>
        </w:tc>
        <w:tc>
          <w:tcPr/>
          <w:p>
            <w:r>
              <w:t>Year</w:t>
            </w:r>
          </w:p>
        </w:tc>
        <w:tc>
          <w:tcPr/>
          <w:p>
            <w:r>
              <w:t>Venue</w:t>
            </w:r>
          </w:p>
        </w:tc>
        <w:tc>
          <w:tcPr/>
          <w:p>
            <w:r>
              <w:t>Data</w:t>
            </w:r>
          </w:p>
        </w:tc>
        <w:tc>
          <w:tcPr/>
          <w:p>
            <w:r>
              <w:t>Split protocol</w:t>
            </w:r>
          </w:p>
        </w:tc>
        <w:tc>
          <w:tcPr/>
          <w:p>
            <w:r>
              <w:t>Prevalence-aware metric</w:t>
            </w:r>
          </w:p>
        </w:tc>
        <w:tc>
          <w:tcPr/>
          <w:p>
            <w:r>
              <w:t>Calibration</w:t>
            </w:r>
          </w:p>
        </w:tc>
      </w:tr>
      <w:tr>
        <w:tc>
          <w:tcPr/>
          <w:p>
            <w:r>
              <w:t>1</w:t>
            </w:r>
          </w:p>
        </w:tc>
        <w:tc>
          <w:tcPr/>
          <w:p>
            <w:r>
              <w:t>Chou et al., Learning-based RLF Prediction (Railway)</w:t>
            </w:r>
          </w:p>
        </w:tc>
        <w:tc>
          <w:tcPr/>
          <w:p>
            <w:r>
              <w:t>2026</w:t>
            </w:r>
          </w:p>
        </w:tc>
        <w:tc>
          <w:tcPr/>
          <w:p>
            <w:r>
              <w:t>arXiv:2511.08851</w:t>
            </w:r>
          </w:p>
        </w:tc>
        <w:tc>
          <w:tcPr/>
          <w:p>
            <w:r>
              <w:t>REAL-MEASURED</w:t>
            </w:r>
          </w:p>
        </w:tc>
        <w:tc>
          <w:tcPr/>
          <w:p>
            <w:r>
              <w:t>NOT STATED</w:t>
            </w:r>
          </w:p>
        </w:tc>
        <w:tc>
          <w:tcPr/>
          <w:p>
            <w:r>
              <w:t>no</w:t>
            </w:r>
          </w:p>
        </w:tc>
        <w:tc>
          <w:tcPr/>
          <w:p>
            <w:r>
              <w:t>no</w:t>
            </w:r>
          </w:p>
        </w:tc>
      </w:tr>
      <w:tr>
        <w:tc>
          <w:tcPr/>
          <w:p>
            <w:r>
              <w:t>2</w:t>
            </w:r>
          </w:p>
        </w:tc>
        <w:tc>
          <w:tcPr/>
          <w:p>
            <w:r>
              <w:t>Kabeer et al., Sequence-Based DL for Handover Optimization</w:t>
            </w:r>
          </w:p>
        </w:tc>
        <w:tc>
          <w:tcPr/>
          <w:p>
            <w:r>
              <w:t>2025</w:t>
            </w:r>
          </w:p>
        </w:tc>
        <w:tc>
          <w:tcPr/>
          <w:p>
            <w:r>
              <w:t>arXiv:2510.02958</w:t>
            </w:r>
          </w:p>
        </w:tc>
        <w:tc>
          <w:tcPr/>
          <w:p>
            <w:r>
              <w:t>REAL-MEASURED</w:t>
            </w:r>
          </w:p>
        </w:tc>
        <w:tc>
          <w:tcPr/>
          <w:p>
            <w:r>
              <w:t>NOT STATED</w:t>
            </w:r>
          </w:p>
        </w:tc>
        <w:tc>
          <w:tcPr/>
          <w:p>
            <w:r>
              <w:t>no</w:t>
            </w:r>
          </w:p>
        </w:tc>
        <w:tc>
          <w:tcPr/>
          <w:p>
            <w:r>
              <w:t>no</w:t>
            </w:r>
          </w:p>
        </w:tc>
      </w:tr>
      <w:tr>
        <w:tc>
          <w:tcPr/>
          <w:p>
            <w:r>
              <w:t>3</w:t>
            </w:r>
          </w:p>
        </w:tc>
        <w:tc>
          <w:tcPr/>
          <w:p>
            <w:r>
              <w:t>Dzaferagic et al., ML-Based HO Prediction over Real O-RAN</w:t>
            </w:r>
          </w:p>
        </w:tc>
        <w:tc>
          <w:tcPr/>
          <w:p>
            <w:r>
              <w:t>2024</w:t>
            </w:r>
          </w:p>
        </w:tc>
        <w:tc>
          <w:tcPr/>
          <w:p>
            <w:r>
              <w:t>IEEE TNSM</w:t>
            </w:r>
          </w:p>
        </w:tc>
        <w:tc>
          <w:tcPr/>
          <w:p>
            <w:r>
              <w:t>REAL TESTBED</w:t>
            </w:r>
          </w:p>
        </w:tc>
        <w:tc>
          <w:tcPr/>
          <w:p>
            <w:r>
              <w:t>NOT STATED</w:t>
            </w:r>
          </w:p>
        </w:tc>
        <w:tc>
          <w:tcPr/>
          <w:p>
            <w:r>
              <w:t>precision/recall</w:t>
            </w:r>
          </w:p>
        </w:tc>
        <w:tc>
          <w:tcPr/>
          <w:p>
            <w:r>
              <w:t>no</w:t>
            </w:r>
          </w:p>
        </w:tc>
      </w:tr>
      <w:tr>
        <w:tc>
          <w:tcPr/>
          <w:p>
            <w:r>
              <w:t>4</w:t>
            </w:r>
          </w:p>
        </w:tc>
        <w:tc>
          <w:tcPr/>
          <w:p>
            <w:r>
              <w:t>Panitsas et al., Predictive Handover Strategy in 6G</w:t>
            </w:r>
          </w:p>
        </w:tc>
        <w:tc>
          <w:tcPr/>
          <w:p>
            <w:r>
              <w:t>2024</w:t>
            </w:r>
          </w:p>
        </w:tc>
        <w:tc>
          <w:tcPr/>
          <w:p>
            <w:r>
              <w:t>arXiv:2404.08113</w:t>
            </w:r>
          </w:p>
        </w:tc>
        <w:tc>
          <w:tcPr/>
          <w:p>
            <w:r>
              <w:t>SIMULATED</w:t>
            </w:r>
          </w:p>
        </w:tc>
        <w:tc>
          <w:tcPr/>
          <w:p>
            <w:r>
              <w:t>80/20 with 10-fold CV (title changed between versions)</w:t>
            </w:r>
          </w:p>
        </w:tc>
        <w:tc>
          <w:tcPr/>
          <w:p>
            <w:r>
              <w:t>precision/recall</w:t>
            </w:r>
          </w:p>
        </w:tc>
        <w:tc>
          <w:tcPr/>
          <w:p>
            <w:r>
              <w:t>no</w:t>
            </w:r>
          </w:p>
        </w:tc>
      </w:tr>
      <w:tr>
        <w:tc>
          <w:tcPr/>
          <w:p>
            <w:r>
              <w:t>5</w:t>
            </w:r>
          </w:p>
        </w:tc>
        <w:tc>
          <w:tcPr/>
          <w:p>
            <w:r>
              <w:t>Boutiba et al., Radio Link Failure Prediction in 5G</w:t>
            </w:r>
          </w:p>
        </w:tc>
        <w:tc>
          <w:tcPr/>
          <w:p>
            <w:r>
              <w:t>2021</w:t>
            </w:r>
          </w:p>
        </w:tc>
        <w:tc>
          <w:tcPr/>
          <w:p>
            <w:r>
              <w:t>IEEE GLOBECOM</w:t>
            </w:r>
          </w:p>
        </w:tc>
        <w:tc>
          <w:tcPr/>
          <w:p>
            <w:r>
              <w:t>REAL TESTBED</w:t>
            </w:r>
          </w:p>
        </w:tc>
        <w:tc>
          <w:tcPr/>
          <w:p>
            <w:r>
              <w:t>two separate sets, unspecified</w:t>
            </w:r>
          </w:p>
        </w:tc>
        <w:tc>
          <w:tcPr/>
          <w:p>
            <w:r>
              <w:t>precision/recall</w:t>
            </w:r>
          </w:p>
        </w:tc>
        <w:tc>
          <w:tcPr/>
          <w:p>
            <w:r>
              <w:t>no</w:t>
            </w:r>
          </w:p>
        </w:tc>
      </w:tr>
      <w:tr>
        <w:tc>
          <w:tcPr/>
          <w:p>
            <w:r>
              <w:t>6</w:t>
            </w:r>
          </w:p>
        </w:tc>
        <w:tc>
          <w:tcPr/>
          <w:p>
            <w:r>
              <w:t>Mandapati, Meta-Continual Mobility Forecasting</w:t>
            </w:r>
          </w:p>
        </w:tc>
        <w:tc>
          <w:tcPr/>
          <w:p>
            <w:r>
              <w:t>2025</w:t>
            </w:r>
          </w:p>
        </w:tc>
        <w:tc>
          <w:tcPr/>
          <w:p>
            <w:r>
              <w:t>arXiv:2512.11841</w:t>
            </w:r>
          </w:p>
        </w:tc>
        <w:tc>
          <w:tcPr/>
          <w:p>
            <w:r>
              <w:t>HYBRID (GeoLife + ray trace)</w:t>
            </w:r>
          </w:p>
        </w:tc>
        <w:tc>
          <w:tcPr/>
          <w:p>
            <w:r>
              <w:t>spatial zone hold-out</w:t>
            </w:r>
          </w:p>
        </w:tc>
        <w:tc>
          <w:tcPr/>
          <w:p>
            <w:r>
              <w:t>no</w:t>
            </w:r>
          </w:p>
        </w:tc>
        <w:tc>
          <w:tcPr/>
          <w:p>
            <w:r>
              <w:t>no</w:t>
            </w:r>
          </w:p>
        </w:tc>
      </w:tr>
      <w:tr>
        <w:tc>
          <w:tcPr/>
          <w:p>
            <w:r>
              <w:t>7</w:t>
            </w:r>
          </w:p>
        </w:tc>
        <w:tc>
          <w:tcPr/>
          <w:p>
            <w:r>
              <w:t>Chien et al., Privacy-Preserving HO Optimization (FL+LSTM)</w:t>
            </w:r>
          </w:p>
        </w:tc>
        <w:tc>
          <w:tcPr/>
          <w:p>
            <w:r>
              <w:t>2024</w:t>
            </w:r>
          </w:p>
        </w:tc>
        <w:tc>
          <w:tcPr/>
          <w:p>
            <w:r>
              <w:t>Sensors 24(20):6685</w:t>
            </w:r>
          </w:p>
        </w:tc>
        <w:tc>
          <w:tcPr/>
          <w:p>
            <w:r>
              <w:t>UNVERIFIED "real-world"</w:t>
            </w:r>
          </w:p>
        </w:tc>
        <w:tc>
          <w:tcPr/>
          <w:p>
            <w:r>
              <w:t>NOT STATED</w:t>
            </w:r>
          </w:p>
        </w:tc>
        <w:tc>
          <w:tcPr/>
          <w:p>
            <w:r>
              <w:t>no</w:t>
            </w:r>
          </w:p>
        </w:tc>
        <w:tc>
          <w:tcPr/>
          <w:p>
            <w:r>
              <w:t>no</w:t>
            </w:r>
          </w:p>
        </w:tc>
      </w:tr>
      <w:tr>
        <w:tc>
          <w:tcPr/>
          <w:p>
            <w:r>
              <w:t>8</w:t>
            </w:r>
          </w:p>
        </w:tc>
        <w:tc>
          <w:tcPr/>
          <w:p>
            <w:r>
              <w:t>Wadud et al., AI-Driven Multi-Modal Adaptive HO Control</w:t>
            </w:r>
          </w:p>
        </w:tc>
        <w:tc>
          <w:tcPr/>
          <w:p>
            <w:r>
              <w:t>2026</w:t>
            </w:r>
          </w:p>
        </w:tc>
        <w:tc>
          <w:tcPr/>
          <w:p>
            <w:r>
              <w:t>arXiv:2603.17158</w:t>
            </w:r>
          </w:p>
        </w:tc>
        <w:tc>
          <w:tcPr/>
          <w:p>
            <w:r>
              <w:t>SIMULATED</w:t>
            </w:r>
          </w:p>
        </w:tc>
        <w:tc>
          <w:tcPr/>
          <w:p>
            <w:r>
              <w:t>NOT STATED for the ML components</w:t>
            </w:r>
          </w:p>
        </w:tc>
        <w:tc>
          <w:tcPr/>
          <w:p>
            <w:r>
              <w:t>precision/recall</w:t>
            </w:r>
          </w:p>
        </w:tc>
        <w:tc>
          <w:tcPr/>
          <w:p>
            <w:r>
              <w:t>CI over 30 runs</w:t>
            </w:r>
          </w:p>
        </w:tc>
      </w:tr>
      <w:tr>
        <w:tc>
          <w:tcPr/>
          <w:p>
            <w:r>
              <w:t>9</w:t>
            </w:r>
          </w:p>
        </w:tc>
        <w:tc>
          <w:tcPr/>
          <w:p>
            <w:r>
              <w:t>Amirova et al., Data-Driven ML Analysis of HO Behavior</w:t>
            </w:r>
          </w:p>
        </w:tc>
        <w:tc>
          <w:tcPr/>
          <w:p>
            <w:r>
              <w:t>2026</w:t>
            </w:r>
          </w:p>
        </w:tc>
        <w:tc>
          <w:tcPr/>
          <w:p>
            <w:r>
              <w:t>Future Internet 18(6):290</w:t>
            </w:r>
          </w:p>
        </w:tc>
        <w:tc>
          <w:tcPr/>
          <w:p>
            <w:r>
              <w:t>REAL-MEASURED</w:t>
            </w:r>
          </w:p>
        </w:tc>
        <w:tc>
          <w:tcPr/>
          <w:p>
            <w:r>
              <w:t>device-level hold-out</w:t>
            </w:r>
          </w:p>
        </w:tc>
        <w:tc>
          <w:tcPr/>
          <w:p>
            <w:r>
              <w:t>YES (PR curve + AUC CI)</w:t>
            </w:r>
          </w:p>
        </w:tc>
        <w:tc>
          <w:tcPr/>
          <w:p>
            <w:r>
              <w:t>bootstrap CI on AUC only</w:t>
            </w:r>
          </w:p>
        </w:tc>
      </w:tr>
      <w:tr>
        <w:tc>
          <w:tcPr/>
          <w:p>
            <w:r>
              <w:t>10</w:t>
            </w:r>
          </w:p>
        </w:tc>
        <w:tc>
          <w:tcPr/>
          <w:p>
            <w:r>
              <w:t>Bartsioka et al., Intelligent Dynamic Handover via AI Signal Quality</w:t>
            </w:r>
          </w:p>
        </w:tc>
        <w:tc>
          <w:tcPr/>
          <w:p>
            <w:r>
              <w:t>2025</w:t>
            </w:r>
          </w:p>
        </w:tc>
        <w:tc>
          <w:tcPr/>
          <w:p>
            <w:r>
              <w:t>arXiv:2510.14832</w:t>
            </w:r>
          </w:p>
        </w:tc>
        <w:tc>
          <w:tcPr/>
          <w:p>
            <w:r>
              <w:t>SIMULATED</w:t>
            </w:r>
          </w:p>
        </w:tc>
        <w:tc>
          <w:tcPr/>
          <w:p>
            <w:r>
              <w:t>random 80/20</w:t>
            </w:r>
          </w:p>
        </w:tc>
        <w:tc>
          <w:tcPr/>
          <w:p>
            <w:r>
              <w:t>n/a (regression)</w:t>
            </w:r>
          </w:p>
        </w:tc>
        <w:tc>
          <w:tcPr/>
          <w:p>
            <w:r>
              <w:t>no</w:t>
            </w:r>
          </w:p>
        </w:tc>
      </w:tr>
      <w:tr>
        <w:tc>
          <w:tcPr/>
          <w:p>
            <w:r>
              <w:t>11</w:t>
            </w:r>
          </w:p>
        </w:tc>
        <w:tc>
          <w:tcPr/>
          <w:p>
            <w:r>
              <w:t>Sun et al., Proactive HO Type Prediction and Parameter Optimization</w:t>
            </w:r>
          </w:p>
        </w:tc>
        <w:tc>
          <w:tcPr/>
          <w:p>
            <w:r>
              <w:t>2025</w:t>
            </w:r>
          </w:p>
        </w:tc>
        <w:tc>
          <w:tcPr/>
          <w:p>
            <w:r>
              <w:t>IEEE TWC 24(4)</w:t>
            </w:r>
          </w:p>
        </w:tc>
        <w:tc>
          <w:tcPr/>
          <w:p>
            <w:r>
              <w:t>SIMULATED</w:t>
            </w:r>
          </w:p>
        </w:tc>
        <w:tc>
          <w:tcPr/>
          <w:p>
            <w:r>
              <w:t>NOT VERIFIED</w:t>
            </w:r>
          </w:p>
        </w:tc>
        <w:tc>
          <w:tcPr/>
          <w:p>
            <w:r>
              <w:t>not verified</w:t>
            </w:r>
          </w:p>
        </w:tc>
        <w:tc>
          <w:tcPr/>
          <w:p>
            <w:r>
              <w:t>not verified</w:t>
            </w:r>
          </w:p>
        </w:tc>
      </w:tr>
      <w:tr>
        <w:tc>
          <w:tcPr/>
          <w:p>
            <w:r>
              <w:t>12</w:t>
            </w:r>
          </w:p>
        </w:tc>
        <w:tc>
          <w:tcPr/>
          <w:p>
            <w:r>
              <w:t>Gonzalez Bermudez et al., GNNs for O-RAN Mobility Management</w:t>
            </w:r>
          </w:p>
        </w:tc>
        <w:tc>
          <w:tcPr/>
          <w:p>
            <w:r>
              <w:t>2025</w:t>
            </w:r>
          </w:p>
        </w:tc>
        <w:tc>
          <w:tcPr/>
          <w:p>
            <w:r>
              <w:t>arXiv:2502.02170</w:t>
            </w:r>
          </w:p>
        </w:tc>
        <w:tc>
          <w:tcPr/>
          <w:p>
            <w:r>
              <w:t>REAL-OPERATOR (Huawei)</w:t>
            </w:r>
          </w:p>
        </w:tc>
        <w:tc>
          <w:tcPr/>
          <w:p>
            <w:r>
              <w:t>random 80/10/10 edge split, structure-preserving</w:t>
            </w:r>
          </w:p>
        </w:tc>
        <w:tc>
          <w:tcPr/>
          <w:p>
            <w:r>
              <w:t>yes (AP alongside AUC)</w:t>
            </w:r>
          </w:p>
        </w:tc>
        <w:tc>
          <w:tcPr/>
          <w:p>
            <w:r>
              <w:t>threshold tuning for imbalance only</w:t>
            </w:r>
          </w:p>
        </w:tc>
      </w:tr>
      <w:tr>
        <w:tc>
          <w:tcPr/>
          <w:p>
            <w:r>
              <w:t>13</w:t>
            </w:r>
          </w:p>
        </w:tc>
        <w:tc>
          <w:tcPr/>
          <w:p>
            <w:r>
              <w:t>Hasan, Trappenberg &amp; Haque, Generalized Transformer RLF Prediction</w:t>
            </w:r>
          </w:p>
        </w:tc>
        <w:tc>
          <w:tcPr/>
          <w:p>
            <w:r>
              <w:t>2024</w:t>
            </w:r>
          </w:p>
        </w:tc>
        <w:tc>
          <w:tcPr/>
          <w:p>
            <w:r>
              <w:t>arXiv:2407.05197 (journal version IEEE Xplore 11018489)</w:t>
            </w:r>
          </w:p>
        </w:tc>
        <w:tc>
          <w:tcPr/>
          <w:p>
            <w:r>
              <w:t>REAL-OPERATOR (Turkcell)</w:t>
            </w:r>
          </w:p>
        </w:tc>
        <w:tc>
          <w:tcPr/>
          <w:p>
            <w:r>
              <w:t>rolling-origin temporal, 5 folds</w:t>
            </w:r>
          </w:p>
        </w:tc>
        <w:tc>
          <w:tcPr/>
          <w:p>
            <w:r>
              <w:t>no (F1 only)</w:t>
            </w:r>
          </w:p>
        </w:tc>
        <w:tc>
          <w:tcPr/>
          <w:p>
            <w:r>
              <w:t>no</w:t>
            </w:r>
          </w:p>
        </w:tc>
      </w:tr>
      <w:tr>
        <w:tc>
          <w:tcPr/>
          <w:p>
            <w:r>
              <w:t>14</w:t>
            </w:r>
          </w:p>
        </w:tc>
        <w:tc>
          <w:tcPr/>
          <w:p>
            <w:r>
              <w:t>Santana &amp; Dias, Open RAN-Enabled DL-Assisted Mobility Management</w:t>
            </w:r>
          </w:p>
        </w:tc>
        <w:tc>
          <w:tcPr/>
          <w:p>
            <w:r>
              <w:t>2024</w:t>
            </w:r>
          </w:p>
        </w:tc>
        <w:tc>
          <w:tcPr/>
          <w:p>
            <w:r>
              <w:t>arXiv:2412.21161</w:t>
            </w:r>
          </w:p>
        </w:tc>
        <w:tc>
          <w:tcPr/>
          <w:p>
            <w:r>
              <w:t>SIMULATED (OMNeT++/Simu5G) + real traces for seeding</w:t>
            </w:r>
          </w:p>
        </w:tc>
        <w:tc>
          <w:tcPr/>
          <w:p>
            <w:r>
              <w:t>NOT STATED</w:t>
            </w:r>
          </w:p>
        </w:tc>
        <w:tc>
          <w:tcPr/>
          <w:p>
            <w:r>
              <w:t>no</w:t>
            </w:r>
          </w:p>
        </w:tc>
        <w:tc>
          <w:tcPr/>
          <w:p>
            <w:r>
              <w:t>no</w:t>
            </w:r>
          </w:p>
        </w:tc>
      </w:tr>
      <w:tr>
        <w:tc>
          <w:tcPr/>
          <w:p>
            <w:r>
              <w:t>15</w:t>
            </w:r>
          </w:p>
        </w:tc>
        <w:tc>
          <w:tcPr/>
          <w:p>
            <w:r>
              <w:t>Narayana et al., AI-Native Mobility in 6G (dataset paper)</w:t>
            </w:r>
          </w:p>
        </w:tc>
        <w:tc>
          <w:tcPr/>
          <w:p>
            <w:r>
              <w:t>2026</w:t>
            </w:r>
          </w:p>
        </w:tc>
        <w:tc>
          <w:tcPr/>
          <w:p>
            <w:r>
              <w:t>arXiv:2605.12453</w:t>
            </w:r>
          </w:p>
        </w:tc>
        <w:tc>
          <w:tcPr/>
          <w:p>
            <w:r>
              <w:t>REAL-MEASURED (commercial 5G SA, n78)</w:t>
            </w:r>
          </w:p>
        </w:tc>
        <w:tc>
          <w:tcPr/>
          <w:p>
            <w:r>
              <w:t>n/a - no models trained</w:t>
            </w:r>
          </w:p>
        </w:tc>
        <w:tc>
          <w:tcPr/>
          <w:p>
            <w:r>
              <w:t>nan</w:t>
            </w:r>
          </w:p>
        </w:tc>
        <w:tc>
          <w:tcPr/>
          <w:p>
            <w:r>
              <w:t>nan</w:t>
            </w:r>
          </w:p>
        </w:tc>
      </w:tr>
      <w:tr>
        <w:tc>
          <w:tcPr/>
          <w:p>
            <w:r>
              <w:t>16</w:t>
            </w:r>
          </w:p>
        </w:tc>
        <w:tc>
          <w:tcPr/>
          <w:p>
            <w:r>
              <w:t>Wu et al., DL for Moving Blockage Prediction (real mmWave)</w:t>
            </w:r>
          </w:p>
        </w:tc>
        <w:tc>
          <w:tcPr/>
          <w:p>
            <w:r>
              <w:t>2022</w:t>
            </w:r>
          </w:p>
        </w:tc>
        <w:tc>
          <w:tcPr/>
          <w:p>
            <w:r>
              <w:t>arXiv:2101.06886 / IEEE ICC</w:t>
            </w:r>
          </w:p>
        </w:tc>
        <w:tc>
          <w:tcPr/>
          <w:p>
            <w:r>
              <w:t>REAL-MEASURED (mmWave testbed)</w:t>
            </w:r>
          </w:p>
        </w:tc>
        <w:tc>
          <w:tcPr/>
          <w:p>
            <w:r>
              <w:t>NOT STATED</w:t>
            </w:r>
          </w:p>
        </w:tc>
        <w:tc>
          <w:tcPr/>
          <w:p>
            <w:r>
              <w:t>no</w:t>
            </w:r>
          </w:p>
        </w:tc>
        <w:tc>
          <w:tcPr/>
          <w:p>
            <w:r>
              <w:t>no</w:t>
            </w:r>
          </w:p>
        </w:tc>
      </w:tr>
      <w:tr>
        <w:tc>
          <w:tcPr/>
          <w:p>
            <w:r>
              <w:t>17</w:t>
            </w:r>
          </w:p>
        </w:tc>
        <w:tc>
          <w:tcPr/>
          <w:p>
            <w:r>
              <w:t>Lee et al., Prediction-Based Conditional Handover (5G mm-Wave)</w:t>
            </w:r>
          </w:p>
        </w:tc>
        <w:tc>
          <w:tcPr/>
          <w:p>
            <w:r>
              <w:t>2020</w:t>
            </w:r>
          </w:p>
        </w:tc>
        <w:tc>
          <w:tcPr/>
          <w:p>
            <w:r>
              <w:t>IEEE Veh. Technol. Magazine 15(1):54-62</w:t>
            </w:r>
          </w:p>
        </w:tc>
        <w:tc>
          <w:tcPr/>
          <w:p>
            <w:r>
              <w:t>SIMULATED</w:t>
            </w:r>
          </w:p>
        </w:tc>
        <w:tc>
          <w:tcPr/>
          <w:p>
            <w:r>
              <w:t>NOT STATED</w:t>
            </w:r>
          </w:p>
        </w:tc>
        <w:tc>
          <w:tcPr/>
          <w:p>
            <w:r>
              <w:t>no</w:t>
            </w:r>
          </w:p>
        </w:tc>
        <w:tc>
          <w:tcPr/>
          <w:p>
            <w:r>
              <w:t>no</w:t>
            </w:r>
          </w:p>
        </w:tc>
      </w:tr>
      <w:tr>
        <w:tc>
          <w:tcPr/>
          <w:p>
            <w:r>
              <w:t>18</w:t>
            </w:r>
          </w:p>
        </w:tc>
        <w:tc>
          <w:tcPr/>
          <w:p>
            <w:r>
              <w:t>Mehregan &amp; De Grande, TH-GCN Throughput-Oriented Handover (GCN)</w:t>
            </w:r>
          </w:p>
        </w:tc>
        <w:tc>
          <w:tcPr/>
          <w:p>
            <w:r>
              <w:t>2025</w:t>
            </w:r>
          </w:p>
        </w:tc>
        <w:tc>
          <w:tcPr/>
          <w:p>
            <w:r>
              <w:t>arXiv:2505.04894 (IEEE DCOSS-IoT 2025)</w:t>
            </w:r>
          </w:p>
        </w:tc>
        <w:tc>
          <w:tcPr/>
          <w:p>
            <w:r>
              <w:t>SIMULATED</w:t>
            </w:r>
          </w:p>
        </w:tc>
        <w:tc>
          <w:tcPr/>
          <w:p>
            <w:r>
              <w:t>NOT STATED</w:t>
            </w:r>
          </w:p>
        </w:tc>
        <w:tc>
          <w:tcPr/>
          <w:p>
            <w:r>
              <w:t>no</w:t>
            </w:r>
          </w:p>
        </w:tc>
        <w:tc>
          <w:tcPr/>
          <w:p>
            <w:r>
              <w:t>no</w:t>
            </w:r>
          </w:p>
        </w:tc>
      </w:tr>
      <w:tr>
        <w:tc>
          <w:tcPr/>
          <w:p>
            <w:r>
              <w:t>19</w:t>
            </w:r>
          </w:p>
        </w:tc>
        <w:tc>
          <w:tcPr/>
          <w:p>
            <w:r>
              <w:t>Dinh, Fazio &amp; Voznak, Mobility and Resource Prediction for 5G Small Cells</w:t>
            </w:r>
          </w:p>
        </w:tc>
        <w:tc>
          <w:tcPr/>
          <w:p>
            <w:r>
              <w:t>2026</w:t>
            </w:r>
          </w:p>
        </w:tc>
        <w:tc>
          <w:tcPr/>
          <w:p>
            <w:r>
              <w:t>PLOS ONE 21(8):e0355372</w:t>
            </w:r>
          </w:p>
        </w:tc>
        <w:tc>
          <w:tcPr/>
          <w:p>
            <w:r>
              <w:t>SIMULATED (SUMO over a real Singapore map)</w:t>
            </w:r>
          </w:p>
        </w:tc>
        <w:tc>
          <w:tcPr/>
          <w:p>
            <w:r>
              <w:t>hold-out by travel day</w:t>
            </w:r>
          </w:p>
        </w:tc>
        <w:tc>
          <w:tcPr/>
          <w:p>
            <w:r>
              <w:t>n/a (regression)</w:t>
            </w:r>
          </w:p>
        </w:tc>
        <w:tc>
          <w:tcPr/>
          <w:p>
            <w:r>
              <w:t>no</w:t>
            </w:r>
          </w:p>
        </w:tc>
      </w:tr>
      <w:tr>
        <w:tc>
          <w:tcPr/>
          <w:p>
            <w:r>
              <w:t>20</w:t>
            </w:r>
          </w:p>
        </w:tc>
        <w:tc>
          <w:tcPr/>
          <w:p>
            <w:r>
              <w:t>Safiullin et al., RL-Based Handover Algorithm for 5G/6G AI-RAN</w:t>
            </w:r>
          </w:p>
        </w:tc>
        <w:tc>
          <w:tcPr/>
          <w:p>
            <w:r>
              <w:t>2026</w:t>
            </w:r>
          </w:p>
        </w:tc>
        <w:tc>
          <w:tcPr/>
          <w:p>
            <w:r>
              <w:t>Inventions 11(1):8</w:t>
            </w:r>
          </w:p>
        </w:tc>
        <w:tc>
          <w:tcPr/>
          <w:p>
            <w:r>
              <w:t>SIMULATED (ns-3)</w:t>
            </w:r>
          </w:p>
        </w:tc>
        <w:tc>
          <w:tcPr/>
          <w:p>
            <w:r>
              <w:t>n/a (RL)</w:t>
            </w:r>
          </w:p>
        </w:tc>
        <w:tc>
          <w:tcPr/>
          <w:p>
            <w:r>
              <w:t>nan</w:t>
            </w:r>
          </w:p>
        </w:tc>
        <w:tc>
          <w:tcPr/>
          <w:p>
            <w:r>
              <w:t>no</w:t>
            </w:r>
          </w:p>
        </w:tc>
      </w:tr>
      <w:tr>
        <w:tc>
          <w:tcPr/>
          <w:p>
            <w:r>
              <w:t>21</w:t>
            </w:r>
          </w:p>
        </w:tc>
        <w:tc>
          <w:tcPr/>
          <w:p>
            <w:r>
              <w:t>Deb et al., Conditional Handover under Fading</w:t>
            </w:r>
          </w:p>
        </w:tc>
        <w:tc>
          <w:tcPr/>
          <w:p>
            <w:r>
              <w:t>2024</w:t>
            </w:r>
          </w:p>
        </w:tc>
        <w:tc>
          <w:tcPr/>
          <w:p>
            <w:r>
              <w:t>arXiv:2403.04379</w:t>
            </w:r>
          </w:p>
        </w:tc>
        <w:tc>
          <w:tcPr/>
          <w:p>
            <w:r>
              <w:t>ANALYTICAL + SIMULATED (Python + ns-3)</w:t>
            </w:r>
          </w:p>
        </w:tc>
        <w:tc>
          <w:tcPr/>
          <w:p>
            <w:r>
              <w:t>n/a (no learning)</w:t>
            </w:r>
          </w:p>
        </w:tc>
        <w:tc>
          <w:tcPr/>
          <w:p>
            <w:r>
              <w:t>nan</w:t>
            </w:r>
          </w:p>
        </w:tc>
        <w:tc>
          <w:tcPr/>
          <w:p>
            <w:r>
              <w:t>nan</w:t>
            </w:r>
          </w:p>
        </w:tc>
      </w:tr>
      <w:tr>
        <w:tc>
          <w:tcPr/>
          <w:p>
            <w:r>
              <w:t>22</w:t>
            </w:r>
          </w:p>
        </w:tc>
        <w:tc>
          <w:tcPr/>
          <w:p>
            <w:r>
              <w:t>Sanchez-Martin et al., GRIMCELL (GNN for new-cell impact)</w:t>
            </w:r>
          </w:p>
        </w:tc>
        <w:tc>
          <w:tcPr/>
          <w:p>
            <w:r>
              <w:t>2026</w:t>
            </w:r>
          </w:p>
        </w:tc>
        <w:tc>
          <w:tcPr/>
          <w:p>
            <w:r>
              <w:t>MAKE 8(9):260</w:t>
            </w:r>
          </w:p>
        </w:tc>
        <w:tc>
          <w:tcPr/>
          <w:p>
            <w:r>
              <w:t>REAL-OPERATOR (commercial LTE-A Pro)</w:t>
            </w:r>
          </w:p>
        </w:tc>
        <w:tc>
          <w:tcPr/>
          <w:p>
            <w:r>
              <w:t>hold-out over deployment events</w:t>
            </w:r>
          </w:p>
        </w:tc>
        <w:tc>
          <w:tcPr/>
          <w:p>
            <w:r>
              <w:t>n/a (regression)</w:t>
            </w:r>
          </w:p>
        </w:tc>
        <w:tc>
          <w:tcPr/>
          <w:p>
            <w:r>
              <w:t>no</w:t>
            </w:r>
          </w:p>
        </w:tc>
      </w:tr>
    </w:tbl>
    <w:sectPr w:rsidR="0015244F">
      <w:footerReference w:type="default" r:id="rId38"/>
      <w:pgSz w:w="12240" w:h="15840"/>
      <w:pgMar w:top="1418" w:right="1418" w:bottom="1418"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65B8" w:rsidRDefault="00A565B8">
      <w:pPr>
        <w:spacing w:line="240" w:lineRule="auto"/>
      </w:pPr>
      <w:r>
        <w:separator/>
      </w:r>
    </w:p>
  </w:endnote>
  <w:endnote w:type="continuationSeparator" w:id="0">
    <w:p w:rsidR="00A565B8" w:rsidRDefault="00A565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44F" w:rsidRDefault="00A565B8">
    <w:pPr>
      <w:spacing w:line="240" w:lineRule="auto"/>
      <w:jc w:val="center"/>
    </w:pPr>
    <w:r>
      <w:fldChar w:fldCharType="begin"/>
    </w:r>
    <w:r>
      <w:instrText>PAGE</w:instrText>
    </w:r>
    <w:r w:rsidR="007722DA">
      <w:fldChar w:fldCharType="separate"/>
    </w:r>
    <w:r w:rsidR="007722DA">
      <w:rPr>
        <w:noProof/>
      </w:rPr>
      <w:t>iii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44F" w:rsidRDefault="0015244F"/>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44F" w:rsidRDefault="00A565B8">
    <w:pPr>
      <w:spacing w:line="240" w:lineRule="auto"/>
      <w:jc w:val="center"/>
    </w:pPr>
    <w:r>
      <w:fldChar w:fldCharType="begin"/>
    </w:r>
    <w:r>
      <w:instrText>PAGE</w:instrText>
    </w:r>
    <w:r w:rsidR="007722DA">
      <w:fldChar w:fldCharType="separate"/>
    </w:r>
    <w:r w:rsidR="007722DA">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65B8" w:rsidRDefault="00A565B8">
      <w:pPr>
        <w:spacing w:line="240" w:lineRule="auto"/>
      </w:pPr>
      <w:r>
        <w:separator/>
      </w:r>
    </w:p>
  </w:footnote>
  <w:footnote w:type="continuationSeparator" w:id="0">
    <w:p w:rsidR="00A565B8" w:rsidRDefault="00A565B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90863"/>
    <w:multiLevelType w:val="hybridMultilevel"/>
    <w:tmpl w:val="BFDAB02A"/>
    <w:lvl w:ilvl="0" w:tplc="C0088ADE">
      <w:start w:val="1"/>
      <w:numFmt w:val="bullet"/>
      <w:lvlText w:val="●"/>
      <w:lvlJc w:val="left"/>
      <w:pPr>
        <w:ind w:left="720" w:hanging="360"/>
      </w:pPr>
    </w:lvl>
    <w:lvl w:ilvl="1" w:tplc="10DE58D2">
      <w:start w:val="1"/>
      <w:numFmt w:val="bullet"/>
      <w:lvlText w:val="○"/>
      <w:lvlJc w:val="left"/>
      <w:pPr>
        <w:ind w:left="1440" w:hanging="360"/>
      </w:pPr>
    </w:lvl>
    <w:lvl w:ilvl="2" w:tplc="C922A50E">
      <w:start w:val="1"/>
      <w:numFmt w:val="bullet"/>
      <w:lvlText w:val="■"/>
      <w:lvlJc w:val="left"/>
      <w:pPr>
        <w:ind w:left="2160" w:hanging="360"/>
      </w:pPr>
    </w:lvl>
    <w:lvl w:ilvl="3" w:tplc="7220B602">
      <w:start w:val="1"/>
      <w:numFmt w:val="bullet"/>
      <w:lvlText w:val="●"/>
      <w:lvlJc w:val="left"/>
      <w:pPr>
        <w:ind w:left="2880" w:hanging="360"/>
      </w:pPr>
    </w:lvl>
    <w:lvl w:ilvl="4" w:tplc="1444D15A">
      <w:start w:val="1"/>
      <w:numFmt w:val="bullet"/>
      <w:lvlText w:val="○"/>
      <w:lvlJc w:val="left"/>
      <w:pPr>
        <w:ind w:left="3600" w:hanging="360"/>
      </w:pPr>
    </w:lvl>
    <w:lvl w:ilvl="5" w:tplc="04988724">
      <w:start w:val="1"/>
      <w:numFmt w:val="bullet"/>
      <w:lvlText w:val="■"/>
      <w:lvlJc w:val="left"/>
      <w:pPr>
        <w:ind w:left="4320" w:hanging="360"/>
      </w:pPr>
    </w:lvl>
    <w:lvl w:ilvl="6" w:tplc="EF78521E">
      <w:start w:val="1"/>
      <w:numFmt w:val="bullet"/>
      <w:lvlText w:val="●"/>
      <w:lvlJc w:val="left"/>
      <w:pPr>
        <w:ind w:left="5040" w:hanging="360"/>
      </w:pPr>
    </w:lvl>
    <w:lvl w:ilvl="7" w:tplc="BA606784">
      <w:start w:val="1"/>
      <w:numFmt w:val="bullet"/>
      <w:lvlText w:val="●"/>
      <w:lvlJc w:val="left"/>
      <w:pPr>
        <w:ind w:left="5760" w:hanging="360"/>
      </w:pPr>
    </w:lvl>
    <w:lvl w:ilvl="8" w:tplc="9DB836D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44F"/>
    <w:rsid w:val="0015244F"/>
    <w:rsid w:val="007722DA"/>
    <w:rsid w:val="00A56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8846C"/>
  <w15:docId w15:val="{946D6197-E98B-4F59-82F1-B73BCDAF9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22DA"/>
  </w:style>
  <w:style w:type="paragraph" w:styleId="Heading1">
    <w:name w:val="heading 1"/>
    <w:qFormat/>
    <w:pPr>
      <w:outlineLvl w:val="0"/>
    </w:pPr>
    <w:rPr>
      <w:b/>
      <w:bCs/>
      <w:sz w:val="32"/>
      <w:szCs w:val="32"/>
    </w:rPr>
  </w:style>
  <w:style w:type="paragraph" w:styleId="Heading2">
    <w:name w:val="heading 2"/>
    <w:qFormat/>
    <w:pPr>
      <w:outlineLvl w:val="1"/>
    </w:pPr>
    <w:rPr>
      <w:b/>
      <w:bCs/>
    </w:rPr>
  </w:style>
  <w:style w:type="paragraph" w:styleId="Heading3">
    <w:name w:val="heading 3"/>
    <w:qFormat/>
    <w:pPr>
      <w:outlineLvl w:val="2"/>
    </w:pPr>
    <w:rPr>
      <w:b/>
      <w:bCs/>
    </w:rPr>
  </w:style>
  <w:style w:type="paragraph" w:styleId="Heading4">
    <w:name w:val="heading 4"/>
    <w:qFormat/>
    <w:pPr>
      <w:outlineLvl w:val="3"/>
    </w:pPr>
    <w:rPr>
      <w:i/>
      <w:iCs/>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qFormat/>
    <w:rPr>
      <w:sz w:val="22"/>
      <w:szCs w:val="22"/>
    </w:rPr>
  </w:style>
  <w:style w:type="paragraph" w:customStyle="1" w:styleId="TableCaption">
    <w:name w:val="Table Caption"/>
    <w:qFormat/>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2925806">
      <w:bodyDiv w:val="1"/>
      <w:marLeft w:val="0"/>
      <w:marRight w:val="0"/>
      <w:marTop w:val="0"/>
      <w:marBottom w:val="0"/>
      <w:divBdr>
        <w:top w:val="none" w:sz="0" w:space="0" w:color="auto"/>
        <w:left w:val="none" w:sz="0" w:space="0" w:color="auto"/>
        <w:bottom w:val="none" w:sz="0" w:space="0" w:color="auto"/>
        <w:right w:val="none" w:sz="0" w:space="0" w:color="auto"/>
      </w:divBdr>
    </w:div>
    <w:div w:id="20677553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95</Pages>
  <Words>22473</Words>
  <Characters>128098</Characters>
  <Application>Microsoft Office Word</Application>
  <DocSecurity>0</DocSecurity>
  <Lines>1067</Lines>
  <Paragraphs>300</Paragraphs>
  <ScaleCrop>false</ScaleCrop>
  <Company/>
  <LinksUpToDate>false</LinksUpToDate>
  <CharactersWithSpaces>150271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Uncertainty-Aware Multi-Horizon Handover Prediction from LTE Drive-Test Signalling</dc:title>
  <dc:creator>Abeer Saadman</dc:creator>
  <cp:lastModifiedBy>Abeer</cp:lastModifiedBy>
  <cp:revision>2</cp:revision>
  <dcterms:created xsi:type="dcterms:W3CDTF">2026-09-16T10:52:00Z</dcterms:created>
  <dcterms:modified xsi:type="dcterms:W3CDTF">2026-09-17T08:10:00Z</dcterms:modified>
</cp:coreProperties>
</file>