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 xml:space="preserve">Islamic University of </w:t>
      </w:r>
      <w:r>
        <w:rPr>
          <w:sz w:val="28"/>
          <w:szCs w:val="28"/>
        </w:rPr>
        <w:t>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r/>
      <w:proofErr w:type="spellStart"/>
      <w:r/>
      <w:proofErr w:type="spellEnd"/>
      <w:r/>
    </w:p>
    <w:p w:rsidR="0015244F" w:rsidRDefault="00A565B8">
      <w:pPr>
        <w:ind w:firstLine="567"/>
        <w:jc w:val="both"/>
      </w:pPr>
      <w:r>
        <w:t xml:space="preserve">I further declare that neither this thesis nor any part </w:t>
      </w:r>
      <w:r>
        <w:t>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bookmarkStart w:id="0" w:name="_GoBack"/>
      <w:bookmarkEnd w:id="0"/>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w:t>
      </w:r>
      <w:r>
        <w:t>Student ID:</w:t>
      </w:r>
      <w:r>
        <w:t xml:space="preserve"> 210021308)</w:t>
      </w:r>
    </w:p>
    <w:p w:rsidR="007722DA" w:rsidRDefault="007722DA">
      <w:pPr>
        <w:jc w:val="center"/>
      </w:pPr>
      <w:r>
        <w:t xml:space="preserve">Evan </w:t>
      </w:r>
      <w:proofErr w:type="spellStart"/>
      <w:r>
        <w:t>Ashfaque</w:t>
      </w:r>
      <w:proofErr w:type="spellEnd"/>
      <w:r>
        <w:t xml:space="preserve"> (</w:t>
      </w:r>
      <w:r>
        <w:t>Student ID:</w:t>
      </w:r>
      <w:r>
        <w:t xml:space="preserve">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 xml:space="preserve">All praise is due to Allah, the Most Gracious and the Most </w:t>
      </w:r>
      <w:r>
        <w:t>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r/>
    </w:p>
    <w:p w:rsidR="0015244F" w:rsidRDefault="00A565B8">
      <w:pPr>
        <w:ind w:firstLine="567"/>
        <w:jc w:val="both"/>
      </w:pPr>
      <w:r>
        <w:t>I thank the Departm</w:t>
      </w:r>
      <w:r>
        <w:t>ent of Electrical and Electronic Engineering for providing access to the drive-test instrumentation without which none of the measurement campaigns reported here could have been conducted, and the faculty members whose questions during the progress present</w:t>
      </w:r>
      <w:r>
        <w: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r/>
      <w:proofErr w:type="spellStart"/>
      <w:r/>
      <w:proofErr w:type="spellEnd"/>
      <w:r/>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an arm-wise decomposition attributes 96% of that fall to the serving-cell radio scalars, which change their referent when the assignment flips, and none of it to the loss of one second of kinematics. The defect is traced to its mechanism rather than reported as an anomaly: a row written at the end of its second carries the target cell exactly when the handover completes before that second closes, a prediction that fails for none of the 15 handovers here whose execution crosses the boundary. It replicates on 4,712 handovers from an independent XCAL corpus spanning 3 operators (93% contaminated under an end-of-second rule, 4% under a start-of-second rule on the same events) and is absent from a public log whose rows are instantaneous samples. Read deliberately, the same artefact recovers the sub-second serving-cell update delay from a one-hertz export. The task is posed as discrete-time survival: one model estimates per-interval hazards and horizon probabilities are products of hazards, so ordering holds by construction for any learner.</w:t>
      </w:r>
      <w:proofErr w:type="spellStart"/>
      <w:r/>
      <w:proofErr w:type="spellEnd"/>
      <w:r/>
      <w:r/>
      <w:proofErr w:type="spellStart"/>
      <w:r/>
      <w:proofErr w:type="spellEnd"/>
      <w:r/>
      <w:r/>
      <w:r/>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deployed A3 rule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 Scored as a warning rather than as a ranking, the system detects 34% of handover commands at the one-second horizon at 179 false alarms per hour with a median lead of 0.47 s, and 42% at five seconds at 70 per hour with a median lead of 3.31 s; no operating point measured here is deployable for target-cell preparation, and the contribution is the measurement framework rather than a deployable predictor. Distribution-free risk control is reported as a boundary result rather than a delivered guarantee: across campaigns the bound holds in 83% of 12 rotations because a corridor is a distribution shift, and at one second 36% of commands have no usable row in their lead window, so a per-handover bound is not expressible on a one-hertz grid at that horizon at any level.</w:t>
      </w:r>
      <w:r/>
      <w:r/>
      <w:r/>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The A3 conversion rate is shown to have no unit-free value: 63% of reports, 30% of trigger episodes under a loose rule that lets overlapping episodes claim the same command, and 73% once each command is matched to one episode. The separation between mobility and monitoring configurations survives all three and is widest under the strictest: 37% declined for the dominant mobility profile against 95% for the dominant monitoring profile.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r/>
      <w:proofErr w:type="spellStart"/>
      <w:r/>
      <w:proofErr w:type="spellEnd"/>
      <w:r/>
      <w:r/>
    </w:p>
    <w:p w:rsidR="0015244F" w:rsidRDefault="00A565B8">
      <w:pPr>
        <w:ind w:firstLine="567"/>
        <w:jc w:val="both"/>
      </w:pPr>
      <w:r>
        <w:rPr>
          <w:b w:val="0"/>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w:t>
      </w:r>
      <w:r>
        <w:rPr>
          <w:b/>
          <w:bCs/>
        </w:rPr>
        <w:t>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w:t>
      </w:r>
      <w:r>
        <w:t>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w:t>
      </w:r>
      <w:r>
        <w:t>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w:t>
      </w:r>
      <w:r>
        <w: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w:t>
      </w:r>
      <w:r>
        <w:t>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The risk-control frontier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and the unit it is counted in</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 and the cost of the audit</w:t>
        <w:tab/>
        <w:t>54</w:t>
      </w:r>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w:t>
      </w:r>
      <w:r>
        <w:t>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r>
      <w:r>
        <w:rPr>
          <w:b/>
          <w:bCs/>
        </w:rPr>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r/>
      <w:proofErr w:type="spellStart"/>
      <w:r/>
      <w:proofErr w:type="spellEnd"/>
      <w:r/>
      <w:proofErr w:type="spellStart"/>
      <w:r/>
      <w:proofErr w:type="spellEnd"/>
      <w:r/>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r/>
    </w:p>
    <w:p w:rsidR="0015244F" w:rsidRDefault="00A565B8">
      <w:pPr>
        <w:tabs>
          <w:tab w:val="right" w:leader="dot" w:pos="9008"/>
        </w:tabs>
        <w:spacing w:after="80" w:line="240" w:lineRule="auto"/>
        <w:ind w:right="113"/>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r/>
    </w:p>
    <w:p w:rsidR="0015244F" w:rsidRDefault="00A565B8">
      <w:pPr>
        <w:tabs>
          <w:tab w:val="right" w:leader="dot" w:pos="9008"/>
        </w:tabs>
        <w:spacing w:after="80" w:line="240" w:lineRule="auto"/>
        <w:ind w:right="113"/>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r/>
    </w:p>
    <w:p w:rsidR="0015244F" w:rsidRDefault="00A565B8">
      <w:pPr>
        <w:tabs>
          <w:tab w:val="right" w:leader="dot" w:pos="9008"/>
        </w:tabs>
        <w:spacing w:after="80" w:line="240" w:lineRule="auto"/>
        <w:ind w:right="113"/>
      </w:pPr>
      <w:r>
        <w:t>Figure 5.20 Nine cases drawn uniformly at random, with a fixed seed, from the out-of-fold predictions at the 5 % false-positive operating point. Blue is the serving cell's RSRP, red the best neighbour's, green the model's probability of a command within one second against the right axis, the dotted line the alarm threshold, black lines are handover commands and the orange line is the drawn row. Nothing here was selected for being illustrative.</w:t>
      </w:r>
      <w:proofErr w:type="spellStart"/>
      <w:r/>
      <w:proofErr w:type="spellEnd"/>
      <w:r/>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p>
    <w:p w:rsidR="0015244F" w:rsidRDefault="00A565B8">
      <w:pPr>
        <w:tabs>
          <w:tab w:val="right" w:leader="dot" w:pos="9008"/>
        </w:tabs>
        <w:spacing w:after="80" w:line="240" w:lineRule="auto"/>
        <w:ind w:right="113"/>
      </w:pPr>
      <w:r>
        <w:t>Table 4.3 Feature blocks, their source and their alignment.</w:t>
      </w:r>
      <w:proofErr w:type="spellStart"/>
      <w:r/>
      <w:proofErr w:type="spellEnd"/>
      <w:r/>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r/>
    </w:p>
    <w:p w:rsidR="0015244F" w:rsidRDefault="00A565B8">
      <w:pPr>
        <w:tabs>
          <w:tab w:val="right" w:leader="dot" w:pos="9008"/>
        </w:tabs>
        <w:spacing w:after="80" w:line="240" w:lineRule="auto"/>
        <w:ind w:right="113"/>
      </w:pPr>
      <w:r>
        <w:t>Table 5.2 What the one-row lag costs, with everything else held fixed.</w:t>
      </w:r>
      <w:r/>
      <w:r/>
    </w:p>
    <w:p w:rsidR="0015244F" w:rsidRDefault="00A565B8">
      <w:pPr>
        <w:tabs>
          <w:tab w:val="right" w:leader="dot" w:pos="9008"/>
        </w:tabs>
        <w:spacing w:after="80" w:line="240" w:lineRule="auto"/>
        <w:ind w:right="113"/>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r/>
    </w:p>
    <w:p w:rsidR="0015244F" w:rsidRDefault="00A565B8">
      <w:pPr>
        <w:tabs>
          <w:tab w:val="right" w:leader="dot" w:pos="9008"/>
        </w:tabs>
        <w:spacing w:after="80" w:line="240" w:lineRule="auto"/>
        <w:ind w:right="113"/>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r/>
      <w:proofErr w:type="spellStart"/>
      <w:r/>
      <w:proofErr w:type="spellEnd"/>
      <w:r/>
      <w:r/>
    </w:p>
    <w:p w:rsidR="0015244F" w:rsidRDefault="00A565B8">
      <w:pPr>
        <w:tabs>
          <w:tab w:val="right" w:leader="dot" w:pos="9008"/>
        </w:tabs>
        <w:spacing w:after="80" w:line="240" w:lineRule="auto"/>
        <w:ind w:right="113"/>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r/>
    </w:p>
    <w:p w:rsidR="0015244F" w:rsidRDefault="00A565B8">
      <w:pPr>
        <w:tabs>
          <w:tab w:val="right" w:leader="dot" w:pos="9008"/>
        </w:tabs>
        <w:spacing w:after="80" w:line="240" w:lineRule="auto"/>
        <w:ind w:right="113"/>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r/>
      <w:r/>
    </w:p>
    <w:p w:rsidR="0015244F" w:rsidRDefault="00A565B8">
      <w:pPr>
        <w:tabs>
          <w:tab w:val="right" w:leader="dot" w:pos="9008"/>
        </w:tabs>
        <w:spacing w:after="80" w:line="240" w:lineRule="auto"/>
        <w:ind w:right="113"/>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r/>
    </w:p>
    <w:p w:rsidR="0015244F" w:rsidRDefault="00A565B8">
      <w:pPr>
        <w:tabs>
          <w:tab w:val="right" w:leader="dot" w:pos="9008"/>
        </w:tabs>
        <w:spacing w:after="80" w:line="240" w:lineRule="auto"/>
        <w:ind w:right="113"/>
      </w:pPr>
      <w:r>
        <w:t>Table 5.6b Paired differences between the hazard arm and each control at one second. A positive ECE difference favours the control, since a lower calibration error is better. The block column is a descriptive within-campaign spread and supports no inference: Section 5.3 shows 180-second blocks of one session are dependent, so resampling them understates the uncertainty. The four per-campaign columns are the independent units; with four of them a two-sided sign test cannot return a p-value below 0.125, so the count of campaigns sharing the sign is reported and no significance is claimed.</w:t>
      </w:r>
      <w:r/>
    </w:p>
    <w:p w:rsidR="0015244F" w:rsidRDefault="00A565B8">
      <w:pPr>
        <w:tabs>
          <w:tab w:val="right" w:leader="dot" w:pos="9008"/>
        </w:tabs>
        <w:spacing w:after="80" w:line="240" w:lineRule="auto"/>
        <w:ind w:right="113"/>
      </w:pPr>
      <w:r>
        <w:t>Table 5.7 Conformal risk control at the one-second horizon, in the exchangeable regime and across campaigns. A target below the feasibility floor of 1/(n+1) is marked as such: the row-loss columns beside it still report a threshold and its realised loss, because the procedure returns the most permissive threshold in the grid when no threshold can satisfy the target, and the loss that threshold happens to achieve is not certified by anything. Those two cells are diagnostic, not a guarantee. An em dash means the quantity is not expressible at all, which is the case for every event-level target at this horizon.</w:t>
      </w:r>
      <w:proofErr w:type="gramStart"/>
      <w:r/>
      <w:proofErr w:type="gramEnd"/>
      <w:r/>
      <w:r/>
    </w:p>
    <w:p w:rsidR="0015244F" w:rsidRDefault="00A565B8">
      <w:pPr>
        <w:tabs>
          <w:tab w:val="right" w:leader="dot" w:pos="9008"/>
        </w:tabs>
        <w:spacing w:after="80" w:line="240" w:lineRule="auto"/>
        <w:ind w:right="113"/>
      </w:pPr>
      <w:r>
        <w:t>Table 5.8 Leave-one-campaign-out performance at the one-second horizon.</w:t>
      </w:r>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 The serving-to-neighbour gap is defined as the serving cell's level minus the best neighbour's, in decibels, so a smaller gap means the neighbour is closer to overtaking and the A3 entry condition is closer to being met.</w:t>
      </w:r>
      <w:r/>
    </w:p>
    <w:p w:rsidR="0015244F" w:rsidRDefault="00A565B8">
      <w:pPr>
        <w:tabs>
          <w:tab w:val="right" w:leader="dot" w:pos="9008"/>
        </w:tabs>
        <w:spacing w:after="80" w:line="240" w:lineRule="auto"/>
        <w:ind w:right="113"/>
      </w:pPr>
      <w:r>
        <w:t>Table 5.11 Performance inside and outside handover bursts.</w:t>
      </w:r>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four definitions.</w:t>
      </w:r>
      <w:proofErr w:type="gramStart"/>
      <w:r/>
      <w:proofErr w:type="gramEnd"/>
      <w:r/>
      <w:r/>
    </w:p>
    <w:p w:rsidR="0015244F" w:rsidRDefault="00A565B8">
      <w:pPr>
        <w:tabs>
          <w:tab w:val="right" w:leader="dot" w:pos="9008"/>
        </w:tabs>
        <w:spacing w:after="80" w:line="240" w:lineRule="auto"/>
        <w:ind w:right="113"/>
      </w:pPr>
      <w:r>
        <w:t>Table 5.14 Ping-pong rate by carrier relationship and mobility regime.</w:t>
      </w:r>
      <w:proofErr w:type="gramStart"/>
      <w:r/>
      <w:proofErr w:type="gramEnd"/>
      <w:r/>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5.16 Nine cases drawn at random, with a fixed seed, from the out-of-fold predictions at the 5 % false-positive operating point: three the model called correctly, three it alarmed on with no command following, and three it missed. The draw is a uniform sample within each class, not a selection.</w:t>
      </w:r>
      <w:r/>
    </w:p>
    <w:p w:rsidR="0015244F" w:rsidRDefault="00A565B8">
      <w:pPr>
        <w:tabs>
          <w:tab w:val="right" w:leader="dot" w:pos="9008"/>
        </w:tabs>
        <w:spacing w:after="80" w:line="240" w:lineRule="auto"/>
        <w:ind w:right="113"/>
      </w:pPr>
      <w:r>
        <w:t>Table 6.1 Course outcomes addressed in this project.</w:t>
        <w:tab/>
        <w:t>58</w:t>
      </w:r>
      <w:r/>
      <w:r/>
    </w:p>
    <w:p w:rsidR="0015244F" w:rsidRDefault="00A565B8">
      <w:pPr>
        <w:tabs>
          <w:tab w:val="right" w:leader="dot" w:pos="9008"/>
        </w:tabs>
        <w:spacing w:after="80" w:line="240" w:lineRule="auto"/>
        <w:ind w:right="113"/>
      </w:pPr>
      <w:r>
        <w:t>Table 6.2 Aspects of program outcomes addressed, with the evidencing section.</w:t>
        <w:tab/>
        <w:t>59</w:t>
      </w:r>
      <w:r/>
      <w:r/>
    </w:p>
    <w:p w:rsidR="0015244F" w:rsidRDefault="00A565B8">
      <w:pPr>
        <w:tabs>
          <w:tab w:val="right" w:leader="dot" w:pos="9008"/>
        </w:tabs>
        <w:spacing w:after="80" w:line="240" w:lineRule="auto"/>
        <w:ind w:right="113"/>
      </w:pPr>
      <w:r>
        <w:t>Table 6.3 Knowledge profiles addressed, with justification.</w:t>
        <w:tab/>
        <w:t>60</w:t>
      </w:r>
      <w:r/>
      <w:r/>
    </w:p>
    <w:p w:rsidR="0015244F" w:rsidRDefault="00A565B8">
      <w:pPr>
        <w:tabs>
          <w:tab w:val="right" w:leader="dot" w:pos="9008"/>
        </w:tabs>
        <w:spacing w:after="80" w:line="240" w:lineRule="auto"/>
        <w:ind w:right="113"/>
      </w:pPr>
      <w:r>
        <w:t>Table 6.4 Attributes of complex engineering problem solving addressed.</w:t>
        <w:tab/>
        <w:t>62</w:t>
      </w:r>
      <w:r/>
      <w:r/>
    </w:p>
    <w:p w:rsidR="0015244F" w:rsidRDefault="00A565B8">
      <w:pPr>
        <w:tabs>
          <w:tab w:val="right" w:leader="dot" w:pos="9008"/>
        </w:tabs>
        <w:spacing w:after="80" w:line="240" w:lineRule="auto"/>
        <w:ind w:right="113"/>
      </w:pPr>
      <w:r>
        <w:t>Table 6.5 Attributes of complex engineering activities addressed.</w:t>
        <w:tab/>
        <w:t>63</w:t>
      </w:r>
      <w:r/>
      <w:r/>
    </w:p>
    <w:p w:rsidR="0015244F" w:rsidRDefault="00A565B8">
      <w:pPr>
        <w:tabs>
          <w:tab w:val="right" w:leader="dot" w:pos="9008"/>
        </w:tabs>
        <w:spacing w:after="80" w:line="240" w:lineRule="auto"/>
        <w:ind w:right="113"/>
      </w:pPr>
      <w:r>
        <w:t>Table 6.6 Resource and cost summary for the project.</w:t>
        <w:tab/>
        <w:t>64</w:t>
      </w:r>
      <w:r/>
      <w:r/>
    </w:p>
    <w:p w:rsidR="0015244F" w:rsidRDefault="00A565B8">
      <w:pPr>
        <w:tabs>
          <w:tab w:val="right" w:leader="dot" w:pos="9008"/>
        </w:tabs>
        <w:spacing w:after="80" w:line="240" w:lineRule="auto"/>
        <w:ind w:right="113"/>
      </w:pPr>
      <w:r>
        <w:t>Table A.1 Per-horizon AUPRC for every learner under leave-one-campaign-out, against the prevalence floor.</w:t>
      </w:r>
      <w:r/>
      <w:r/>
    </w:p>
    <w:p w:rsidR="0015244F" w:rsidRDefault="00A565B8">
      <w:pPr>
        <w:tabs>
          <w:tab w:val="right" w:leader="dot" w:pos="9008"/>
        </w:tabs>
        <w:spacing w:after="80" w:line="240" w:lineRule="auto"/>
        <w:ind w:right="113"/>
      </w:pPr>
      <w:r>
        <w:t>Table A.2 Event-level operating characteristics of the primary model at the 5 % false-positive operating point.</w:t>
      </w:r>
      <w:r/>
      <w:r/>
    </w:p>
    <w:p w:rsidR="0015244F" w:rsidRDefault="00A565B8">
      <w:pPr>
        <w:tabs>
          <w:tab w:val="right" w:leader="dot" w:pos="9008"/>
        </w:tabs>
        <w:spacing w:after="80" w:line="240" w:lineRule="auto"/>
        <w:ind w:right="113"/>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r/>
      <w:r/>
    </w:p>
    <w:p w:rsidR="0015244F" w:rsidRDefault="00A565B8">
      <w:pPr>
        <w:tabs>
          <w:tab w:val="right" w:leader="dot" w:pos="9008"/>
        </w:tabs>
        <w:spacing w:after="80" w:line="240" w:lineRule="auto"/>
        <w:ind w:right="113"/>
      </w:pPr>
      <w:r>
        <w:t>Table A.4 Per-campaign calibration at the one-second horizon for every coherence arm, on the row set and hyper-parameters of Table 5.6 (arm C). Section 5.4 refers to these numbers; an earlier draft promised them here and printed a per-campaign count taken from the tuned arm instead, which is a different experiment.</w:t>
      </w:r>
      <w:r/>
      <w:r/>
    </w:p>
    <w:p w:rsidR="0015244F" w:rsidRDefault="00A565B8">
      <w:pPr>
        <w:tabs>
          <w:tab w:val="right" w:leader="dot" w:pos="9008"/>
        </w:tabs>
        <w:spacing w:after="80" w:line="240" w:lineRule="auto"/>
        <w:ind w:right="113"/>
      </w:pPr>
      <w:r>
        <w:t>Table A.5 Sensitivity of every window chosen after the data were collected. Each is varied over a range bracketing the value used in Chapter 5, with everything else held fixed. The block-length and purge rows use fixed hyper-parameters (arm B), so their levels are comparable with each other and with Table 5.5, not with Table 5.3.</w:t>
      </w:r>
      <w:r/>
      <w:r/>
    </w:p>
    <w:p w:rsidR="0015244F" w:rsidRDefault="00A565B8">
      <w:pPr>
        <w:tabs>
          <w:tab w:val="right" w:leader="dot" w:pos="9008"/>
        </w:tabs>
        <w:spacing w:after="80" w:line="240" w:lineRule="auto"/>
        <w:ind w:right="113"/>
      </w:pPr>
      <w:r>
        <w:t>Table A.6 Per-handover evidence for the delayed-refresh explanation of the alignment residual in Section 5.1. The explanation is a claim about individual handovers, so it is settled one handover at a time rather than asserted.</w:t>
      </w:r>
      <w:r/>
      <w:r/>
    </w:p>
    <w:p w:rsidR="0015244F" w:rsidRDefault="00A565B8">
      <w:pPr>
        <w:tabs>
          <w:tab w:val="right" w:leader="dot" w:pos="9008"/>
        </w:tabs>
        <w:spacing w:after="80" w:line="240" w:lineRule="auto"/>
        <w:ind w:right="113"/>
      </w:pPr>
      <w:r>
        <w:t>Table D.1 The 22 audited prediction models.</w:t>
      </w:r>
      <w:r/>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r/>
      <w:proofErr w:type="spellStart"/>
      <w:r/>
      <w:proofErr w:type="spellEnd"/>
      <w:r/>
      <w:r/>
    </w:p>
    <w:p w:rsidR="0015244F" w:rsidRDefault="00A565B8">
      <w:pPr>
        <w:ind w:firstLine="567"/>
        <w:jc w:val="both"/>
      </w:pPr>
      <w:r>
        <w:t>This chapter states the problem the thesis addresses, the reason it is worth addressing, and the objectives against whic</w:t>
      </w:r>
      <w:r>
        <w:t>h the work should be judged. Section 1.1 describes how handover is triggered in Long Term Evolution (LTE) and why the triggering rule is structurally incapable of providing advance warning. Section 1.2 quantifies the cost of that limitation on measured dat</w:t>
      </w:r>
      <w:r>
        <w:t xml:space="preserve">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In an LTE networ</w:t>
      </w:r>
      <w:r>
        <w:t xml:space="preserve">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w:t>
      </w:r>
      <w:r>
        <w:t xml:space="preserve">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w:t>
      </w:r>
      <w:r>
        <w:t>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w:t>
      </w:r>
      <w:r>
        <w:rPr>
          <w:i/>
          <w:iCs/>
        </w:rPr>
        <w:t>ecome</w:t>
      </w:r>
      <w:r>
        <w:t xml:space="preserve"> better before anything </w:t>
      </w:r>
      <w:r>
        <w:lastRenderedPageBreak/>
        <w:t>happens. Second, the TTT imposes an additional delay whose purpose is to suppress spurious triggering caused by fast fading. Together they guarantee that by the time a measurement report leaves the handset, the radio environmen</w:t>
      </w:r>
      <w:r>
        <w:t xml:space="preserve">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Figure 1.1 draws that sequence against a measured</w:t>
      </w:r>
      <w:r>
        <w:t xml:space="preserve">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w:t>
      </w:r>
      <w:r>
        <w:t xml:space="preserve"> does not provide, and what an increasingly latency-sensitive service mix increasingly wants, is advance notice: an indication, one or two seconds before the fact, that a handover is imminent, so that the target cell can be prepared, the transmission sched</w:t>
      </w:r>
      <w:r>
        <w:t>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of which 635 own a handover command once each command is matched to a single episode (Section 5.9).</w:t>
      </w:r>
      <w:proofErr w:type="spellStart"/>
      <w:r/>
      <w:proofErr w:type="spellEnd"/>
      <w:r/>
      <w:proofErr w:type="spellStart"/>
      <w:r/>
      <w:proofErr w:type="spellEnd"/>
      <w:r/>
      <w:r/>
      <w:proofErr w:type="spellStart"/>
      <w:r/>
      <w:proofErr w:type="spellEnd"/>
      <w:r/>
      <w:r/>
      <w:r/>
    </w:p>
    <w:p w:rsidR="0015244F" w:rsidRDefault="00A565B8">
      <w:pPr>
        <w:ind w:firstLine="567"/>
        <w:jc w:val="both"/>
      </w:pPr>
      <w:r>
        <w:t>These are not pathological numbers for a dense urban deployment; they are what the deployed configuration produces. They do, however, establish that even a short prediction horizon has something to act on. A warning far enough ahead of a handover command would leave time for target-cell preparation, and a warning that a handover is likely to be reversed within fifteen seconds would be enough to consider not performing it. Both are stated as conditionals because this thesis does not establish either: Section 5.5 and Appendix A measure what a warning built on this instrument actually delivers at the one-second horizon — 34% of commands detected, 179 false-alarm episodes per hour and a median lead of 0.47 s — and an alarm every 20 seconds with under half a second of warning is not an operating point a radio resource manager can use. The motivation for the task is that the reactive rule leaves a measurable cost on the table; the finding is that one-hertz handset telemetry does not recover enough of it.</w:t>
      </w:r>
      <w:r/>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r/>
      <w:proofErr w:type="spellStart"/>
      <w:r/>
      <w:proofErr w:type="spellEnd"/>
      <w:r/>
      <w:r/>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w:t>
      </w:r>
      <w:r>
        <w:t>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w:t>
      </w:r>
      <w:r>
        <w:t xml:space="preserve">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it will miss on future units, and the unit of that fraction — a row of the measurement grid, or a handover command — is stated rather than left to the reader;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w:t>
      </w:r>
      <w:r>
        <w:t>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w:t>
      </w:r>
      <w:r>
        <w:t>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w:t>
      </w:r>
      <w:r>
        <w:t>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w:t>
      </w:r>
      <w:r>
        <w:t>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w:t>
      </w:r>
      <w:r>
        <w:t>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 xml:space="preserve">The study covers one commercial LTE operator, four measurement days, two mobility regimes and 57 drives. It does not </w:t>
      </w:r>
      <w:r>
        <w:t>claim that the numerical results transfer to another operator or another radio access technology, although Chapter 5 reports an external validation that bears on that question. The measurement export is sampled at one hertz, which caps the fraction of hand</w:t>
      </w:r>
      <w:r>
        <w:t>over events that can in principle be resolved at 90.5 %; this is a property of the instrument and not of the models.</w:t>
      </w:r>
    </w:p>
    <w:p w:rsidR="0015244F" w:rsidRDefault="00A565B8">
      <w:pPr>
        <w:ind w:firstLine="567"/>
        <w:jc w:val="both"/>
      </w:pPr>
      <w:r>
        <w:t>The system developed here is an offline predictor evaluated on recorded data. It is not integrated into a network, and no claim is made tha</w:t>
      </w:r>
      <w:r>
        <w:t xml:space="preserve">t deploying it would improve any network key performance indicator. In particular, no causal claim is made about the benefit of acting on the warning, for the reason given in Chapter 5: the logging policy is deterministic, so the propensities required for </w:t>
      </w:r>
      <w:r>
        <w:t xml:space="preserve">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w:t>
      </w:r>
      <w:r>
        <w:t>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six,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 measurement of what it is worth, and an identification of the columns that carry it.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repair is not conservative: lagging the mobility block as well as the radio costs nothing measurable (Table 5.2b), so that figure is the size of the leak rather than the price of the remedy. The leak is carried by the serving-cell radio scalars, which account for 96% of it against 2% for the neighbour and gap columns, because a column such as serving_rsrp reports whichever cell the export treats as serving and therefore changes its referent at the flip. The audit is three lines of code and is reproducible on any export that carries a serving-cell column.</w:t>
      </w:r>
      <w:r>
        <w:rPr>
          <w:b/>
          <w:bCs/>
        </w:rPr>
      </w:r>
      <w:r>
        <w:rPr>
          <w:b/>
          <w:bCs/>
        </w:rPr>
      </w:r>
      <w:r/>
      <w:r/>
    </w:p>
    <w:p w:rsidR="0015244F" w:rsidRDefault="00A565B8">
      <w:pPr>
        <w:ind w:firstLine="567"/>
        <w:jc w:val="both"/>
      </w:pPr>
      <w:r>
        <w:t>2. An account of why that happens, tested against the two predictions it makes. A row written at the end of its second carries the post-handover cell exactly when the handover completes before the second closes. The prediction holds without exception on our own captures, where the signalling stream times the execution: none of the 15 handovers whose execution crosses the boundary contaminates its row. It holds again across instruments: the defect appears on 4,712 handovers from 3 operators in an independent XCAL corpus when that corpus is downsampled to the end of each second (93%) and disappears from the same handovers when it is downsampled to the start (4%), and it is absent from a public log whose rows are instantaneous samples. The alignment error is therefore a property of the aggregation rule, not of a vendor or a network — and, read the other way, the contamination curve near the end of the second estimates the serving-cell update delay at roughly 60 ms without any sub-second logging.</w:t>
      </w:r>
      <w:r>
        <w:rPr>
          <w:b/>
          <w:bCs/>
        </w:rPr>
      </w:r>
      <w:r>
        <w:rPr>
          <w:b/>
          <w:bCs/>
        </w:rPr>
      </w:r>
      <w:r/>
      <w:r/>
    </w:p>
    <w:p w:rsidR="0015244F" w:rsidRDefault="00A565B8">
      <w:pPr>
        <w:ind w:firstLine="567"/>
        <w:jc w:val="both"/>
      </w:pPr>
      <w:r>
        <w:t>3.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r/>
    </w:p>
    <w:p w:rsidR="0015244F" w:rsidRDefault="00A565B8">
      <w:pPr>
        <w:ind w:firstLine="567"/>
        <w:jc w:val="both"/>
      </w:pPr>
      <w:r>
        <w:t>4.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claim is deliberately narrow in two directions. Time-to-event modelling of cellular mobility is not new — Section 2.5 places this work against the cell-sojourn-time and handover-rate literature, which derives analytical marginal distributions under assumed mobility and geometry — and what is offered here is a learned, covariate-conditional, per-sample hazard fitted on measured drive-test data and scored against decoded ground truth. And the comparison is reported against the repairs a reviewer would ask for — a cumulative-maximum projection, and isotonic calibration composed with it — which also reach zero violations. After those concessions the argument for the formulation is that it reaches coherence and competitive calibration from one fit with no held-out calibration split; it does not rank better than the independent control, and the censoring-aware likelihood it inherits is inert on data in which no row is censored inside the horizon grid.</w:t>
      </w:r>
      <w:r>
        <w:rPr>
          <w:b/>
          <w:bCs/>
        </w:rPr>
      </w:r>
      <w:r/>
    </w:p>
    <w:p w:rsidR="0015244F" w:rsidRDefault="00A565B8">
      <w:pPr>
        <w:ind w:firstLine="567"/>
        <w:jc w:val="both"/>
      </w:pPr>
      <w:r>
        <w:t>5. A boundary result on distribution-free risk control for handover warning, reported as such rather than as a delivered guarantee. Both the exchangeable unit and the estimand are stated and tested. The unit is tested in the regime where exchangeability holds and the regime where it does not: calibration and test units drawn from the same pool of chunks, and calibration on one campaign with the guarantee claimed for another. The estimand is carried through in two forms — a bound over rows and a bound over handover commands — because they differ, and the difference produces the more useful result: at the one-second horizon 36% of commands have no usable row in their lead window and are missed at every threshold, so no per-handover bound is expressible on a one-hertz grid at that horizon, and a study that certifies rows and reports handovers is certifying the wrong thing. Two floors therefore bind: the number of calibration units, which is a direct corollary of the conformal risk control bound [21] rather than a new result, and the sampling rate of the instrument, which is not. The honest summary of this contribution is negative on both axes and useful for that reason. Exchangeability fails in the regime an operator actually faces: calibrating on one campaign and deploying on another, the bound holds in 83% of the 12 rotations at α = 0.20 and not in the rest, because a corridor is a distribution shift. And the estimand an operator cares about is not expressible at all at the shortest horizon. What this thesis contributes is therefore the two limits and the measurements that establish them, not a certified warning system.</w:t>
      </w:r>
      <w:r>
        <w:rPr>
          <w:b/>
          <w:bCs/>
        </w:rPr>
      </w:r>
      <w:proofErr w:type="spellStart"/>
      <w:r>
        <w:rPr>
          <w:b/>
          <w:bCs/>
        </w:rPr>
      </w:r>
      <w:proofErr w:type="spellEnd"/>
      <w:r>
        <w:rPr>
          <w:b/>
          <w:bCs/>
        </w:rPr>
      </w:r>
      <w:r/>
      <w:r/>
    </w:p>
    <w:p w:rsidR="0015244F" w:rsidRDefault="00A565B8">
      <w:pPr>
        <w:ind w:firstLine="567"/>
        <w:jc w:val="both"/>
      </w:pPr>
      <w:r>
        <w:t>6. Two corrected characterisations of the deployed network that the prediction literature has not modelled. The first is that the A3 report-conversion rate has no unit-free value: it reads 63% declined per transmitted report, 30% per trigger episode when overlapping episodes may claim the same command, and 73% once each command is matched to exactly one episode. The loose episode rule records 1,647 episode-to-command claims over a corpus containing only 957 commands, an over-counting factor of 2.6. What survives every unit, and sharpens under the strictest, is the separation between the mobility configuration and the monitoring configurations (37% declined against 95%). The second is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The r</w:t>
      </w:r>
      <w:r>
        <w:t xml:space="preserve">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w:t>
      </w:r>
      <w:r>
        <w:t xml:space="preserve">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w:t>
      </w:r>
      <w:r>
        <w:t xml:space="preserve"> dataset. Chapter 4 develops the predictive formulation, the feature construction, the models compared, the evaluation protocol and the risk-control procedure. Chapter 5 reports and discusses the results against the objectives of Section 1.4. Chapter 6 dem</w:t>
      </w:r>
      <w:r>
        <w:t>onstrates how the work addresses the course outcomes, program outcomes, knowledge profiles and complex engineering problem and activity attributes required of a capstone project. Chapter 7 concludes and identifies the work that follows from the limits of t</w:t>
      </w:r>
      <w:r>
        <w: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w:t>
      </w:r>
      <w:r>
        <w:t>iterature builds predictors, but predominantly on simulated data and predominantly without an evaluation protocol that would survive scrutiny. The survival-analysis and point-process literatures supply exactly the right mathematical objects — a discrete-ti</w:t>
      </w:r>
      <w:r>
        <w:t xml:space="preserve">me hazard and a self-exciting process validated by time rescaling — but have not been directed at mobility data. The distribution-free uncertainty literature supplies guarantees, but for signal-processing tasks whose exchangeability structure differs from </w:t>
      </w:r>
      <w:r>
        <w:t>that of an event stream recorded along a drive.</w:t>
      </w:r>
    </w:p>
    <w:p w:rsidR="0015244F" w:rsidRDefault="00A565B8">
      <w:pPr>
        <w:ind w:firstLine="567"/>
        <w:jc w:val="both"/>
      </w:pPr>
      <w:r>
        <w:t xml:space="preserve">This chapter reviews each in turn, then presents a quantitative audit of the 22 most comparable prediction models, states the research gap that the audit establishes, and describes the methodology adopted in </w:t>
      </w:r>
      <w:r>
        <w:t>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The mobility procedure in E-UTRAN is specified in 3GPP TS 36.331 [1] and described at system level in TS 36.300 [2]. The network configures th</w:t>
      </w:r>
      <w:r>
        <w:t xml:space="preserve">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w:t>
      </w:r>
      <w:r>
        <w:t>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w:t>
      </w:r>
      <w:r>
        <w:t>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w:t>
      </w:r>
      <w:r>
        <w:t xml:space="preserv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w:t>
      </w:r>
      <w:r>
        <w:t xml:space="preser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w:t>
      </w:r>
      <w:r>
        <w:t>book values is therefore assuming something it has not checked. Third, because the condition is defined on a state that must already obtain and must then persist, the earliest instant at which Event A3 can produce any output is strictly after the radio env</w:t>
      </w:r>
      <w:r>
        <w:t>ironment has changed.</w:t>
      </w:r>
    </w:p>
    <w:p w:rsidR="0015244F" w:rsidRDefault="00A565B8">
      <w:pPr>
        <w:pStyle w:val="Heading2"/>
        <w:spacing w:before="360" w:after="140"/>
      </w:pPr>
      <w:r>
        <w:t>2.2 The measurement literature</w:t>
      </w:r>
    </w:p>
    <w:p w:rsidR="0015244F"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r/>
      <w:proofErr w:type="spellStart"/>
      <w:r/>
      <w:proofErr w:type="spellEnd"/>
      <w:r/>
      <w:r/>
      <w:proofErr w:type="spellStart"/>
      <w:r/>
      <w:r/>
      <w:proofErr w:type="spellEnd"/>
      <w:r/>
    </w:p>
    <w:p w:rsidR="0015244F" w:rsidRDefault="00A565B8">
      <w:pPr>
        <w:ind w:firstLine="567"/>
        <w:jc w:val="both"/>
      </w:pPr>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a positive offset, and 73% under the +1 dB profile alone, so the two findings are less far apart than a table of configurations suggests.</w:t>
      </w:r>
      <w:proofErr w:type="spellStart"/>
      <w:r/>
      <w:proofErr w:type="spellEnd"/>
      <w:r/>
      <w:r/>
      <w:proofErr w:type="spellStart"/>
      <w:r/>
      <w:proofErr w:type="spellEnd"/>
      <w:r/>
      <w:proofErr w:type="spellStart"/>
      <w:r/>
      <w:proofErr w:type="spellEnd"/>
      <w:r/>
      <w:r/>
      <w:proofErr w:type="spellStart"/>
      <w:r/>
      <w:proofErr w:type="spellEnd"/>
      <w:r/>
      <w:proofErr w:type="spellStart"/>
      <w:r/>
      <w:proofErr w:type="spellEnd"/>
    </w:p>
    <w:p w:rsidR="0015244F" w:rsidRDefault="00A565B8">
      <w:pPr>
        <w:ind w:firstLine="567"/>
        <w:jc w:val="both"/>
      </w:pPr>
      <w:r>
        <w:t xml:space="preserve">What this literature does not do </w:t>
      </w:r>
      <w:r>
        <w:t xml:space="preserve">is predict. </w:t>
      </w:r>
      <w:proofErr w:type="spellStart"/>
      <w:r>
        <w:t>Ghoshal</w:t>
      </w:r>
      <w:proofErr w:type="spellEnd"/>
      <w:r>
        <w:t xml:space="preserve"> et al. state explicitly that they perform no machine-learned prediction, no off-policy evaluation and no counterfactual analysis; the </w:t>
      </w:r>
      <w:r>
        <w:lastRenderedPageBreak/>
        <w:t>work is descriptive by design. The ping-pong rates these studies report are likewise descriptive, and,</w:t>
      </w:r>
      <w:r>
        <w:t xml:space="preserve">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work predicts handover, radio-link failure or next-cell occupancy using</w:t>
      </w:r>
      <w:r>
        <w:t xml:space="preserve">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w:t>
      </w:r>
      <w:r>
        <w:t>erform a meta-analysis because simulators and outcome definitions were too heterogeneous, they observe that most studies report percentage improvements over baselines of their own choosing rather than absolute performance, and they report that data splitti</w:t>
      </w:r>
      <w:r>
        <w:t xml:space="preserve">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w:t>
      </w:r>
      <w:r>
        <w:t>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r/>
    </w:p>
    <w:p w:rsidR="0015244F" w:rsidRDefault="00A565B8">
      <w:pPr>
        <w:ind w:firstLine="567"/>
        <w:jc w:val="both"/>
      </w:pPr>
      <w:r>
        <w:t>The scope of that screen has to be stated, because its limits bound every claim made from it. The search was run over 2020 to 2026 on learned handover, radio-link-failure and next-cell prediction, and it returns no pre-2020 work at all. That is a property of the query, not of the field. Every “0 / 22” in Table 2.1 is therefore a statement about twenty-two recent learned predictors — the set a reader of this thesis would compare it against — and not a statement about the literature as a whole. Where the older literature bears directly on the formulation of Chapter 4 it is engaged on its own terms in Section 2.5 rather than counted in this audit, since the audit's protocol columns do not apply to analytical models. One row of Appendix D qualifies two of the audit's counts and is marked there: the model of Amirova et al. [15] is fitted on real measured data with a device-level hold-out and reports a precision–recall curve, so the “prevalence-aware ranking metric” and “held-out unit” columns record it as satisfying in part; the counts in Table 2.1 use the strict reading, under which a device-level hold-out is not a mobility-unit hold-out.</w:t>
      </w:r>
      <w:r/>
    </w:p>
    <w:p w:rsidR="0015244F" w:rsidRDefault="00A565B8">
      <w:pPr>
        <w:ind w:firstLine="567"/>
        <w:jc w:val="both"/>
      </w:pPr>
      <w:r>
        <w:t>Two preprints appeared after the screen closed and are noted here rather than folded into its counts, which a fixed screening procedure fixes. Kabeer et al. [45] train gated recurrent, long short-term memory and Transformer models on real drive-test traces from a dense urban network, which is the closest published setting to this one; Mandapati [46] combines meta-learning with drift detection for mobility forecasting and reports a downstream handover-prediction score. Neither states an alignment rule between its measurement timestamps and its event clock, which is the property Section 5.1 shows to be decisive, and this thesis makes no claim about either beyond that observation. They are also the reason the negative result for sequence models in Section 5.11 is stated conditionally: those architectures are being actively developed for this task on larger corpora than four sessions.</w:t>
      </w:r>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blPrEx>
          <w:tblCellMar>
            <w:top w:w="0" w:type="dxa"/>
            <w:bottom w:w="0" w:type="dxa"/>
          </w:tblCellMar>
        </w:tblPrEx>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blPrEx>
          <w:tblCellMar>
            <w:top w:w="0" w:type="dxa"/>
            <w:bottom w:w="0" w:type="dxa"/>
          </w:tblCellMar>
        </w:tblPrEx>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blPrEx>
          <w:tblCellMar>
            <w:top w:w="0" w:type="dxa"/>
            <w:bottom w:w="0" w:type="dxa"/>
          </w:tblCellMar>
        </w:tblPrEx>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specified in Section 4.9</w:t>
            </w:r>
          </w:p>
        </w:tc>
      </w:tr>
      <w:tr w:rsidR="0015244F">
        <w:tblPrEx>
          <w:tblCellMar>
            <w:top w:w="0" w:type="dxa"/>
            <w:bottom w:w="0" w:type="dxa"/>
          </w:tblCellMar>
        </w:tblPrEx>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blPrEx>
          <w:tblCellMar>
            <w:top w:w="0" w:type="dxa"/>
            <w:bottom w:w="0" w:type="dxa"/>
          </w:tblCellMar>
        </w:tblPrEx>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blPrEx>
          <w:tblCellMar>
            <w:top w:w="0" w:type="dxa"/>
            <w:bottom w:w="0" w:type="dxa"/>
          </w:tblCellMar>
        </w:tblPrEx>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blPrEx>
          <w:tblCellMar>
            <w:top w:w="0" w:type="dxa"/>
            <w:bottom w:w="0" w:type="dxa"/>
          </w:tblCellMar>
        </w:tblPrEx>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blPrEx>
          <w:tblCellMar>
            <w:top w:w="0" w:type="dxa"/>
            <w:bottom w:w="0" w:type="dxa"/>
          </w:tblCellMar>
        </w:tblPrEx>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blPrEx>
          <w:tblCellMar>
            <w:top w:w="0" w:type="dxa"/>
            <w:bottom w:w="0" w:type="dxa"/>
          </w:tblCellMar>
        </w:tblPrEx>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Committed on acceptance: audit, protocols, features, tables</w:t>
            </w:r>
          </w:p>
        </w:tc>
      </w:tr>
      <w:tr w:rsidR="0015244F">
        <w:tblPrEx>
          <w:tblCellMar>
            <w:top w:w="0" w:type="dxa"/>
            <w:bottom w:w="0" w:type="dxa"/>
          </w:tblCellMar>
        </w:tblPrEx>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Committed on acceptance: derived frames and decoded events, not raw logs</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 xml:space="preserve">The first concerns metrics. Seven of the 22 report accuracy on tasks whose positive prevalence lies between 0.86 % and 11 %, at which a constant negative prediction scores between 89 % and 99 %; three of the headline figures so reported are 98.03 %, 99.84 </w:t>
      </w:r>
      <w:r>
        <w:t>% and 94.83 %. A related failure appears in a railway radio-link-failure study that reports area under the ROC curve above 0.95 for all six architectures it compares, on a task with approximately one positive per five hundred samples, and consequently sepa</w:t>
      </w:r>
      <w:r>
        <w:t>rates none of them.</w:t>
      </w:r>
    </w:p>
    <w:p w:rsidR="0015244F" w:rsidRDefault="00A565B8">
      <w:pPr>
        <w:ind w:firstLine="567"/>
        <w:jc w:val="both"/>
      </w:pPr>
      <w:r>
        <w:t xml:space="preserve">The second concerns splitting, and the exceptions are named rather than rounded away. Five of the 22 do split on something coarser than a random row: by spatial zone, by device, by time under a rolling-origin protocol on operator data, </w:t>
      </w:r>
      <w:r>
        <w:t>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w:t>
      </w:r>
      <w:r>
        <w:t>e strongest protocol in the set addresses next-day cell-level radio-link failure rather than a per-sample mobility forecast.</w:t>
      </w:r>
    </w:p>
    <w:p w:rsidR="0015244F" w:rsidRDefault="00A565B8">
      <w:pPr>
        <w:ind w:firstLine="567"/>
        <w:jc w:val="both"/>
      </w:pPr>
      <w:r>
        <w:t>A structural feature of this literature explains the pattern. Protocol quality and measurement quality are anti-correlated within i</w:t>
      </w:r>
      <w:r>
        <w:t>t. The studies with the cleanest splits operate on ray-traced or SUMO-simulated trajectories [10], on aggregated operator key performance indicators, or at cell-and-day granularity [11]; the studies carrying real per-sample drive-test radio, whose data mos</w:t>
      </w:r>
      <w:r>
        <w:t>t resembles that used here, are precisely those whose split protocol is unstated. Recent graph-based models illustrate both halves: TH-GCN [12] builds a dynamic UE–cell graph for dense vehicular scenarios but is simulated, states no split protocol and repo</w:t>
      </w:r>
      <w:r>
        <w:t>rts relative deltas against baselines of its own choosing, while GRIMCELL [11] applies graph learning to radio-planning, configuration-management and performance-management data from a commercial LTE-A Pro network across 55 real deployment events, but pred</w:t>
      </w:r>
      <w:r>
        <w:t xml:space="preserve">icts post-deployment key performance indicators per cell per day and is therefore a planning tool rather </w:t>
      </w:r>
      <w:r>
        <w:lastRenderedPageBreak/>
        <w:t xml:space="preserve">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w:t>
      </w:r>
      <w:r>
        <w:t>trace regime, in which one-hertz drive data sits, is where the literature is thinnest for event prediction as opposed to location prediction.</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Carving it out of the audit is not the same as ignoring it, and the comparison should be made explicitly, with the caveat that it cannot be made like for like: Prognos reports F1 between 0.92 and 0.94 and a lead-time gain of roughly 931 ms on 5G traces, against the 1 s AUPRC of 0.179 reported here on LTE. The two numbers are not comparable, and the reason is the point. Prognos predicts at the level of a handover event under a stated 5G configuration and reports a threshold metric on that event set; this thesis predicts at the level of a one-second row under leave-one-campaign-out and reports a prevalence-aware ranking metric with its floor. An F1 of 0.93 on events and an AUPRC of 0.179 on rows are answers to different questions, and Section 5.7 shows what the row-to-event conversion costs. What can be compared is the protocol: like the audited set, Prognos reports neither calibration nor an alignment statement between its measurement timestamps and its event clock, and the alignment defect documented in Section 5.1 is one that an XCAL-based per-second predictor is exposed to by construction.</w:t>
      </w:r>
      <w:r/>
      <w:proofErr w:type="spellStart"/>
      <w:r/>
      <w:proofErr w:type="spellEnd"/>
      <w:r/>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w:t>
      </w:r>
      <w:r>
        <w:t xml:space="preserve">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w:t>
      </w:r>
      <w:r>
        <w:t>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w:t>
      </w:r>
      <w:r>
        <w:t xml:space="preserve">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w:t>
      </w:r>
      <w:r>
        <w:t>.13 %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survival model </w:t>
      </w:r>
      <w:r>
        <w:t xml:space="preserve">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w:t>
      </w:r>
      <w:r>
        <w:t xml:space="preserve">stream. </w:t>
      </w:r>
      <w:proofErr w:type="spellStart"/>
      <w:r>
        <w:t>Thorsen</w:t>
      </w:r>
      <w:proofErr w:type="spellEnd"/>
      <w:r>
        <w:t>-</w:t>
      </w:r>
      <w:r>
        <w:lastRenderedPageBreak/>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Time-to-event modelling of cellular mobility is itself long established, and an earlier draft of this thesis overlooked it. The teletraffic literature has modelled cell dwell time as a random variable since Hong and Rappaport [42], whose prioritised-handoff analysis rests on an assumed dwell-time distribution, and the stochastic-geometry literature derives handover rate and sojourn time in closed form — Lin et al. [43] under a random-waypoint model on Poisson-Voronoi cells, Sadr and Adve [44] across tiers of a heterogeneous network. That body of work estimates the same survival function this thesis estimates. It would be wrong to say the formulation has not been directed at mobility, and this thesis does not say so.</w:t>
      </w:r>
      <w:r/>
      <w:r/>
    </w:p>
    <w:p w:rsidR="0015244F" w:rsidRDefault="00A565B8">
      <w:pPr>
        <w:ind w:firstLine="567"/>
        <w:jc w:val="both"/>
      </w:pPr>
      <w:r>
        <w:t>The difference is in what the hazard is a function of, and it is a real difference rather than a hedge. Those models yield a marginal distribution: a sojourn-time law for a typical user under an assumed mobility process and an assumed base-station geometry, parameterised by speed and cell density and validated against simulation. What is estimated here is a hazard conditioned on the covariates of one particular sample at one particular instant — the measured radio state, its recent trajectory and the session's own handover history — fitted on measured drive-test data and scored per sample against decoded ground truth. A closed-form sojourn-time distribution cannot tell an operator that this user is about to hand over in the next second, and a per-sample conditional hazard cannot tell a network planner what the mean handover rate will be at twice the cell density. The claim made here is the narrow one: learned, covariate-conditional, per-sample hazards on measured mobility data, where the existing literature gives analytical marginal laws, and no model in the audit of Section 2.3 poses handover prediction as a time-to-event problem at all.</w:t>
      </w:r>
      <w:r/>
      <w:r/>
    </w:p>
    <w:p w:rsidR="0015244F" w:rsidRDefault="00A565B8">
      <w:pPr>
        <w:ind w:firstLine="567"/>
        <w:jc w:val="both"/>
      </w:pPr>
      <w:r>
        <w:t>Nothing else about the formulation is claimed as new, and stating that plainly removes an obvious reviewer objection. The discrete-time route is mainstream in the survival literature. Conformal prediction has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added on that side is narrower still: a risk bound on an operational miss rate whose exchangeable unit is a driving unit rather than a sample.</w:t>
      </w:r>
      <w:r/>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samples is not deployable whatever its concordance index. Chapter 4 therefore evaluates horizon-wise, reporting AUPRC at each horizon together with a coherence-violation rate.</w:t>
      </w:r>
      <w:r/>
      <w:r/>
    </w:p>
    <w:p w:rsidR="0015244F" w:rsidRDefault="00A565B8">
      <w:pPr>
        <w:pStyle w:val="Heading2"/>
        <w:spacing w:before="360" w:after="140"/>
      </w:pPr>
      <w:r>
        <w:t>2.6 Distribution-free uncertainty quantification</w:t>
      </w:r>
    </w:p>
    <w:p w:rsidR="0015244F" w:rsidRDefault="00A565B8">
      <w:pPr>
        <w:ind w:firstLine="567"/>
        <w:jc w:val="both"/>
      </w:pPr>
      <w:r>
        <w:t>Conformal prediction supplies finite-sample, distribution-free guarantees under an exchangea</w:t>
      </w:r>
      <w:r>
        <w:t xml:space="preserve">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w:t>
      </w:r>
      <w:r>
        <w:t xml:space="preserve">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w:t>
      </w:r>
      <w:r>
        <w:t>, which extends the guarantee from coverage of a prediction set to the expectation of a bounded monotone risk, is due to Angelopoulos et al. [20].</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r/>
      <w:r>
        <w:rPr>
          <w:i/>
          <w:iCs/>
        </w:rPr>
      </w:r>
      <w:r/>
      <w:r/>
      <w:proofErr w:type="spellStart"/>
      <w:r/>
      <w:proofErr w:type="spellEnd"/>
      <w:r/>
      <w:r/>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[23] is the standard model for arrival streams in which each event raises the intensity of subsequent events, and Laub et al. [24] provide the contemporary reference treatment, including the branching-ratio interpretation used in Chapter 5. Fitting such a process is not, by itself, evidence that the process is self-exciting; the fit must be checked. The residual analysis of Ogata [25], in which the time axis is rescaled by the fitted compensator and the transformed arrivals tested against a unit-rate Poisson process, is the standard check, and Price-Williams and Heard [26]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r/>
      <w:proofErr w:type="spellStart"/>
      <w:r/>
      <w:proofErr w:type="spellEnd"/>
      <w:r/>
      <w:r/>
      <w:r/>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make the negative results of Chapter 5 interpretable rather than embarrassing. Ismail Fawaz et al. [27]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[28] in Chapter 5 is therefore consistent with a published benchmark rather than evidence of faulty implementation. Shi et al. [29] supply the shift taxonomy that names the shift encountered here as a device-and-day shift rather than a sensor-modality shift. Wagner et al. [30] show formally that the commonly used point-adjusted metrics for time-series event detection each satisfy only a subset of the desirable properties and that none satisfies all of them, which is the justification for reporting event-level detection rate, lead time and false alarms per hour alongside row-level AUPRC rather than in place of it.</w:t>
      </w:r>
      <w:r/>
      <w:proofErr w:type="spellStart"/>
      <w:r/>
      <w:proofErr w:type="spellEnd"/>
      <w:r/>
      <w:r/>
      <w:r/>
      <w:r/>
      <w:r>
        <w:rPr>
          <w:i/>
          <w:iCs/>
        </w:rPr>
      </w:r>
      <w:r/>
      <w:r/>
    </w:p>
    <w:p w:rsidR="0015244F" w:rsidRDefault="00A565B8">
      <w:pPr>
        <w:ind w:firstLine="567"/>
        <w:jc w:val="both"/>
      </w:pPr>
      <w:r>
        <w:t>Finally, the standards track bears on the choice of horizon. Deb et al. [31]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r/>
      <w:r/>
    </w:p>
    <w:p w:rsidR="0015244F" w:rsidRDefault="00A565B8">
      <w:pPr>
        <w:pStyle w:val="Heading2"/>
        <w:spacing w:before="360" w:after="140"/>
      </w:pPr>
      <w:r>
        <w:t>2.9 Research gap</w:t>
      </w:r>
    </w:p>
    <w:p w:rsidR="0015244F" w:rsidRDefault="00A565B8">
      <w:pPr>
        <w:ind w:firstLine="567"/>
        <w:jc w:val="both"/>
      </w:pPr>
      <w:r>
        <w:t>Collecting the preceding sections, the gap this thesis occupies can be stated precisely, and it is narrower than an earlier draft claimed. Measurement-grade ground truth exists, but is not joined to prediction. Prediction models exist, but not under an evaluation protocol that holds out the mobility unit, and not with calibrated outputs or event-level costs. The time-to-event formulation has been directed at cellular mobility for four decades, but analytically and marginally: it yields sojourn-time laws for a typical user under assumed mobility and geometry, not hazards conditioned on one user's measured radio state at one instant, and none of the twenty-two learned predictors audited in Section 2.3 adopts it in either form. Distribution-free guarantees exist in wireless, but for a different exchangeability structure and not for any mobility-management task. And the alignment between a measurement export's timestamps and the event clock is stated by none of the audited work, which is the gap this thesis turned out to occupy most consequentially, because it was the one that invalidated its own first result.</w:t>
      </w:r>
      <w:r/>
      <w:r/>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w:t>
      </w:r>
      <w:r>
        <w:t>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w:t>
      </w:r>
      <w:r>
        <w:t xml:space="preserve"> 2.1, and each stage is developed in detail in Chapters 3 and 4.</w:t>
      </w:r>
    </w:p>
    <w:p w:rsidR="0015244F" w:rsidRDefault="00A565B8">
      <w:pPr>
        <w:keepNext/>
        <w:spacing w:before="240" w:after="120" w:line="240" w:lineRule="auto"/>
        <w:jc w:val="center"/>
      </w:pPr>
      <w:r>
        <w:rPr>
          <w:noProof/>
        </w:rPr>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lastRenderedPageBreak/>
        <w:t>Stage 1 — Collection.</w:t>
      </w:r>
      <w:r>
        <w:t xml:space="preserve"> Four drive-test campaigns are condu</w:t>
      </w:r>
      <w:r>
        <w:t xml:space="preserve">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w:t>
      </w:r>
      <w:r>
        <w:t>ce at its own timestamp.</w:t>
      </w:r>
    </w:p>
    <w:p w:rsidR="0015244F" w:rsidRDefault="00A565B8">
      <w:pPr>
        <w:ind w:firstLine="567"/>
        <w:jc w:val="both"/>
      </w:pPr>
      <w:r>
        <w:rPr>
          <w:b/>
          <w:bCs/>
        </w:rPr>
        <w:t xml:space="preserve">Stage 3 — Feature construction. </w:t>
      </w:r>
      <w:r>
        <w:rPr>
          <w:b w:val="0"/>
        </w:rPr>
        <w:t>112 features are constructed from radio, mobility and session-history sources, with a further 10 signalling and configuration columns reserved for the ablation of Section 5.8; Table 4.3 gives the block-by-block reconciliation. All are strictly causal, closing at the prediction instant, and none crosses a campaign boundary. Every export-derived column is lagged by one row for the reason established in Section 5.1.</w:t>
      </w:r>
      <w:proofErr w:type="spellStart"/>
      <w:r/>
      <w:proofErr w:type="spellEnd"/>
      <w:r/>
      <w:r/>
    </w:p>
    <w:p w:rsidR="0015244F" w:rsidRDefault="00A565B8">
      <w:pPr>
        <w:ind w:firstLine="567"/>
        <w:jc w:val="both"/>
      </w:pPr>
      <w:r>
        <w:rPr>
          <w:b/>
          <w:bCs/>
        </w:rPr>
        <w:t xml:space="preserve">Stage 4 — Formulation and modelling. </w:t>
      </w:r>
      <w:r>
        <w:rPr>
          <w:b w:val="0"/>
        </w:rPr>
        <w:t>The task is posed as discrete-time survival. A single model estimates the per-interval hazard and horizon probabilities are recovered by the product-limit identity, which guarantees ordering. Seven learners are compared under identical conditions.</w:t>
      </w:r>
      <w:r/>
    </w:p>
    <w:p w:rsidR="0015244F" w:rsidRDefault="00A565B8">
      <w:pPr>
        <w:ind w:firstLine="567"/>
        <w:jc w:val="both"/>
      </w:pPr>
      <w:r>
        <w:rPr>
          <w:b/>
          <w:bCs/>
        </w:rPr>
        <w:t xml:space="preserve">Stage 5 — Evaluation and risk control. </w:t>
      </w:r>
      <w:r>
        <w:rPr>
          <w:b w:val="0"/>
        </w:rPr>
        <w:t>The primary split holds out a whole campaign, since each campaign is one continuous logging session and is therefore the unit within which rows are dependent; three further protocols are measured against it so the cost of a looser unit is quantified rather than assumed. Stochastic learners are averaged over three seeds, confidence intervals come from a block bootstrap over 180-second blocks within campaigns, and a warning threshold is certified by conformal risk control whose exchangeable unit is stated and tested in both the regime where it holds and the regime where it does not.</w:t>
      </w:r>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w:t>
      </w:r>
      <w:r>
        <w:t>radictory outputs 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w:t>
      </w:r>
      <w:r>
        <w:t xml:space="preserve">the comparator literature was implemented solely to measure what it is worth. It is rejected because adjacent one-second samples within a drive are near-duplicates, so a random split places nearly </w:t>
      </w:r>
      <w:r>
        <w:lastRenderedPageBreak/>
        <w:t>identical rows on both sides of it; Chapter 5 shows that th</w:t>
      </w:r>
      <w:r>
        <w:t>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w:t>
      </w:r>
      <w:r>
        <w:t xml:space="preserve">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w:t>
      </w:r>
      <w:r>
        <w: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w:t>
      </w:r>
      <w:r>
        <w:t xml:space="preserve">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w:t>
      </w:r>
      <w:r>
        <w:t xml:space="preserve">describes the four campaigns and the routes they cover. Section 3.3 describes the </w:t>
      </w:r>
      <w:proofErr w:type="spellStart"/>
      <w:r>
        <w:t>signalling</w:t>
      </w:r>
      <w:proofErr w:type="spellEnd"/>
      <w:r>
        <w:t>-decoding procedure and the configuration-timeline correction that it required. Section 3.4 describes how continuous driving is segmented into drives and quality co</w:t>
      </w:r>
      <w:r>
        <w:t xml:space="preserve">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w:t>
      </w:r>
      <w:r>
        <w:t xml:space="preserve">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w:t>
      </w:r>
      <w:r>
        <w:t>of this class of instrumentation for RRC extraction on live networks follows established practice in the measurement literature [5], [4].</w:t>
      </w:r>
    </w:p>
    <w:p w:rsidR="0015244F" w:rsidRDefault="00A565B8">
      <w:pPr>
        <w:ind w:firstLine="567"/>
        <w:jc w:val="both"/>
      </w:pPr>
      <w:r>
        <w:t>The radio export carries, per sample, the serving-cell physical cell identity (PCI), E-UTRA absolute radio frequency c</w:t>
      </w:r>
      <w:r>
        <w:t xml:space="preserve">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w:t>
      </w:r>
      <w:r>
        <w:t xml:space="preserve">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w:t>
      </w:r>
      <w:r>
        <w:t xml:space="preserve">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w:t>
      </w:r>
      <w:r>
        <w: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r/>
      <w:proofErr w:type="spellEnd"/>
      <w:r/>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r/>
      <w:proofErr w:type="spellStart"/>
      <w:r/>
      <w:proofErr w:type="spellEnd"/>
      <w:r/>
    </w:p>
    <w:p w:rsidR="0015244F" w:rsidRDefault="00A565B8">
      <w:pPr>
        <w:ind w:firstLine="567"/>
        <w:jc w:val="both"/>
      </w:pPr>
      <w:r>
        <w:t xml:space="preserve">The clustering visible in Figure 3.1 is the first indication that the prediction signal is partly geometric, and </w:t>
      </w:r>
      <w:r>
        <w:t xml:space="preserve">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r/>
      <w:r>
        <w:rPr>
          <w:b/>
          <w:bCs/>
        </w:rPr>
      </w:r>
      <w:r/>
      <w:proofErr w:type="spellStart"/>
      <w:r/>
      <w:proofErr w:type="spellEnd"/>
      <w:r/>
      <w:r/>
      <w:r/>
    </w:p>
    <w:p w:rsidR="0015244F" w:rsidRDefault="00A565B8">
      <w:pPr>
        <w:pStyle w:val="Heading2"/>
        <w:spacing w:before="360" w:after="140"/>
      </w:pPr>
      <w:r>
        <w:t xml:space="preserve">3.3 </w:t>
      </w:r>
      <w:proofErr w:type="spellStart"/>
      <w:r>
        <w:t>Signalling</w:t>
      </w:r>
      <w:proofErr w:type="spellEnd"/>
      <w:r>
        <w:t xml:space="preserve"> decodi</w:t>
      </w:r>
      <w:r>
        <w:t>ng and the configuration timeline</w:t>
      </w:r>
    </w:p>
    <w:p w:rsidR="0015244F" w:rsidRDefault="00A565B8">
      <w:pPr>
        <w:pStyle w:val="Heading3"/>
        <w:spacing w:before="280" w:after="120"/>
      </w:pPr>
      <w:r>
        <w:t>3.3.1 The attribution chain</w:t>
      </w:r>
    </w:p>
    <w:p w:rsidR="0015244F" w:rsidRDefault="00A565B8">
      <w:pPr>
        <w:ind w:firstLine="567"/>
        <w:jc w:val="both"/>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roofErr w:type="spellStart"/>
      <w:r/>
      <w:proofErr w:type="spellEnd"/>
      <w:r/>
      <w:proofErr w:type="spellStart"/>
      <w:r/>
      <w:proofErr w:type="spellEnd"/>
      <w:r/>
      <w:proofErr w:type="spellStart"/>
      <w:r/>
      <w:proofErr w:type="spellEnd"/>
      <w:r/>
      <w:proofErr w:type="spellStart"/>
      <w:r/>
      <w:r/>
      <w:proofErr w:type="spellEnd"/>
      <w:r/>
      <w:r/>
    </w:p>
    <w:p w:rsidR="0015244F" w:rsidRDefault="00A565B8">
      <w:pPr>
        <w:pStyle w:val="Heading3"/>
        <w:spacing w:before="280" w:after="120"/>
      </w:pPr>
      <w:r>
        <w:t>3.3.2 Why a flat parse is wrong</w:t>
      </w:r>
    </w:p>
    <w:p w:rsidR="0015244F" w:rsidRDefault="00A565B8">
      <w:pPr>
        <w:ind w:firstLine="567"/>
        <w:jc w:val="both"/>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roofErr w:type="spellStart"/>
      <w:r/>
      <w:proofErr w:type="spellEnd"/>
      <w:r/>
      <w:r/>
      <w:proofErr w:type="spellStart"/>
      <w:r/>
      <w:proofErr w:type="spellEnd"/>
      <w:r/>
      <w:r/>
    </w:p>
    <w:p w:rsidR="0015244F" w:rsidRDefault="00A565B8">
      <w:pPr>
        <w:ind w:firstLine="567"/>
        <w:jc w:val="both"/>
      </w:pPr>
      <w:r>
        <w:t>Applied to this dataset, such a flat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that exposed the error. Correcting it is a bug fix rather than a contribution, and it is reported here as part of the method.</w:t>
      </w:r>
      <w:r/>
      <w:proofErr w:type="spellStart"/>
      <w:r/>
      <w:proofErr w:type="spellEnd"/>
      <w:r/>
      <w:proofErr w:type="spellStart"/>
      <w:r/>
      <w:proofErr w:type="spellEnd"/>
      <w:r/>
      <w:proofErr w:type="spellStart"/>
      <w:r/>
      <w:proofErr w:type="spellEnd"/>
      <w:r/>
      <w:r/>
    </w:p>
    <w:p w:rsidR="0015244F" w:rsidRDefault="00A565B8">
      <w:pPr>
        <w:pStyle w:val="Heading3"/>
        <w:spacing w:before="280" w:after="120"/>
      </w:pPr>
      <w:r>
        <w:t>3.3.3 The timeline</w:t>
      </w:r>
    </w:p>
    <w:p w:rsidR="0015244F" w:rsidRDefault="00A565B8">
      <w:pPr>
        <w:ind w:firstLine="567"/>
        <w:jc w:val="both"/>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r/>
      <w:r>
        <w:rPr>
          <w:i/>
          <w:iCs/>
        </w:rPr>
      </w:r>
      <w:r/>
      <w:proofErr w:type="spellStart"/>
      <w:r/>
      <w:proofErr w:type="spellEnd"/>
      <w:r/>
      <w:r/>
      <w:r>
        <w:rPr>
          <w:i/>
          <w:iCs/>
        </w:rPr>
      </w:r>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p>
    <w:p w:rsidR="0015244F" w:rsidRDefault="00A565B8">
      <w:pPr>
        <w:ind w:firstLine="567"/>
        <w:jc w:val="both"/>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
        <w:rPr>
          <w:i/>
          <w:iCs/>
        </w:rPr>
      </w:r>
      <w: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w:t>
      </w:r>
      <w:r>
        <w:rPr>
          <w:b/>
          <w:bCs/>
        </w:rPr>
        <w:t>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r>
        <w:t>.</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blPrEx>
          <w:tblCellMar>
            <w:top w:w="0" w:type="dxa"/>
            <w:bottom w:w="0" w:type="dxa"/>
          </w:tblCellMar>
        </w:tblPrEx>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blPrEx>
          <w:tblCellMar>
            <w:top w:w="0" w:type="dxa"/>
            <w:bottom w:w="0" w:type="dxa"/>
          </w:tblCellMar>
        </w:tblPrEx>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blPrEx>
          <w:tblCellMar>
            <w:top w:w="0" w:type="dxa"/>
            <w:bottom w:w="0" w:type="dxa"/>
          </w:tblCellMar>
        </w:tblPrEx>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blPrEx>
          <w:tblCellMar>
            <w:top w:w="0" w:type="dxa"/>
            <w:bottom w:w="0" w:type="dxa"/>
          </w:tblCellMar>
        </w:tblPrEx>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blPrEx>
          <w:tblCellMar>
            <w:top w:w="0" w:type="dxa"/>
            <w:bottom w:w="0" w:type="dxa"/>
          </w:tblCellMar>
        </w:tblPrEx>
        <w:trPr>
          <w:tblHeader/>
        </w:trPr>
        <w:tc>
          <w:tcPr>
            <w:tcMar>
              <w:top w:w="60" w:type="dxa"/>
              <w:left w:w="100" w:type="dxa"/>
              <w:bottom w:w="60" w:type="dxa"/>
              <w:right w:w="100" w:type="dxa"/>
            </w:tcMar>
          </w:tcPr>
          <w:p>
            <w:r>
              <w:t>all other A3 profiles (1 of them)</w:t>
            </w:r>
          </w:p>
        </w:tc>
        <w:tc>
          <w:tcPr>
            <w:tcMar>
              <w:top w:w="60" w:type="dxa"/>
              <w:left w:w="100" w:type="dxa"/>
              <w:bottom w:w="60" w:type="dxa"/>
              <w:right w:w="100" w:type="dxa"/>
            </w:tcMar>
          </w:tcPr>
          <w:p>
            <w:r>
              <w:t>3</w:t>
            </w:r>
          </w:p>
        </w:tc>
        <w:tc>
          <w:tcPr>
            <w:tcMar>
              <w:top w:w="60" w:type="dxa"/>
              <w:left w:w="100" w:type="dxa"/>
              <w:bottom w:w="60" w:type="dxa"/>
              <w:right w:w="100" w:type="dxa"/>
            </w:tcMar>
          </w:tcPr>
          <w:p>
            <w:r>
              <w:t>0.3 %</w:t>
            </w:r>
          </w:p>
        </w:tc>
      </w:tr>
      <w:tr w:rsidR="0015244F">
        <w:tblPrEx>
          <w:tblCellMar>
            <w:top w:w="0" w:type="dxa"/>
            <w:bottom w:w="0" w:type="dxa"/>
          </w:tblCellMar>
        </w:tblPrEx>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blPrEx>
          <w:tblCellMar>
            <w:top w:w="0" w:type="dxa"/>
            <w:bottom w:w="0" w:type="dxa"/>
          </w:tblCellMar>
        </w:tblPrEx>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blPrEx>
          <w:tblCellMar>
            <w:top w:w="0" w:type="dxa"/>
            <w:bottom w:w="0" w:type="dxa"/>
          </w:tblCellMar>
        </w:tblPrEx>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blPrEx>
          <w:tblCellMar>
            <w:top w:w="0" w:type="dxa"/>
            <w:bottom w:w="0" w:type="dxa"/>
          </w:tblCellMar>
        </w:tblPrEx>
        <w:trPr>
          <w:tblHeader/>
        </w:trPr>
        <w:tc>
          <w:tcPr>
            <w:tcMar>
              <w:top w:w="60" w:type="dxa"/>
              <w:left w:w="100" w:type="dxa"/>
              <w:bottom w:w="60" w:type="dxa"/>
              <w:right w:w="100" w:type="dxa"/>
            </w:tcMar>
          </w:tcPr>
          <w:p>
            <w:r>
              <w:t>all other non-A3 triggers (3 of them)</w:t>
            </w:r>
          </w:p>
        </w:tc>
        <w:tc>
          <w:tcPr>
            <w:tcMar>
              <w:top w:w="60" w:type="dxa"/>
              <w:left w:w="100" w:type="dxa"/>
              <w:bottom w:w="60" w:type="dxa"/>
              <w:right w:w="100" w:type="dxa"/>
            </w:tcMar>
          </w:tcPr>
          <w:p>
            <w:r>
              <w:t>47</w:t>
            </w:r>
          </w:p>
        </w:tc>
        <w:tc>
          <w:tcPr>
            <w:tcMar>
              <w:top w:w="60" w:type="dxa"/>
              <w:left w:w="100" w:type="dxa"/>
              <w:bottom w:w="60" w:type="dxa"/>
              <w:right w:w="100" w:type="dxa"/>
            </w:tcMar>
          </w:tcPr>
          <w:p>
            <w:r>
              <w:t>4.9 %</w:t>
            </w:r>
          </w:p>
        </w:tc>
      </w:tr>
      <w:tr w:rsidR="0015244F">
        <w:tblPrEx>
          <w:tblCellMar>
            <w:top w:w="0" w:type="dxa"/>
            <w:bottom w:w="0" w:type="dxa"/>
          </w:tblCellMar>
        </w:tblPrEx>
        <w:trPr>
          <w:tblHeader/>
        </w:trPr>
        <w:tc>
          <w:tcPr>
            <w:tcMar>
              <w:top w:w="60" w:type="dxa"/>
              <w:left w:w="100" w:type="dxa"/>
              <w:bottom w:w="60" w:type="dxa"/>
              <w:right w:w="100" w:type="dxa"/>
            </w:tcMar>
          </w:tcPr>
          <w:p>
            <w:r>
              <w:t>Total handover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100.0 %</w:t>
            </w:r>
          </w:p>
        </w:tc>
      </w:tr>
      <w:tr w:rsidR="0015244F">
        <w:tblPrEx>
          <w:tblCellMar>
            <w:top w:w="0" w:type="dxa"/>
            <w:bottom w:w="0" w:type="dxa"/>
          </w:tblCellMar>
        </w:tblPrEx>
        <w:trPr>
          <w:tblHeader/>
        </w:trPr>
        <w:tc>
          <w:tcPr>
            <w:tcMar>
              <w:top w:w="60" w:type="dxa"/>
              <w:left w:w="100" w:type="dxa"/>
              <w:bottom w:w="60" w:type="dxa"/>
              <w:right w:w="100" w:type="dxa"/>
            </w:tcMar>
          </w:tcPr>
          <w:p>
            <w:r>
              <w:t>of which A3-triggered, under a positive offset</w:t>
            </w:r>
          </w:p>
        </w:tc>
        <w:tc>
          <w:tcPr>
            <w:tcMar>
              <w:top w:w="60" w:type="dxa"/>
              <w:left w:w="100" w:type="dxa"/>
              <w:bottom w:w="60" w:type="dxa"/>
              <w:right w:w="100" w:type="dxa"/>
            </w:tcMar>
          </w:tcPr>
          <w:p>
            <w:r>
              <w:t>487 of 651 A3</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74.8% of A3-triggered commands (487 of 651) follow a report sent under a positive offset. That share belongs to the positive-offset profiles collectively and not to any one of them, and an earlier draft of this work attributed it to the dominant profile alone. The A3 +1 dB, Hys 1 dB, TTT 320 ms profile accounts for 472 of those commands, which is 72.5% of A3-triggered handovers; the remaining 15 come from the other positive-offset profiles listed in Table 3.1. The negative-offset configurations are re-reporting configurations — long report intervals, mostly unconverted episodes — and are better read as neighbour-monitoring than as a mobility trigger.</w:t>
      </w:r>
      <w:r/>
      <w:r>
        <w:rPr>
          <w:b/>
          <w:bCs/>
        </w:rPr>
      </w:r>
      <w:r/>
      <w:proofErr w:type="spellStart"/>
      <w:r/>
      <w:proofErr w:type="spellEnd"/>
      <w:r/>
      <w:r>
        <w:rPr>
          <w:i/>
          <w:iCs/>
        </w:rPr>
      </w:r>
      <w:r/>
      <w:r/>
      <w:proofErr w:type="spellStart"/>
      <w:r/>
      <w:proofErr w:type="spellEnd"/>
      <w:r/>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r/>
      <w:proofErr w:type="gramStart"/>
      <w:r/>
      <w:proofErr w:type="gramEnd"/>
      <w:r/>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Table 3</w:t>
      </w:r>
      <w:r>
        <w:t xml:space="preserve">.2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blPrEx>
          <w:tblCellMar>
            <w:top w:w="0" w:type="dxa"/>
            <w:bottom w:w="0" w:type="dxa"/>
          </w:tblCellMar>
        </w:tblPrEx>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A565B8">
      <w:pPr>
        <w:pStyle w:val="TableCaption"/>
        <w:spacing w:before="240" w:after="120" w:line="240" w:lineRule="auto"/>
        <w:jc w:val="center"/>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Campaign</w:t>
            </w:r>
          </w:p>
        </w:tc>
        <w:tc>
          <w:tcPr/>
          <w:p>
            <w:r>
              <w:t>Commands</w:t>
            </w:r>
          </w:p>
        </w:tc>
        <w:tc>
          <w:tcPr/>
          <w:p>
            <w:r>
              <w:t>With a decoded Complete</w:t>
            </w:r>
          </w:p>
        </w:tc>
        <w:tc>
          <w:tcPr/>
          <w:p>
            <w:r>
              <w:t>Median interruption</w:t>
            </w:r>
          </w:p>
        </w:tc>
        <w:tc>
          <w:tcPr/>
          <w:p>
            <w:r>
              <w:t>Re-establishments</w:t>
            </w:r>
          </w:p>
        </w:tc>
        <w:tc>
          <w:tcPr/>
          <w:p>
            <w:r>
              <w:t>Commands followed by one within 5 s</w:t>
            </w:r>
          </w:p>
        </w:tc>
        <w:tc>
          <w:tcPr/>
          <w:p>
            <w:r>
              <w:t>Re-establishments within 2 s of a command</w:t>
            </w:r>
          </w:p>
        </w:tc>
      </w:tr>
      <w:tr>
        <w:tc>
          <w:tcPr/>
          <w:p>
            <w:r>
              <w:t>10 Sept (urban arterial)</w:t>
            </w:r>
          </w:p>
        </w:tc>
        <w:tc>
          <w:tcPr/>
          <w:p>
            <w:r>
              <w:t>307</w:t>
            </w:r>
          </w:p>
        </w:tc>
        <w:tc>
          <w:tcPr/>
          <w:p>
            <w:r>
              <w:t>307 (100%)</w:t>
            </w:r>
          </w:p>
        </w:tc>
        <w:tc>
          <w:tcPr/>
          <w:p>
            <w:r>
              <w:t>1 ms</w:t>
            </w:r>
          </w:p>
        </w:tc>
        <w:tc>
          <w:tcPr/>
          <w:p>
            <w:r>
              <w:t>113</w:t>
            </w:r>
          </w:p>
        </w:tc>
        <w:tc>
          <w:tcPr/>
          <w:p>
            <w:r>
              <w:t>19</w:t>
            </w:r>
          </w:p>
        </w:tc>
        <w:tc>
          <w:tcPr/>
          <w:p>
            <w:r>
              <w:t>30</w:t>
            </w:r>
          </w:p>
        </w:tc>
      </w:tr>
      <w:tr>
        <w:tc>
          <w:tcPr/>
          <w:p>
            <w:r>
              <w:t>12 Sept (urban loop)</w:t>
            </w:r>
          </w:p>
        </w:tc>
        <w:tc>
          <w:tcPr/>
          <w:p>
            <w:r>
              <w:t>176</w:t>
            </w:r>
          </w:p>
        </w:tc>
        <w:tc>
          <w:tcPr/>
          <w:p>
            <w:r>
              <w:t>176 (100%)</w:t>
            </w:r>
          </w:p>
        </w:tc>
        <w:tc>
          <w:tcPr/>
          <w:p>
            <w:r>
              <w:t>0 ms</w:t>
            </w:r>
          </w:p>
        </w:tc>
        <w:tc>
          <w:tcPr/>
          <w:p>
            <w:r>
              <w:t>64</w:t>
            </w:r>
          </w:p>
        </w:tc>
        <w:tc>
          <w:tcPr/>
          <w:p>
            <w:r>
              <w:t>8</w:t>
            </w:r>
          </w:p>
        </w:tc>
        <w:tc>
          <w:tcPr/>
          <w:p>
            <w:r>
              <w:t>12</w:t>
            </w:r>
          </w:p>
        </w:tc>
      </w:tr>
      <w:tr>
        <w:tc>
          <w:tcPr/>
          <w:p>
            <w:r>
              <w:t>13 Sept (dense urban)</w:t>
            </w:r>
          </w:p>
        </w:tc>
        <w:tc>
          <w:tcPr/>
          <w:p>
            <w:r>
              <w:t>297</w:t>
            </w:r>
          </w:p>
        </w:tc>
        <w:tc>
          <w:tcPr/>
          <w:p>
            <w:r>
              <w:t>297 (100%)</w:t>
            </w:r>
          </w:p>
        </w:tc>
        <w:tc>
          <w:tcPr/>
          <w:p>
            <w:r>
              <w:t>1 ms</w:t>
            </w:r>
          </w:p>
        </w:tc>
        <w:tc>
          <w:tcPr/>
          <w:p>
            <w:r>
              <w:t>159</w:t>
            </w:r>
          </w:p>
        </w:tc>
        <w:tc>
          <w:tcPr/>
          <w:p>
            <w:r>
              <w:t>5</w:t>
            </w:r>
          </w:p>
        </w:tc>
        <w:tc>
          <w:tcPr/>
          <w:p>
            <w:r>
              <w:t>13</w:t>
            </w:r>
          </w:p>
        </w:tc>
      </w:tr>
      <w:tr>
        <w:tc>
          <w:tcPr/>
          <w:p>
            <w:r>
              <w:t>15 Sept (highway)</w:t>
            </w:r>
          </w:p>
        </w:tc>
        <w:tc>
          <w:tcPr/>
          <w:p>
            <w:r>
              <w:t>177</w:t>
            </w:r>
          </w:p>
        </w:tc>
        <w:tc>
          <w:tcPr/>
          <w:p>
            <w:r>
              <w:t>177 (100%)</w:t>
            </w:r>
          </w:p>
        </w:tc>
        <w:tc>
          <w:tcPr/>
          <w:p>
            <w:r>
              <w:t>1 ms</w:t>
            </w:r>
          </w:p>
        </w:tc>
        <w:tc>
          <w:tcPr/>
          <w:p>
            <w:r>
              <w:t>5</w:t>
            </w:r>
          </w:p>
        </w:tc>
        <w:tc>
          <w:tcPr/>
          <w:p>
            <w:r>
              <w:t>4</w:t>
            </w:r>
          </w:p>
        </w:tc>
        <w:tc>
          <w:tcPr/>
          <w:p>
            <w:r>
              <w:t>0</w:t>
            </w:r>
          </w:p>
        </w:tc>
      </w:tr>
      <w:tr>
        <w:tc>
          <w:tcPr/>
          <w:p>
            <w:r>
              <w:t>pooled</w:t>
            </w:r>
          </w:p>
        </w:tc>
        <w:tc>
          <w:tcPr/>
          <w:p>
            <w:r>
              <w:t>957</w:t>
            </w:r>
          </w:p>
        </w:tc>
        <w:tc>
          <w:tcPr/>
          <w:p>
            <w:r>
              <w:t>957 (100%)</w:t>
            </w:r>
          </w:p>
        </w:tc>
        <w:tc>
          <w:tcPr/>
          <w:p>
            <w:r>
              <w:t>1 ms</w:t>
            </w:r>
          </w:p>
        </w:tc>
        <w:tc>
          <w:tcPr/>
          <w:p>
            <w:r>
              <w:t>341</w:t>
            </w:r>
          </w:p>
        </w:tc>
        <w:tc>
          <w:tcPr/>
          <w:p>
            <w:r>
              <w:t>36</w:t>
            </w:r>
          </w:p>
        </w:tc>
        <w:tc>
          <w:tcPr/>
          <w:p>
            <w:r>
              <w:t>55</w:t>
            </w:r>
          </w:p>
        </w:tc>
      </w:tr>
    </w:tbl>
    <w:p w:rsidR="0015244F" w:rsidRDefault="0015244F">
      <w:pPr>
        <w:spacing w:after="120" w:line="240" w:lineRule="auto"/>
      </w:pPr>
    </w:p>
    <w:p w:rsidR="0015244F" w:rsidRDefault="00A565B8">
      <w:pPr>
        <w:ind w:firstLine="567"/>
        <w:jc w:val="both"/>
      </w:pPr>
      <w:r>
        <w:t>The four campaigns cover 96 km of driving as recorded; the rows that survive to the modelling frame cover 78 km of that, and rates expressed per kilometre in Chapter 5 use the shorter figure, since that is the distance over which the model is scored. A handover command is issued on average once every 11 seconds, with a median inter-command gap of 3.7 seconds. Table 3.3 also reconciles the two re-establishment counts, which do not match by design: Table 3.2 counts every re-establishment in each session, while Table 3.3 counts only those close to a handover command. The difference is the point — most re-establishments in this corpus are not consequent on mobility at all, and the 286 that fall outside the two-second window after a command occur during ordinary connected-mode operation, predominantly at session start and after coverage gaps.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w:t>
      </w:r>
      <w:proofErr w:type="spellStart"/>
      <w:r/>
      <w:proofErr w:type="spellEnd"/>
      <w:r/>
      <w:proofErr w:type="spellStart"/>
      <w:r/>
      <w:r/>
      <w:proofErr w:type="spellEnd"/>
      <w:r/>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A rate of one re-establishment per three handover commands invites the question whether the commands themselves succeeded, since a label that means only a command was issued would make every event-level figure in this thesis uncertain. They did. Every one of the 957 commands in the event set carries a decoded RRCConnectionReconfigurationComplete (100%), which is what defines the set; only 36 commands are followed by a re-establishment within five seconds, and only 55 of the 341 re-establishments fall within two seconds after a command. The re-establishments are therefore concurrent with the measurement campaign rather than consequent on the handovers it records, which is what the cause breakdown already implied and what this check establishes. Table 3.3 reports the completion rate per campaign. Figure 3.4 shows the distribution of samples and events across the campaigns.</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r/>
    </w:p>
    <w:p w:rsidR="0015244F" w:rsidRDefault="00A565B8">
      <w:pPr>
        <w:ind w:firstLine="567"/>
        <w:jc w:val="both"/>
      </w:pPr>
      <w:r>
        <w:t>The sampling rate caps event resolution and, more importantly, fixes the information cut-off. At one sample per second the earliest usable evidence for a handover at time tau is the row closing at or before the prediction instant; Section 5.1 shows what happens when that is not enforced. The fraction of events that have at least one usable row inside the one-second window before them is 64.6%, and event-level detection figures are reported against that ceiling rather than against 100 %.</w:t>
      </w:r>
      <w:r>
        <w:rPr>
          <w:b/>
          <w:bCs/>
        </w:rPr>
      </w:r>
      <w:r>
        <w:rPr>
          <w:b/>
          <w:bCs/>
        </w:rPr>
      </w: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w:t>
      </w:r>
      <w:r>
        <w:t xml:space="preserve">screte-time survival formulation adopted in its place, and Section 4.4 gives its likelihood under censoring. Section 4.5 explains why class reweighting, the standard reflex on a rare-event task, is inadmissible under this formulation. Sections 4.6 and 4.7 </w:t>
      </w:r>
      <w:r>
        <w:t xml:space="preserve">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w:t>
      </w:r>
      <w:r>
        <w:t>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w:t>
      </w:r>
      <w:r>
        <w:t xml:space="preserve">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The task is to estimate,</w:t>
      </w:r>
      <w:r>
        <w:t xml:space="preserv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 K = 5 and horizons of 0.5, 1, 2, 3 and 5 seconds. Samples for which the drive ends before the next handover occurs are right-censored: the event is known not to have occurred within the observed window, but its eventual time is unknown. The formulation that follows handles such samples, and Section 4.4 gives the likelihood that does so. It should be said immediately, however, that on this dataset the machinery is exercised by nothing: the row filter of Section 4.1 keeps only rows carrying a full five-second follow-up window inside their own campaign, so no retained row is censored inside the horizon grid. The censoring treatment is therefore developed because the formulation is not specific to these four campaigns — a longer horizon grid or a shorter session would make it bind — and it is not counted anywhere in this thesis as an advantage the measurements demonstrate.</w:t>
      </w:r>
      <w:proofErr w:type="gramEnd"/>
      <w:r/>
      <w:r>
        <w:rPr>
          <w:i/>
          <w:iCs/>
        </w:rPr>
      </w:r>
      <w:r/>
      <w:r>
        <w:rPr>
          <w:b/>
          <w:bCs/>
        </w:rPr>
      </w:r>
      <w:r/>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 xml:space="preserve">The defect. </w:t>
      </w:r>
      <w:r>
        <w:rPr>
          <w:b w:val="0"/>
        </w:rPr>
        <w:t>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Pr>
          <w:i/>
          <w:iCs/>
        </w:rPr>
      </w: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r/>
    </w:p>
    <w:p w:rsidR="0015244F" w:rsidRDefault="00A565B8">
      <w:pPr>
        <w:ind w:firstLine="567"/>
        <w:jc w:val="both"/>
      </w:pPr>
      <w:r>
        <w:t>A violation is not a small numerical irregularity. It is an assertion that a handover is more likely within one second than within three, which is impossible, and it destroys</w:t>
      </w:r>
      <w:r>
        <w:t xml:space="preserve"> the interpretation of the output as a probability. An operator presented with such a pair of numbers cannot act on either.</w:t>
      </w:r>
    </w:p>
    <w:p w:rsidR="0015244F" w:rsidRDefault="00A565B8">
      <w:pPr>
        <w:ind w:firstLine="567"/>
        <w:jc w:val="both"/>
      </w:pPr>
      <w:r>
        <w:rPr>
          <w:b/>
          <w:bCs/>
        </w:rPr>
        <w:t xml:space="preserve">Why post-hoc repair is not free, and where it is. </w:t>
      </w:r>
      <w:r>
        <w:rPr>
          <w:b w:val="0"/>
        </w:rPr>
        <w:t>The defect can be repaired after the fact by projecting the K outputs onto the monotone cone — a per-row cumulative maximum, or the pool-adjacent-violators projection — or by calibrating each horizon separately with the isotonic regression of Zadrozny and Elkan [34], which is the standard non-parametric alternative to the temperature scaling of Guo et al. [33] and is preferred here because temperature scaling is monotone in the score and so cannot change a horizon ordering at all. All three repairs are implemented and reported in Section 5.4 as controls, and the first two need no held-out split and reach zero violations by construction, exactly as the hazard formulation does. What remains of the case for the hazard formulation, after the concessions this section and Section 5.4 make, is narrow and should be stated as such: it achieves coherence from one fit rather than five, and it calibrates better than the projected controls at the horizons where the output is usable as a probability. Two advantages claimed for it elsewhere in the literature do not apply to this data and are withdrawn here. It does not rank better — Section 5.4 measures the hazard arm slightly below the independent control, well inside the per-campaign spread. And it does not inherit any benefit from the censoring treatment of Section 4.4, because no row in this dataset is censored inside the horizon grid; the censoring-aware likelihood is correct and general, and on these four campaigns it is inert. That leaves a convenience argument and a calibration argument, and the abstract and Chapter 7 now say so.</w:t>
      </w:r>
      <w:r>
        <w:rPr>
          <w:i/>
          <w:iCs/>
        </w:rPr>
      </w:r>
      <w: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w:t>
      </w:r>
      <w:r>
        <w: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w:t>
      </w:r>
      <w:r>
        <w:rPr>
          <w:i/>
          <w:iCs/>
        </w:rPr>
        <w:t xml:space="preserve">(h_1,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w:t>
      </w:r>
      <w:r>
        <w:t>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per bin produces a coherent set of horizon probabilities under Equation (4.4). This is why the coherence result reported in Section 5.4 is l</w:t>
      </w:r>
      <w:r>
        <w:t xml:space="preserve">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w:t>
      </w:r>
      <w:r>
        <w:t>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Equation (4.6) is exactly a binary cross-entropy over the expanded set of (sample × at-risk bin) pairs. The pract</w:t>
      </w:r>
      <w:r>
        <w:t xml:space="preserve">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w:t>
      </w:r>
      <w:r>
        <w:t xml:space="preserve">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blPrEx>
          <w:tblCellMar>
            <w:top w:w="0" w:type="dxa"/>
            <w:bottom w:w="0" w:type="dxa"/>
          </w:tblCellMar>
        </w:tblPrEx>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blPrEx>
          <w:tblCellMar>
            <w:top w:w="0" w:type="dxa"/>
            <w:bottom w:w="0" w:type="dxa"/>
          </w:tblCellMar>
        </w:tblPrEx>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blPrEx>
          <w:tblCellMar>
            <w:top w:w="0" w:type="dxa"/>
            <w:bottom w:w="0" w:type="dxa"/>
          </w:tblCellMar>
        </w:tblPrEx>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blPrEx>
          <w:tblCellMar>
            <w:top w:w="0" w:type="dxa"/>
            <w:bottom w:w="0" w:type="dxa"/>
          </w:tblCellMar>
        </w:tblPrEx>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blPrEx>
          <w:tblCellMar>
            <w:top w:w="0" w:type="dxa"/>
            <w:bottom w:w="0" w:type="dxa"/>
          </w:tblCellMar>
        </w:tblPrEx>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r>
        <w:t>).</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Ranking metrics are invariant under this transformation, since AUPRC and AUROC depend only on the order of scores. The probability scale, however, is not. Writing the reweighted hazards as λ̃_k ≈ w λ_k for small λ_k, the survival function is transformed as</w:t>
      </w:r>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Either way the calibrated interpretation is destroyed while the ranking is untouched, which is the reason both the hazard arm and the independent-classifier control arm are fitted unweighted, and the fairness of the comparison between them is a secondary benefit.</w:t>
      </w:r>
      <w:proofErr w:type="gramEnd"/>
      <w:r/>
      <w:r/>
    </w:p>
    <w:p w:rsidR="0015244F" w:rsidRDefault="00A565B8">
      <w:pPr>
        <w:pStyle w:val="Heading2"/>
        <w:spacing w:before="360" w:after="140"/>
      </w:pPr>
      <w:r>
        <w:t>4.6 Feature constru</w:t>
      </w:r>
      <w:r>
        <w:t>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 xml:space="preserve">Design. </w:t>
      </w:r>
      <w:r>
        <w:rPr>
          <w:b w:val="0"/>
        </w:rPr>
        <w:t>The feature vector at the prediction instant t has three blocks and 112 columns in total: 89 radio, 17 mobility and 6 history. The radio and mobility blocks are built from the one-hertz export; the history block is built from the decoded signalling. A further 10 signalling and configuration columns are built but withheld from every learner outside the ablation of Section 5.8, so the design matrix on disk has 122 columns while the main feature set has 112; Table 4.3 gives the reconciliation, and every count quoted anywhere in this thesis is generated from it. Two rules govern the construction of the blocks, and the first is the single most consequential decision in this thesis.</w:t>
      </w:r>
      <w:proofErr w:type="spellStart"/>
      <w:r/>
      <w:proofErr w:type="spellEnd"/>
      <w:r/>
    </w:p>
    <w:p w:rsidR="0015244F" w:rsidRDefault="00A565B8">
      <w:pPr>
        <w:pStyle w:val="TableCaption"/>
        <w:spacing w:before="240" w:after="120" w:line="240" w:lineRule="auto"/>
        <w:jc w:val="center"/>
      </w:pPr>
      <w:r>
        <w:t>Alignment. 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r/>
    </w:p>
    <w:p w:rsidR="0015244F" w:rsidRDefault="00A565B8">
      <w:pPr>
        <w:pStyle w:val="TableCaption"/>
        <w:spacing w:before="240" w:after="120" w:line="240" w:lineRule="auto"/>
        <w:jc w:val="center"/>
      </w:pPr>
      <w:r>
        <w:t>History from the event clock, not from the export. 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blPrEx>
          <w:tblCellMar>
            <w:top w:w="0" w:type="dxa"/>
            <w:bottom w:w="0" w:type="dxa"/>
          </w:tblCellMar>
        </w:tblPrEx>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89</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 missingness indicators</w:t>
            </w:r>
          </w:p>
        </w:tc>
      </w:tr>
      <w:tr w:rsidR="0015244F">
        <w:tblPrEx>
          <w:tblCellMar>
            <w:top w:w="0" w:type="dxa"/>
            <w:bottom w:w="0" w:type="dxa"/>
          </w:tblCellMar>
        </w:tblPrEx>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stop duration and mobility state, with their rolling statistics</w:t>
            </w:r>
          </w:p>
        </w:tc>
      </w:tr>
      <w:tr w:rsidR="0015244F">
        <w:tblPrEx>
          <w:tblCellMar>
            <w:top w:w="0" w:type="dxa"/>
            <w:bottom w:w="0" w:type="dxa"/>
          </w:tblCellMar>
        </w:tblPrEx>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blPrEx>
          <w:tblCellMar>
            <w:top w:w="0" w:type="dxa"/>
            <w:bottom w:w="0" w:type="dxa"/>
          </w:tblCellMar>
        </w:tblPrEx>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blPrEx>
          <w:tblCellMar>
            <w:top w:w="0" w:type="dxa"/>
            <w:bottom w:w="0" w:type="dxa"/>
          </w:tblCellMar>
        </w:tblPrEx>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r w:rsidR="0015244F">
        <w:tblPrEx>
          <w:tblCellMar>
            <w:top w:w="0" w:type="dxa"/>
            <w:bottom w:w="0" w:type="dxa"/>
          </w:tblCellMar>
        </w:tblPrEx>
        <w:trPr>
          <w:tblHeader/>
        </w:trPr>
        <w:tc>
          <w:tcPr>
            <w:tcMar>
              <w:top w:w="60" w:type="dxa"/>
              <w:left w:w="100" w:type="dxa"/>
              <w:bottom w:w="60" w:type="dxa"/>
              <w:right w:w="100" w:type="dxa"/>
            </w:tcMar>
          </w:tcPr>
          <w:p>
            <w:r>
              <w:t>Design matrix as built</w:t>
            </w:r>
          </w:p>
        </w:tc>
        <w:tc>
          <w:tcPr>
            <w:tcMar>
              <w:top w:w="60" w:type="dxa"/>
              <w:left w:w="100" w:type="dxa"/>
              <w:bottom w:w="60" w:type="dxa"/>
              <w:right w:w="100" w:type="dxa"/>
            </w:tcMar>
          </w:tcPr>
          <w:p>
            <w:r>
              <w:t>122</w:t>
            </w:r>
          </w:p>
        </w:tc>
        <w:tc>
          <w:tcPr>
            <w:tcMar>
              <w:top w:w="60" w:type="dxa"/>
              <w:left w:w="100" w:type="dxa"/>
              <w:bottom w:w="60" w:type="dxa"/>
              <w:right w:w="100" w:type="dxa"/>
            </w:tcMar>
          </w:tcPr>
          <w:p>
            <w:r/>
          </w:p>
        </w:tc>
        <w:tc>
          <w:tcPr>
            <w:tcMar>
              <w:top w:w="60" w:type="dxa"/>
              <w:left w:w="100" w:type="dxa"/>
              <w:bottom w:w="60" w:type="dxa"/>
              <w:right w:w="100" w:type="dxa"/>
            </w:tcMar>
          </w:tcPr>
          <w:p>
            <w:r>
              <w:t>the main set plus the signalling block; learners outside Section 5.8 are given the main set only</w:t>
            </w:r>
          </w:p>
        </w:tc>
      </w:tr>
    </w:tbl>
    <w:p w:rsidR="0015244F" w:rsidRDefault="0015244F">
      <w:pPr>
        <w:spacing w:after="120" w:line="240" w:lineRule="auto"/>
      </w:pPr>
    </w:p>
    <w:p w:rsidR="0015244F" w:rsidRDefault="00A565B8">
      <w:pPr>
        <w:ind w:firstLine="567"/>
        <w:jc w:val="both"/>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r>
        <w:rPr>
          <w:i/>
          <w:iCs/>
        </w:rPr>
      </w:r>
      <w:r/>
      <w:proofErr w:type="spellStart"/>
      <w:r/>
      <w:proofErr w:type="spellEnd"/>
      <w:r/>
      <w:r/>
    </w:p>
    <w:p w:rsidR="0015244F" w:rsidRDefault="00A565B8">
      <w:pPr>
        <w:ind w:firstLine="567"/>
        <w:jc w:val="both"/>
      </w:pPr>
      <w:r>
        <w:rPr>
          <w:b w:val="0"/>
          <w:bCs/>
        </w:rP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proofErr w:type="spellStart"/>
      <w:r>
        <w:rPr>
          <w:b/>
          <w:bCs/>
        </w:rPr>
      </w:r>
      <w:proofErr w:type="spellEnd"/>
      <w:r>
        <w:rPr>
          <w:b/>
          <w:bCs/>
        </w:rPr>
      </w:r>
      <w:r/>
      <w:r/>
      <w:proofErr w:type="spellStart"/>
      <w:r/>
      <w:proofErr w:type="spellEnd"/>
      <w:r/>
      <w:r>
        <w:rPr>
          <w:i/>
          <w:iCs/>
        </w:rPr>
      </w:r>
      <w:r/>
      <w:r>
        <w:rPr>
          <w:i/>
          <w:iCs/>
        </w:rPr>
      </w:r>
      <w:r/>
      <w:r/>
      <w:r>
        <w:rPr>
          <w:i/>
          <w:iCs/>
        </w:rPr>
      </w:r>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w:t>
      </w:r>
      <w:r>
        <w:t>the most important baseline in the thesis because it is what is presently running in the network.</w:t>
      </w:r>
    </w:p>
    <w:p w:rsidR="0015244F" w:rsidRDefault="00A565B8">
      <w:pPr>
        <w:ind w:firstLine="567"/>
        <w:jc w:val="both"/>
      </w:pPr>
      <w:r>
        <w:rPr>
          <w:b/>
          <w:bCs/>
        </w:rPr>
        <w:t xml:space="preserve">Logistic regression. </w:t>
      </w:r>
      <w:r>
        <w:rPr>
          <w:b w:val="0"/>
        </w:rPr>
        <w:t>A regularised linear model over the 112 features, included as the simplest learner that can use the full feature set. It is worth noting ahead of Table 5.5 that this arm is slightly ahead of untuned gradient boosting under the fixed-hyper-parameter ladder. That is a property of the default settings rather than of the model families: a linear decision boundary has little capacity to fit the campaign it was trained on, so it loses least when the test campaign is a different corridor. Under the tuning budget of Table 5.4 the ordering reverses, which is itself the point of Section 5.3 -- the protocol reorders the leaderboard, so a leaderboard is not a property of the learners alone.</w:t>
      </w:r>
      <w:proofErr w:type="spellStart"/>
      <w:r/>
      <w:proofErr w:type="spellEnd"/>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w:t>
      </w:r>
      <w:r>
        <w:rPr>
          <w:b/>
          <w:bCs/>
        </w:rPr>
        <w:t>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 xml:space="preserve">Sequence models. </w:t>
      </w:r>
      <w:r>
        <w:rPr>
          <w:b w:val="0"/>
        </w:rPr>
        <w:t>A temporal convolutional network, a Transformer encoder and a gated recurrent unit, each consuming a window of the ten most recent feature vectors — the same lagged matrix every other arm receives, not raw per-second measurements. An earlier draft gave these arms raw samples and the tabular arms engineered features, which confounded the learner with its input; that is corrected here. These arms test whether a model that learns its own temporal representation outperforms one given hand-constructed rolling statistics.</w:t>
      </w:r>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r/>
      <w:proofErr w:type="spellStart"/>
      <w:r/>
      <w:proofErr w:type="spellEnd"/>
      <w:r/>
    </w:p>
    <w:p w:rsidR="0015244F" w:rsidRDefault="00A565B8">
      <w:pPr>
        <w:ind w:firstLine="567"/>
        <w:jc w:val="both"/>
      </w:pPr>
      <w:r>
        <w:t>What that nesting does and does not protect against should be stated, because the totals involved are large: twenty trials across seven learners, four protocols, four outer folds and three seeds, on a row set carrying roughly six hundred positive rows at the one-second horizon. What it protects against is selection on the test campaign: no held-out campaign is ever scored during a search, so the reported metric for any one arm is not an optimised quantity. What it does not remove is selection across arms. The best of seven learners is reported beside the other six, and when the best and the second-best differ by less than the width of their own bootstrap intervals — which Section 5.2 shows is the usual case — the ranking between them is not a finding, and this thesis does not treat it as one. No multiplicity correction is applied, because with four independent units none would be informative; the reader is given the full table and the intervals instead, and every claim in Chapter 5 that turns on a comparison is stated as a paired difference with an interval rather than as an ordering of point estimates.</w:t>
      </w:r>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w:t>
      </w:r>
      <w:r>
        <w:t>ity is insufficient for the task stated in Section 1.3, which requires the asserted probability to correspond to an empirical frequency. Three calibration treatments are evaluated.</w:t>
      </w:r>
    </w:p>
    <w:p w:rsidR="0015244F" w:rsidRDefault="00A565B8">
      <w:pPr>
        <w:ind w:firstLine="567"/>
        <w:jc w:val="both"/>
      </w:pPr>
      <w:r>
        <w:rPr>
          <w:b w:val="0"/>
          <w:bCs/>
        </w:rPr>
        <w:t>Temperature scaling [33] fits a single scalar on a held-out partition, dividing the logits before the sigmoid. It is the least expressive treatment and cannot alter the ranking.</w:t>
      </w:r>
      <w:r/>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w:t>
      </w:r>
      <w:r>
        <w:t>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w:t>
      </w:r>
      <w:r>
        <w:t>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w:t>
      </w:r>
      <w:r>
        <w:t>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 xml:space="preserve">Motivation. </w:t>
      </w:r>
      <w:r>
        <w:rPr>
          <w:b w:val="0"/>
        </w:rPr>
        <w:t>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r/>
    </w:p>
    <w:p w:rsidR="0015244F" w:rsidRDefault="00A565B8">
      <w:pPr>
        <w:ind w:firstLine="567"/>
        <w:jc w:val="both"/>
      </w:pPr>
      <w:r>
        <w:rPr>
          <w:b/>
          <w:bCs/>
        </w:rPr>
        <w:t xml:space="preserve">Design. </w:t>
      </w:r>
      <w:r>
        <w:rPr>
          <w:b w:val="0"/>
        </w:rPr>
        <w:t>The evaluation protocol has five elements, and a ladder of four splitting rules is reported rather than one.</w:t>
      </w:r>
    </w:p>
    <w:p w:rsidR="0015244F" w:rsidRDefault="00A565B8">
      <w:pPr>
        <w:ind w:firstLine="567"/>
        <w:jc w:val="both"/>
      </w:pPr>
      <w:r>
        <w:rPr>
          <w:i/>
          <w:iCs/>
        </w:rPr>
        <w:t>Units. The primary protocol is leave-one-campaign-out: each of the four campaigns is held out in turn and the model is trained on the other three. A campaign is one continuous session, which is the only unit in this dataset whose independence can be defended. Figure 4.2 illustrates the ladder.</w:t>
      </w:r>
      <w:r/>
    </w:p>
    <w:p w:rsidR="0015244F" w:rsidRDefault="00A565B8">
      <w:pPr>
        <w:keepNext/>
        <w:spacing w:before="240" w:after="120" w:line="240" w:lineRule="auto"/>
        <w:jc w:val="center"/>
      </w:pPr>
      <w:r>
        <w:rPr>
          <w:noProof/>
        </w:rPr>
        <w:drawing>
          <wp:inline distT="0" distB="0" distL="0" distR="0">
            <wp:extent cx="5762625" cy="2028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186"/>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r/>
      <w:proofErr w:type="gramEnd"/>
      <w:r/>
    </w:p>
    <w:p w:rsidR="0015244F" w:rsidRDefault="00A565B8">
      <w:pPr>
        <w:ind w:firstLine="567"/>
        <w:jc w:val="both"/>
      </w:pPr>
      <w:r>
        <w:rPr>
          <w:i/>
          <w:iCs/>
        </w:rPr>
        <w:t>Secondary protocols. Three further rules are run on the same data with everything else fixed: contiguous time blocks within each campaign with a 60-second purge between train and test (the blocked cross-validation standard for temporally structured data, following the recommendation of Roberts et al. [35]); random 180-second blocks stratified by campaign, which is the protocol this work used before the audit; and random rows, which is the protocol most of the comparator literature uses. Section 5.3 reports all four.</w:t>
      </w:r>
      <w:r/>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r>
        <w:rPr>
          <w:i/>
          <w:iCs/>
        </w:rPr>
      </w:r>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 xml:space="preserve">Metrics. </w:t>
      </w:r>
      <w:r>
        <w:rPr>
          <w:b w:val="0"/>
        </w:rPr>
        <w:t>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r/>
      <w:r/>
      <w:proofErr w:type="spellStart"/>
      <w:r/>
      <w:proofErr w:type="spellEnd"/>
      <w:r/>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w:t>
      </w:r>
      <w:r>
        <w:t>t into a warning requires a threshold, and an operator is entitled to know what that threshold guarantees on drives it has not seen.</w:t>
      </w:r>
    </w:p>
    <w:p w:rsidR="0015244F" w:rsidRDefault="00A565B8">
      <w:pPr>
        <w:ind w:firstLine="567"/>
        <w:jc w:val="both"/>
      </w:pPr>
      <w:r>
        <w:rPr>
          <w:b/>
          <w:bCs/>
        </w:rPr>
        <w:t xml:space="preserve">Design. </w:t>
      </w:r>
      <w:r>
        <w:rPr>
          <w:b w:val="0"/>
        </w:rPr>
        <w:t>Let λ ∈ Λ index a family of alarm thresholds ordered by decreasing strictness and let R(λ) be a bounded, non-increasing risk. Conformal risk control [21], which extends the risk-controlling prediction sets of Bates et al. [22] from a coverage guarantee to a guarantee on any bounded monotone loss, selects</w:t>
      </w:r>
      <w:proofErr w:type="gramStart"/>
      <w:r>
        <w:rPr>
          <w:i/>
          <w:iCs/>
        </w:rPr>
      </w:r>
      <w:r/>
      <w:proofErr w:type="gramEnd"/>
      <w:r/>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 xml:space="preserve">The exchangeable unit and the loss. </w:t>
      </w:r>
      <w:r>
        <w:rPr>
          <w:b w:val="0"/>
        </w:rPr>
        <w:t>The risk is defined per driving unit, not per sample. For a unit d and threshold λ the row-level loss is the fraction of that unit's positive rows scored below the threshold,</w:t>
      </w:r>
      <w:r/>
      <w:r>
        <w:rPr>
          <w:b/>
          <w:bCs/>
        </w:rPr>
      </w:r>
    </w:p>
    <w:p w:rsidR="0015244F" w:rsidRDefault="00A565B8">
      <w:pPr>
        <w:ind w:firstLine="567"/>
        <w:jc w:val="both"/>
      </w:pPr>
      <w:r>
        <w:rPr>
          <w:b w:val="0"/>
          <w:bCs/>
        </w:rPr>
        <w:t>R_d(λ) = |{ t ∈ d : y_t = 1 and p̂_t &lt; λ }| / max(|{ t ∈ d : y_t = 1 }|, 1),     (4.10)</w:t>
      </w:r>
      <w:r>
        <w:rPr>
          <w:b w:val="0"/>
        </w:rPr>
      </w:r>
      <w:r/>
      <w:r>
        <w:rPr>
          <w:b/>
          <w:bCs/>
        </w:rPr>
      </w:r>
    </w:p>
    <w:p w:rsidR="0015244F" w:rsidRDefault="00A565B8">
      <w:pPr>
        <w:ind w:firstLine="567"/>
        <w:jc w:val="both"/>
      </w:pPr>
      <w:r>
        <w:rPr>
          <w:b w:val="0"/>
          <w:bCs/>
        </w:rPr>
        <w:t>which lies in [0, 1] and is non-decreasing in λ, so B = 1 and the bound of Equation (4.9) applies; a unit with no positive row contributes zero. This is a statement about rows, and it is not the statement Section 1.3 promises. A network operator misses a *handover*, not a row, and a handover occupies several rows of its lead window. The event-level loss is therefore also carried through: writing E_d for the handover commands whose lead window lies in unit d, a command at τ is caught at horizon h if some usable row in [τ − h, τ) alarms, and</w:t>
      </w:r>
      <w:r>
        <w:rPr>
          <w:b w:val="0"/>
        </w:rPr>
      </w:r>
      <w:r/>
      <w:r>
        <w:rPr>
          <w:b/>
          <w:bCs/>
        </w:rPr>
      </w:r>
    </w:p>
    <w:p w:rsidR="0015244F" w:rsidRDefault="00A565B8">
      <w:pPr>
        <w:ind w:firstLine="567"/>
        <w:jc w:val="both"/>
      </w:pPr>
      <w:r>
        <w:rPr>
          <w:b w:val="0"/>
          <w:bCs/>
        </w:rPr>
        <w:t>R_d^ev(λ) = |{ τ ∈ E_d : max_{t ∈ [τ−h, τ)} p̂_t &lt; λ }| / max(|E_d|, 1).     (4.11)</w:t>
      </w:r>
      <w:r>
        <w:rPr>
          <w:b w:val="0"/>
        </w:rPr>
      </w:r>
      <w:r/>
      <w:r>
        <w:rPr>
          <w:b/>
          <w:bCs/>
        </w:rPr>
      </w:r>
    </w:p>
    <w:p w:rsidR="0015244F" w:rsidRDefault="00A565B8">
      <w:pPr>
        <w:ind w:firstLine="567"/>
        <w:jc w:val="both"/>
      </w:pPr>
      <w:r>
        <w:rPr>
          <w:b w:val="0"/>
          <w:bCs/>
        </w:rPr>
        <w:t>A command with no usable row in its window is counted as missed rather than dropped from the denominator, which is what makes this loss comparable with the detection rate of Appendix A rather than with the row-level miss rate. Section 5.5 reports both, because they differ and because the difference is the interesting part.</w:t>
      </w:r>
      <w:r>
        <w:rPr>
          <w:b w:val="0"/>
        </w:rPr>
      </w:r>
      <w:r/>
      <w:r>
        <w:rPr>
          <w:b/>
          <w:bCs/>
        </w:rPr>
      </w:r>
    </w:p>
    <w:p w:rsidR="0015244F" w:rsidRDefault="00A565B8">
      <w:pPr>
        <w:ind w:firstLine="567"/>
        <w:jc w:val="both"/>
      </w:pPr>
      <w:r>
        <w:rPr>
          <w:b/>
          <w:bCs/>
        </w:rPr>
        <w:t xml:space="preserve">R̂(λ) averages the chosen loss over calibration units. </w:t>
      </w:r>
      <w:r>
        <w:rPr>
          <w:b w:val="0"/>
        </w:rPr>
        <w:t>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r/>
      <w:r>
        <w:rPr>
          <w:b/>
          <w:bCs/>
        </w:rPr>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w:t>
      </w:r>
      <w:r>
        <w:t xml:space="preserve">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 ≥ 1/(n+1)   ⟺   n ≥ 1/α − 1</w:t>
        <w:tab/>
        <w:t>(4.12)</w:t>
      </w:r>
      <w:proofErr w:type="gramEnd"/>
      <w:r>
        <w:rPr>
          <w:i/>
          <w:iCs/>
        </w:rPr>
      </w:r>
      <w:r/>
    </w:p>
    <w:p w:rsidR="0015244F" w:rsidRDefault="00A565B8">
      <w:pPr>
        <w:ind w:firstLine="567"/>
        <w:jc w:val="both"/>
      </w:pPr>
      <w:r>
        <w:t>Equation (4.12) is a campaign-design rule and a direct corollary of the bound in [21] rather than a new result: a study that wishes to promise a 5 % miss rate needs at least 19 calibration units and one promising 2 % needs 49, whatever the model does. With the 14 calibration blocks available in a held-out campaign here, the tightest expressible target is α ≥ 0.067. The rule is worth stating in a mobility context because campaign size is the binding constraint on what such a study can promise, and because it converts a modelling question into a data-collection question.</w:t>
      </w:r>
      <w:r>
        <w:rPr>
          <w:b/>
          <w:bCs/>
        </w:rPr>
      </w:r>
      <w:r/>
      <w:r/>
      <w:r>
        <w:rPr>
          <w:i/>
          <w:iCs/>
        </w:rPr>
      </w:r>
      <w:r/>
      <w:r/>
    </w:p>
    <w:p w:rsidR="0015244F" w:rsidRDefault="00A565B8">
      <w:pPr>
        <w:ind w:firstLine="567"/>
        <w:jc w:val="both"/>
      </w:pPr>
      <w:r>
        <w:t>A second floor binds the event-level loss, and it comes from the instrument rather than from the calibration set. A command with no usable row in its lead window is missed whatever the threshold, and at the one-second horizon 36.4% of commands are in that position against 12.0% at three seconds. No event-level target below those values is expressible at any threshold, so the sampling rate of the export, and not the model, sets the tightest promise a study on this instrument can make about handovers.</w:t>
      </w:r>
      <w:r>
        <w:rPr>
          <w:b/>
          <w:bCs/>
        </w:rPr>
      </w:r>
      <w:r/>
      <w:r/>
      <w:r>
        <w:rPr>
          <w:i/>
          <w:iCs/>
        </w:rPr>
      </w:r>
      <w:r/>
      <w:r/>
    </w:p>
    <w:p w:rsidR="0015244F" w:rsidRDefault="00A565B8">
      <w:pPr>
        <w:pStyle w:val="Heading2"/>
        <w:spacing w:before="360" w:after="140"/>
      </w:pPr>
      <w:r>
        <w:t>4.11 Point-process analysis of handover arrivals</w:t>
      </w:r>
    </w:p>
    <w:p w:rsidR="0015244F" w:rsidRDefault="00A565B8">
      <w:pPr>
        <w:ind w:firstLine="567"/>
        <w:jc w:val="both"/>
      </w:pPr>
      <w:r>
        <w:rPr>
          <w:b/>
          <w:bCs/>
        </w:rPr>
        <w:t xml:space="preserve">Motivation. </w:t>
      </w:r>
      <w:r>
        <w:rPr>
          <w:b w:val="0"/>
        </w:rPr>
        <w:t>The ping-pong behaviour of Section 5.10 suggests that handovers do not arrive independently. Quantifying that clustering requires a model of the arrival process itself rather than of the per-sample probability.</w:t>
      </w:r>
      <w:proofErr w:type="spellStart"/>
      <w:r/>
      <w:proofErr w:type="spellEnd"/>
      <w:r/>
      <w:r/>
    </w:p>
    <w:p w:rsidR="0015244F" w:rsidRDefault="00A565B8">
      <w:pPr>
        <w:ind w:firstLine="567"/>
        <w:jc w:val="both"/>
      </w:pPr>
      <w:r>
        <w:rPr>
          <w:b/>
          <w:bCs/>
        </w:rPr>
        <w:t xml:space="preserve">Design. </w:t>
      </w:r>
      <w:r>
        <w:rPr>
          <w:b w:val="0"/>
        </w:rPr>
        <w:t>The handover arrival stream on each drive is modelled as a self-exciting Hawkes process [23], [24] with conditional intensity</w:t>
      </w:r>
    </w:p>
    <w:p w:rsidR="0015244F" w:rsidRDefault="00A565B8">
      <w:pPr>
        <w:tabs>
          <w:tab w:val="right" w:pos="9121"/>
        </w:tabs>
        <w:spacing w:before="180" w:after="180"/>
        <w:jc w:val="center"/>
      </w:pPr>
      <w:proofErr w:type="gramStart"/>
      <w:r>
        <w:rPr>
          <w:i/>
          <w:iCs/>
        </w:rPr>
        <w:t>μ(t) = μ_0 + Σ_{t_i &lt; t} α · exp( −β ( t − t_i ) )</w:t>
        <w:tab/>
        <w:t>(4.13)</w:t>
      </w:r>
      <w:proofErr w:type="gram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r/>
    </w:p>
    <w:p w:rsidR="0015244F" w:rsidRDefault="00A565B8">
      <w:pPr>
        <w:ind w:firstLine="567"/>
        <w:jc w:val="both"/>
      </w:pPr>
      <w:proofErr w:type="gramStart"/>
      <w:r>
        <w:t>in which each arrival raises the intensity of subsequent arrivals by α and the excitation decays at rate β. The branching ratio α/β is the expected number of direct offspring per event under this kernel, and summarises the strength of the clustering. Section 5.10 reports that the Ogata residual test rejects the exponential kernel on this data, so that reading is withdrawn there and the ratio is used only as a comparable summary statistic.</w:t>
      </w:r>
      <w:proofErr w:type="gramEnd"/>
      <w:r/>
      <w:r>
        <w:rPr>
          <w:b/>
          <w:bCs/>
        </w:rPr>
      </w:r>
      <w:r/>
      <w:proofErr w:type="spellStart"/>
      <w:r/>
      <w:proofErr w:type="spellEnd"/>
      <w:r/>
    </w:p>
    <w:p w:rsidR="0015244F" w:rsidRDefault="00A565B8">
      <w:pPr>
        <w:ind w:firstLine="567"/>
        <w:jc w:val="both"/>
      </w:pPr>
      <w:r>
        <w:rPr>
          <w:b/>
          <w:bCs/>
        </w:rPr>
        <w:t xml:space="preserve">Validation. </w:t>
      </w:r>
      <w:r>
        <w:rPr>
          <w:b w:val="0"/>
        </w:rPr>
        <w:t>A fit alone is not evidence of self-excitation. Following the networking precedent of Price-Williams and Heard [26], the fit is validated by the residual analysis of Ogata [25]: the time axis is rescaled by the fitted compensator, and the transformed inter-arrival times are tested against a unit-rate exponential distribution by a Kolmogorov–Smirnov test on held-out drives. Section 5.10 reports both the branching ratio and the outcome of that test, including the respect in which the test rejects the fitted kernel.</w:t>
      </w:r>
      <w:r/>
      <w:r/>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r/>
      <w:proofErr w:type="spellStart"/>
      <w:r/>
      <w:proofErr w:type="spellEnd"/>
      <w:r/>
      <w:r/>
    </w:p>
    <w:p w:rsidR="0015244F" w:rsidRDefault="00A565B8">
      <w:pPr>
        <w:ind w:firstLine="567"/>
        <w:jc w:val="both"/>
      </w:pPr>
      <w:r>
        <w:t>All figures in this chapter are computed out of fold under the leave-one-campaign-out protocol of Section 4.9 unless stated otherwise, from features lagged as described in Section 4.6.</w:t>
      </w:r>
      <w:r/>
    </w:p>
    <w:p w:rsidR="0015244F" w:rsidRDefault="00A565B8">
      <w:pPr>
        <w:pStyle w:val="Heading2"/>
        <w:spacing w:before="360" w:after="140"/>
      </w:pPr>
      <w:r>
        <w:t>5.1 The alignment audit and what it costs</w:t>
      </w:r>
    </w:p>
    <w:p w:rsidR="0015244F" w:rsidRDefault="00A565B8">
      <w:pPr>
        <w:ind w:firstLine="567"/>
        <w:jc w:val="both"/>
      </w:pPr>
      <w:r>
        <w:t>The first result of this chapter is not a prediction score. It is a property of the measurement export that determines what any prediction score on this data means.</w:t>
      </w:r>
      <w:proofErr w:type="spellStart"/>
      <w:r/>
      <w:proofErr w:type="spellEnd"/>
      <w:r/>
    </w:p>
    <w:p w:rsidR="0015244F" w:rsidRDefault="00A565B8">
      <w:pPr>
        <w:pStyle w:val="TableCaption"/>
        <w:spacing w:before="240" w:after="120" w:line="240" w:lineRule="auto"/>
        <w:jc w:val="center"/>
      </w:pPr>
      <w:r>
        <w:t>Table 5.1 The alignment audit: share of handovers whose target cell already serves in export rows around the command.</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blPrEx>
          <w:tblCellMar>
            <w:top w:w="0" w:type="dxa"/>
            <w:bottom w:w="0" w:type="dxa"/>
          </w:tblCellMar>
        </w:tblPrEx>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blPrEx>
          <w:tblCellMar>
            <w:top w:w="0" w:type="dxa"/>
            <w:bottom w:w="0" w:type="dxa"/>
          </w:tblCellMar>
        </w:tblPrEx>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t>-0.209</w:t>
            </w:r>
          </w:p>
        </w:tc>
      </w:tr>
    </w:tbl>
    <w:p w:rsidR="0015244F" w:rsidRDefault="00A565B8">
      <w:pPr>
        <w:pStyle w:val="TableCaption"/>
        <w:spacing w:before="240" w:after="120" w:line="240" w:lineRule="auto"/>
        <w:jc w:val="center"/>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What is lagged by one row</w:t>
            </w:r>
          </w:p>
        </w:tc>
        <w:tc>
          <w:tcPr/>
          <w:p>
            <w:r>
              <w:t>Columns</w:t>
            </w:r>
          </w:p>
        </w:tc>
        <w:tc>
          <w:tcPr/>
          <w:p>
            <w:r>
              <w:t>AUPRC 1 s</w:t>
            </w:r>
          </w:p>
        </w:tc>
        <w:tc>
          <w:tcPr/>
          <w:p>
            <w:r>
              <w:t>AUROC 1 s</w:t>
            </w:r>
          </w:p>
        </w:tc>
        <w:tc>
          <w:tcPr/>
          <w:p>
            <w:r>
              <w:t>AUPRC 5 s</w:t>
            </w:r>
          </w:p>
        </w:tc>
      </w:tr>
      <w:tr>
        <w:tc>
          <w:tcPr/>
          <w:p>
            <w:r>
              <w:t>nothing (v1 alignment)</w:t>
            </w:r>
          </w:p>
        </w:tc>
        <w:tc>
          <w:tcPr/>
          <w:p>
            <w:r>
              <w:t>0</w:t>
            </w:r>
          </w:p>
        </w:tc>
        <w:tc>
          <w:tcPr/>
          <w:p>
            <w:r>
              <w:t>0.607</w:t>
            </w:r>
          </w:p>
        </w:tc>
        <w:tc>
          <w:tcPr/>
          <w:p>
            <w:r>
              <w:t>0.911</w:t>
            </w:r>
          </w:p>
        </w:tc>
        <w:tc>
          <w:tcPr/>
          <w:p>
            <w:r>
              <w:t>0.558</w:t>
            </w:r>
          </w:p>
        </w:tc>
      </w:tr>
      <w:tr>
        <w:tc>
          <w:tcPr/>
          <w:p>
            <w:r>
              <w:t>neighbour and gap columns only</w:t>
            </w:r>
          </w:p>
        </w:tc>
        <w:tc>
          <w:tcPr/>
          <w:p>
            <w:r>
              <w:t>31</w:t>
            </w:r>
          </w:p>
        </w:tc>
        <w:tc>
          <w:tcPr/>
          <w:p>
            <w:r>
              <w:t>0.595</w:t>
            </w:r>
          </w:p>
        </w:tc>
        <w:tc>
          <w:tcPr/>
          <w:p>
            <w:r>
              <w:t>0.905</w:t>
            </w:r>
          </w:p>
        </w:tc>
        <w:tc>
          <w:tcPr/>
          <w:p>
            <w:r>
              <w:t>0.550</w:t>
            </w:r>
          </w:p>
        </w:tc>
      </w:tr>
      <w:tr>
        <w:tc>
          <w:tcPr/>
          <w:p>
            <w:r>
              <w:t>serving-cell radio scalars only</w:t>
            </w:r>
          </w:p>
        </w:tc>
        <w:tc>
          <w:tcPr/>
          <w:p>
            <w:r>
              <w:t>56</w:t>
            </w:r>
          </w:p>
        </w:tc>
        <w:tc>
          <w:tcPr/>
          <w:p>
            <w:r>
              <w:t>0.178</w:t>
            </w:r>
          </w:p>
        </w:tc>
        <w:tc>
          <w:tcPr/>
          <w:p>
            <w:r>
              <w:t>0.768</w:t>
            </w:r>
          </w:p>
        </w:tc>
        <w:tc>
          <w:tcPr/>
          <w:p>
            <w:r>
              <w:t>0.451</w:t>
            </w:r>
          </w:p>
        </w:tc>
      </w:tr>
      <w:tr>
        <w:tc>
          <w:tcPr/>
          <w:p>
            <w:r>
              <w:t>every serving-relative column (GPS left at row t)</w:t>
            </w:r>
          </w:p>
        </w:tc>
        <w:tc>
          <w:tcPr/>
          <w:p>
            <w:r>
              <w:t>92</w:t>
            </w:r>
          </w:p>
        </w:tc>
        <w:tc>
          <w:tcPr/>
          <w:p>
            <w:r>
              <w:t>0.159</w:t>
            </w:r>
          </w:p>
        </w:tc>
        <w:tc>
          <w:tcPr/>
          <w:p>
            <w:r>
              <w:t>0.748</w:t>
            </w:r>
          </w:p>
        </w:tc>
        <w:tc>
          <w:tcPr/>
          <w:p>
            <w:r>
              <w:t>0.439</w:t>
            </w:r>
          </w:p>
        </w:tc>
      </w:tr>
      <w:tr>
        <w:tc>
          <w:tcPr/>
          <w:p>
            <w:r>
              <w:t>every export column (v2, as reported throughout)</w:t>
            </w:r>
          </w:p>
        </w:tc>
        <w:tc>
          <w:tcPr/>
          <w:p>
            <w:r>
              <w:t>109</w:t>
            </w:r>
          </w:p>
        </w:tc>
        <w:tc>
          <w:tcPr/>
          <w:p>
            <w:r>
              <w:t>0.160</w:t>
            </w:r>
          </w:p>
        </w:tc>
        <w:tc>
          <w:tcPr/>
          <w:p>
            <w:r>
              <w:t>0.750</w:t>
            </w:r>
          </w:p>
        </w:tc>
        <w:tc>
          <w:tcPr/>
          <w:p>
            <w:r>
              <w:t>0.445</w:t>
            </w:r>
          </w:p>
        </w:tc>
      </w:tr>
      <w:tr>
        <w:tc>
          <w:tcPr/>
          <w:p>
            <w:r>
              <w:t>control: Event A3 rule, same arms</w:t>
            </w:r>
          </w:p>
        </w:tc>
        <w:tc>
          <w:tcPr/>
          <w:p>
            <w:r>
              <w:t>-</w:t>
            </w:r>
          </w:p>
        </w:tc>
        <w:tc>
          <w:tcPr/>
          <w:p>
            <w:r>
              <w:t>0.116 to 0.117</w:t>
            </w:r>
          </w:p>
        </w:tc>
        <w:tc>
          <w:tcPr/>
          <w:p>
            <w:r>
              <w:t>-</w:t>
            </w:r>
          </w:p>
        </w:tc>
        <w:tc>
          <w:tcPr/>
          <w:p>
            <w:r>
              <w:t>-</w:t>
            </w:r>
          </w:p>
        </w:tc>
      </w:tr>
    </w:tbl>
    <w:p w:rsidR="0015244F" w:rsidRDefault="0015244F">
      <w:pPr>
        <w:spacing w:after="120" w:line="240" w:lineRule="auto"/>
      </w:pPr>
    </w:p>
    <w:p w:rsidR="0015244F" w:rsidRDefault="00A565B8">
      <w:pPr>
        <w:ind w:firstLine="567"/>
        <w:jc w:val="both"/>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r/>
      <w:r>
        <w:rPr>
          <w:i/>
          <w:iCs/>
        </w:rPr>
      </w:r>
      <w:r/>
      <w:r/>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p>
    <w:p w:rsidR="0015244F" w:rsidRDefault="00A565B8">
      <w:pPr>
        <w:ind w:firstLine="567"/>
        <w:jc w:val="both"/>
      </w:pPr>
      <w:r>
        <w:t>Three points are worth stating plainly. First, this is not a defect of the instrument in the sense of a fault: a one-hertz export has to summarise a second, and a row that carries the state at the end of its second is a defensible choice.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In the taxonomy of Kaufman et al. [36] it is leakage in training examples rather than leakage in feature construction: no illegitimate feature was built, and no future row was consulted; the legitimate feature simply describes an interval that already contains the event. That class is the one their paper identifies as hardest to catch, because every syntactic check passes. Third, it is cheap to detect, and the audit above is the recommendation this thesis makes to anyone building a predictor on a drive-test export.</w:t>
      </w:r>
      <w:r/>
      <w:r/>
    </w:p>
    <w:p w:rsidR="0015244F" w:rsidRDefault="00A565B8">
      <w:pPr>
        <w:ind w:firstLine="567"/>
        <w:jc w:val="both"/>
      </w:pPr>
      <w:r>
        <w:t>Why the row behaves this way is not a mystery, and stating the reason turns the observation into a prediction that can be falsified. A handover command is issued at an arbitrary instant tau inside the second [t, t+1). Write delta = tau - floor(tau) for where inside the second the command falls, x for the time the handset takes to be served by the target and for that change to reach the serving-cell register, and</w:t>
      </w:r>
      <w:r/>
      <w:r>
        <w:rPr>
          <w:i/>
          <w:iCs/>
        </w:rPr>
      </w:r>
      <w:r/>
    </w:p>
    <w:p w:rsidR="0015244F" w:rsidRDefault="00A565B8">
      <w:pPr>
        <w:ind w:firstLine="567"/>
        <w:jc w:val="both"/>
      </w:pPr>
      <w:r>
        <w:t>m = 1 - delta - x,   with delta, x and m all in seconds     (5.1)</w:t>
      </w:r>
      <w:r/>
      <w:r>
        <w:rPr>
          <w:i/>
          <w:iCs/>
        </w:rPr>
      </w:r>
      <w:r/>
    </w:p>
    <w:p w:rsidR="0015244F" w:rsidRDefault="00A565B8">
      <w:pPr>
        <w:ind w:firstLine="567"/>
        <w:jc w:val="both"/>
      </w:pPr>
      <w:r>
        <w:t>for the margin by which that change beats the close of the second. If the exporter writes one row per second carrying the state as of the end of the second, the row stamped t shows the target cell when m &gt; 0 and the source cell when m &lt; 0. Nothing about the network enters: the defect is what end-of-second aggregation does to an event whose execution is two orders of magnitude faster than the grid.</w:t>
      </w:r>
      <w:r/>
      <w:r>
        <w:rPr>
          <w:i/>
          <w:iCs/>
        </w:rPr>
      </w:r>
      <w:r/>
    </w:p>
    <w:p w:rsidR="0015244F" w:rsidRDefault="00A565B8">
      <w:pPr>
        <w:ind w:firstLine="567"/>
        <w:jc w:val="both"/>
      </w:pPr>
      <w:r>
        <w:t>The prediction is testable on our own captures, because the signalling stream carries the RRCConnectionReconfigurationComplete message and therefore x for each handover (65% of commands record a non-zero interruption; the ninetieth percentile is 99 ms and the largest is 105 ms). Of the 15 handovers whose execution crosses the second boundary, m &lt; 0, not one has the target cell on the row stamped t. Of the 923 with m &gt; 0, the row shows the target cell 77.1% of the time. The same gradient appears in delta directly: on handovers isolated from any other by two seconds, contamination runs at 86.1% for commands in the first quarter of the second and falls to 67.0% for commands in the last quarter, where the margin is smallest. Panels (d) and (e) of Figure 5.1 show both.</w:t>
      </w:r>
      <w:r/>
      <w:r>
        <w:rPr>
          <w:i/>
          <w:iCs/>
        </w:rPr>
      </w:r>
      <w:r/>
    </w:p>
    <w:p w:rsidR="0015244F" w:rsidRDefault="00A565B8">
      <w:pPr>
        <w:ind w:firstLine="567"/>
        <w:jc w:val="both"/>
      </w:pPr>
      <w:r>
        <w:t>The residual matters for honesty about the size of the effect. In 22.5% of handovers the margin is positive and the row stamped t nevertheless shows the source cell; in 84% of those the row stamped t+1 carries the target instead. That is the exporter refreshing the serving-cell field one row late, not a second mechanism. That sentence was an assertion in an earlier draft and is now evidence: Table A.6 resolves the residual one handover at a time. Of the 211 handovers whose margin is positive and whose row t nevertheless shows the source, 178 — 84% — have the target cell in row t+1, arriving exactly one row late, and the table lists ten of them with the cell identity in each row so the pattern can be read rather than taken on trust. The competing explanation, that the residual is simply the small-margin cases where the geometry was marginal, does not survive the same table: the median margin of the residual is 0.477 s against 0.522 s for the contaminated handovers, which is no separation at all. Our export therefore shows an attenuated form of the defect, and the uncontaminated figure for it is not zero but about 24%.</w:t>
      </w:r>
      <w:r/>
      <w:r>
        <w:rPr>
          <w:i/>
          <w:iCs/>
        </w:rPr>
      </w:r>
      <w:r/>
    </w:p>
    <w:p w:rsidR="0015244F" w:rsidRDefault="00A565B8">
      <w:pPr>
        <w:ind w:firstLine="567"/>
        <w:jc w:val="both"/>
      </w:pPr>
      <w:r>
        <w:t>Two independent datasets test the account. The first is the control. The 4G/5G Irish drive-test traces of Raca et al. [37] are 59 driving traces logged at one hertz with a different tool, G-NetTrack Pro, on a different operator. That tool samples the modem rather than aggregating a second, so the account predicts no contamination at the level an aggregate produces, and there is none at that level: 29.4% of 1,175 cell changes have row t looking like the new cell, against 75.9% of handovers in our export and 93.2% under an end-of-second rule. That figure is not zero, and it is not claimed to be: with a ping-pong rate above a quarter the cell serving three rows earlier is often the cell about to serve again, so a sampled log has an elevated background for reasons unrelated to aggregation. The discriminating quantity is the shape rather than the level. The prediction test agrees. Using the row stamped t rather than the row before it is worth +38 % AUPRC on that dataset, but the step from t - 2 to t - 1 is worth +57 %, a larger gain. A contaminated final row shows up as an anomalous jump at the last step; a clean log shows the smooth decay with staleness that this dataset has.</w:t>
      </w:r>
      <w:r/>
      <w:r>
        <w:rPr>
          <w:i/>
          <w:iCs/>
        </w:rPr>
      </w:r>
      <w:r/>
    </w:p>
    <w:p w:rsidR="0015244F" w:rsidRDefault="00A565B8">
      <w:pPr>
        <w:ind w:firstLine="567"/>
        <w:jc w:val="both"/>
      </w:pPr>
      <w:r>
        <w:t>The second dataset does not replicate the defect on a third instrument; it does something narrower and more useful, by letting the aggregation rule be set rather than inferred. The NUWiNS multi-carrier corpus [40], collected with XCAL on two cross-United-States routes over three tier-one operators and released as raw exports at ten hertz [41], carries the handover event clock and the serving-cell register at native rate. Downsampling it to one hertz by keeping the last sample of each second reproduces the defect: over 4,712 cell-changing handovers in 12 files and 3 operators, the row stamped t carries the target cell 93.2% of the time (92.8% on the 3,160 isolated handovers), and the row stamped t - 1 carries it 0.1% of the time. Keeping the first sample of each second instead collapses contamination to 4.1% on the same handovers. One rule produces the defect and the other removes it, on data the network never saw differently. What this establishes is that end-of-second aggregation is sufficient to produce the artefact at the magnitude observed, and how large it is when present. It does not establish that XCAL's own one-hertz exporter aggregates that way, which remains inferred from its consequences and which only a native-rate re-export of these captures would settle; Section 5.13 carries that as a residual risk.</w:t>
      </w:r>
      <w:r/>
      <w:r>
        <w:rPr>
          <w:i/>
          <w:iCs/>
        </w:rPr>
      </w:r>
      <w:r/>
    </w:p>
    <w:p w:rsidR="0015244F" w:rsidRDefault="00A565B8">
      <w:pPr>
        <w:ind w:firstLine="567"/>
        <w:jc w:val="both"/>
      </w:pPr>
      <w:r>
        <w:t>The tail of the second then measures something the one-hertz grid was never supposed to resolve. Within a bin of delta, the row stamped t is contaminated precisely when the serving-cell register updates before the second closes, so the contamination share in that bin estimates the probability that the update delay is shorter than the time remaining. Over 903 handovers arriving in the last fifth of a second, contamination is 98.2% when 75 to 100 ms remain, 43.9% when 50 to 75 ms remain and 0% when less than 50 ms remain. The cliff is the distribution of the update delay, and it sits at roughly 60 ms — consistent with the native ten-hertz view of the same events, where the target is already serving at tau + 100 ms in 100% of handovers. Panel (f) of Figure 5.1 shows the curve. The alignment defect is therefore not only a hazard to be removed; read deliberately, it is a sub-second measurement recovered from a one-hertz export.</w:t>
      </w:r>
      <w:r/>
      <w:r>
        <w:rPr>
          <w:i/>
          <w:iCs/>
        </w:rPr>
      </w:r>
      <w:r/>
    </w:p>
    <w:p w:rsidR="0015244F" w:rsidRDefault="00A565B8">
      <w:pPr>
        <w:ind w:firstLine="567"/>
        <w:jc w:val="both"/>
      </w:pPr>
      <w:r>
        <w:t>Three conclusions follow. The alignment error is a property of the aggregation rule, not of the vendor and not of the network: the same tool produces it on three operators and two continents, and a tool that samples instead of aggregating does not. It is predictable, which means it can be audited in a few lines against any event clock, and the audit reports a mechanism rather than an anomaly. And it is consequential, because none of the 22 models audited in Section 2.3 reports such a check, and neither did the first version of this work.</w:t>
      </w:r>
      <w:r/>
      <w:r>
        <w:rPr>
          <w:i/>
          <w:iCs/>
        </w:rPr>
      </w:r>
      <w:r/>
    </w:p>
    <w:p w:rsidR="0015244F" w:rsidRDefault="00A565B8">
      <w:pPr>
        <w:ind w:firstLine="567"/>
        <w:jc w:val="both"/>
      </w:pPr>
      <w:r>
        <w:t>One objection has to be answered before the repair can be trusted, because it would change what the audit means. Lagging every export column removes the contaminated serving-cell assignment, but it also discards one second of radio and kinematic history that the aggregation rule cannot plausibly corrupt. On that reading the fall from 0.607 to 0.160 would measure the cost of a blunt repair rather than the size of the leak, and the honest correction would be a targeted one. Table 5.2b settles it. The four arms share one row set, one set of folds, one learner and one set of seeds; only the set of columns shifted by one row changes.</w:t>
      </w:r>
      <w:r/>
      <w:r>
        <w:rPr>
          <w:i/>
          <w:iCs/>
        </w:rPr>
      </w:r>
      <w:r/>
    </w:p>
    <w:p w:rsidR="0015244F" w:rsidRDefault="00A565B8">
      <w:pPr>
        <w:ind w:firstLine="567"/>
        <w:jc w:val="both"/>
      </w:pPr>
      <w:r>
        <w:t>The leak is carried almost entirely by the serving-cell radio scalars. Lagging the 31 neighbour and gap columns alone — the A3 condition itself, and the columns any analyst would suspect first — leaves the one-second AUPRC at 0.595, which is 2.5% of the total fall. Lagging the 56 serving-cell radio columns alone takes it to 0.178, which is 95.8% of it. And lagging the mobility block as well — the GPS speed, acceleration and bearing that no aggregation rule can contaminate — is worth 0.2% in the opposite direction, which is to say nothing at all. The repair is therefore not conservative: the blunt version and the targeted version cost the same, so the figure quoted throughout this thesis measures the leak and not the remedy.</w:t>
      </w:r>
      <w:r/>
      <w:r>
        <w:rPr>
          <w:i/>
          <w:iCs/>
        </w:rPr>
      </w:r>
      <w:r/>
    </w:p>
    <w:p w:rsidR="0015244F" w:rsidRDefault="00A565B8">
      <w:pPr>
        <w:ind w:firstLine="567"/>
        <w:jc w:val="both"/>
      </w:pPr>
      <w:r>
        <w:t>Why the radio scalars and not the cell identity is worth stating, because it is the part that transfers. A column named serving_rsrp is not a property of a cell; it is the reference signal power of whichever cell the export currently treats as serving. When the assignment flips inside the second, that column silently changes its referent and reports the target's power, which is by construction higher than the source's — an ordinary-looking radio scalar that is in fact the answer. The same is true of the RSRQ, SINR and CQI families and of every moving average and slope derived from them. The neighbour gap moves too, but it was already near its trigger threshold, so the flip adds little to it. The practical recommendation is therefore narrower and more useful than lag everything: on any export whose rows are aggregates, the columns to distrust are the ones defined relative to the serving-cell assignment, and they are not the ones that look like identifiers.</w:t>
      </w:r>
      <w:r/>
      <w:r>
        <w:rPr>
          <w:i/>
          <w:iCs/>
        </w:rPr>
      </w:r>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 Table 5.2b is reported under fixed hyper-parameters so that the five arms are comparable with one another; its levels are not comparable with Table 5.3, which reports the tuned arm.</w:t>
      </w:r>
      <w:r/>
      <w:r>
        <w:rPr>
          <w:i/>
          <w:iCs/>
        </w:rPr>
      </w:r>
      <w:r/>
    </w:p>
    <w:p w:rsidR="0015244F" w:rsidRDefault="00A565B8">
      <w:pPr>
        <w:keepNext/>
        <w:spacing w:before="240" w:after="120" w:line="240" w:lineRule="auto"/>
        <w:jc w:val="center"/>
      </w:pPr>
      <w:r>
        <w:rPr>
          <w:noProof/>
        </w:rPr>
        <w:lastRenderedPageBreak/>
        <w:drawing>
          <wp:inline distT="0" distB="0" distL="0" distR="0">
            <wp:extent cx="5762625" cy="5093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093909"/>
                    </a:xfrm>
                    <a:prstGeom prst="rect">
                      <a:avLst/>
                    </a:prstGeom>
                  </pic:spPr>
                </pic:pic>
              </a:graphicData>
            </a:graphic>
          </wp:inline>
        </w:drawing>
      </w:r>
    </w:p>
    <w:p w:rsidR="0015244F" w:rsidRDefault="00A565B8">
      <w:pPr>
        <w:pStyle w:val="FigureCaption"/>
        <w:spacing w:after="240" w:line="240" w:lineRule="auto"/>
        <w:jc w:val="center"/>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keepNext/>
        <w:spacing w:before="240" w:after="120" w:line="240" w:lineRule="auto"/>
        <w:jc w:val="center"/>
      </w:pPr>
      <w:r>
        <w:rPr>
          <w:noProof/>
        </w:rPr>
        <w:lastRenderedPageBreak/>
        <w:drawing>
          <wp:inline distT="0" distB="0" distL="0" distR="0">
            <wp:extent cx="5762625"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93181"/>
                    </a:xfrm>
                    <a:prstGeom prst="rect">
                      <a:avLst/>
                    </a:prstGeom>
                  </pic:spPr>
                </pic:pic>
              </a:graphicData>
            </a:graphic>
          </wp:inline>
        </w:drawing>
      </w:r>
    </w:p>
    <w:p w:rsidR="0015244F" w:rsidRDefault="00A565B8">
      <w:pPr>
        <w:pStyle w:val="FigureCaption"/>
        <w:spacing w:after="240" w:line="240" w:lineRule="auto"/>
        <w:jc w:val="center"/>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pStyle w:val="Heading2"/>
        <w:spacing w:before="360" w:after="140"/>
      </w:pPr>
      <w:r>
        <w:t>5.2 The primary prediction result</w:t>
      </w:r>
    </w:p>
    <w:p w:rsidR="0015244F" w:rsidRDefault="00A565B8">
      <w:pPr>
        <w:ind w:firstLine="567"/>
        <w:jc w:val="both"/>
      </w:pPr>
      <w:r>
        <w:t>Table 5.3 reports the performance of the primary model, LightGBM under the hazard formulation, at all five horizons, out of fold under leave-one-campaign-out.</w:t>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r/>
      <w:proofErr w:type="spellStart"/>
      <w:r/>
      <w:proofErr w:type="spellEnd"/>
      <w:r/>
    </w:p>
    <w:p w:rsidR="0015244F" w:rsidRDefault="00A565B8">
      <w:pPr>
        <w:pStyle w:val="TableCaption"/>
        <w:spacing w:before="240" w:after="120" w:line="240" w:lineRule="auto"/>
        <w:jc w:val="center"/>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tblGrid>
      <w:tr>
        <w:tc>
          <w:tcPr/>
          <w:p>
            <w:r>
              <w:t>Learner</w:t>
            </w:r>
          </w:p>
        </w:tc>
        <w:tc>
          <w:tcPr/>
          <w:p>
            <w:r>
              <w:t>AUPRC 1 s [95 % CI]</w:t>
            </w:r>
          </w:p>
        </w:tc>
        <w:tc>
          <w:tcPr/>
          <w:p>
            <w:r>
              <w:t>Lift 1 s</w:t>
            </w:r>
          </w:p>
        </w:tc>
        <w:tc>
          <w:tcPr/>
          <w:p>
            <w:r>
              <w:t>AUROC 1 s</w:t>
            </w:r>
          </w:p>
        </w:tc>
        <w:tc>
          <w:tcPr/>
          <w:p>
            <w:r>
              <w:t>AUPRC 5 s</w:t>
            </w:r>
          </w:p>
        </w:tc>
        <w:tc>
          <w:tcPr/>
          <w:p>
            <w:r>
              <w:t>Lift 5 s</w:t>
            </w:r>
          </w:p>
        </w:tc>
      </w:tr>
      <w:tr>
        <w:tc>
          <w:tcPr/>
          <w:p>
            <w:r>
              <w:t>LightGBM</w:t>
            </w:r>
          </w:p>
        </w:tc>
        <w:tc>
          <w:tcPr/>
          <w:p>
            <w:r>
              <w:t>0.179 [0.159, 0.204]</w:t>
            </w:r>
          </w:p>
        </w:tc>
        <w:tc>
          <w:tcPr/>
          <w:p>
            <w:r>
              <w:t>2.6×</w:t>
            </w:r>
          </w:p>
        </w:tc>
        <w:tc>
          <w:tcPr/>
          <w:p>
            <w:r>
              <w:t>0.777</w:t>
            </w:r>
          </w:p>
        </w:tc>
        <w:tc>
          <w:tcPr/>
          <w:p>
            <w:r>
              <w:t>0.475</w:t>
            </w:r>
          </w:p>
        </w:tc>
        <w:tc>
          <w:tcPr/>
          <w:p>
            <w:r>
              <w:t>1.8×</w:t>
            </w:r>
          </w:p>
        </w:tc>
      </w:tr>
      <w:tr>
        <w:tc>
          <w:tcPr/>
          <w:p>
            <w:r>
              <w:t>MLP</w:t>
            </w:r>
          </w:p>
        </w:tc>
        <w:tc>
          <w:tcPr/>
          <w:p>
            <w:r>
              <w:t>0.173 [0.152, 0.202]</w:t>
            </w:r>
          </w:p>
        </w:tc>
        <w:tc>
          <w:tcPr/>
          <w:p>
            <w:r>
              <w:t>2.5×</w:t>
            </w:r>
          </w:p>
        </w:tc>
        <w:tc>
          <w:tcPr/>
          <w:p>
            <w:r>
              <w:t>0.755</w:t>
            </w:r>
          </w:p>
        </w:tc>
        <w:tc>
          <w:tcPr/>
          <w:p>
            <w:r>
              <w:t>0.467</w:t>
            </w:r>
          </w:p>
        </w:tc>
        <w:tc>
          <w:tcPr/>
          <w:p>
            <w:r>
              <w:t>1.8×</w:t>
            </w:r>
          </w:p>
        </w:tc>
      </w:tr>
      <w:tr>
        <w:tc>
          <w:tcPr/>
          <w:p>
            <w:r>
              <w:t>TCN</w:t>
            </w:r>
          </w:p>
        </w:tc>
        <w:tc>
          <w:tcPr/>
          <w:p>
            <w:r>
              <w:t>0.167 [0.146, 0.197]</w:t>
            </w:r>
          </w:p>
        </w:tc>
        <w:tc>
          <w:tcPr/>
          <w:p>
            <w:r>
              <w:t>2.5×</w:t>
            </w:r>
          </w:p>
        </w:tc>
        <w:tc>
          <w:tcPr/>
          <w:p>
            <w:r>
              <w:t>0.755</w:t>
            </w:r>
          </w:p>
        </w:tc>
        <w:tc>
          <w:tcPr/>
          <w:p>
            <w:r>
              <w:t>0.481</w:t>
            </w:r>
          </w:p>
        </w:tc>
        <w:tc>
          <w:tcPr/>
          <w:p>
            <w:r>
              <w:t>1.8×</w:t>
            </w:r>
          </w:p>
        </w:tc>
      </w:tr>
      <w:tr>
        <w:tc>
          <w:tcPr/>
          <w:p>
            <w:r>
              <w:t>Transformer</w:t>
            </w:r>
          </w:p>
        </w:tc>
        <w:tc>
          <w:tcPr/>
          <w:p>
            <w:r>
              <w:t>0.152 [0.135, 0.179]</w:t>
            </w:r>
          </w:p>
        </w:tc>
        <w:tc>
          <w:tcPr/>
          <w:p>
            <w:r>
              <w:t>2.2×</w:t>
            </w:r>
          </w:p>
        </w:tc>
        <w:tc>
          <w:tcPr/>
          <w:p>
            <w:r>
              <w:t>0.728</w:t>
            </w:r>
          </w:p>
        </w:tc>
        <w:tc>
          <w:tcPr/>
          <w:p>
            <w:r>
              <w:t>0.453</w:t>
            </w:r>
          </w:p>
        </w:tc>
        <w:tc>
          <w:tcPr/>
          <w:p>
            <w:r>
              <w:t>1.7×</w:t>
            </w:r>
          </w:p>
        </w:tc>
      </w:tr>
      <w:tr>
        <w:tc>
          <w:tcPr/>
          <w:p>
            <w:r>
              <w:t>GRU</w:t>
            </w:r>
          </w:p>
        </w:tc>
        <w:tc>
          <w:tcPr/>
          <w:p>
            <w:r>
              <w:t>0.130 [0.114, 0.153]</w:t>
            </w:r>
          </w:p>
        </w:tc>
        <w:tc>
          <w:tcPr/>
          <w:p>
            <w:r>
              <w:t>1.9×</w:t>
            </w:r>
          </w:p>
        </w:tc>
        <w:tc>
          <w:tcPr/>
          <w:p>
            <w:r>
              <w:t>0.710</w:t>
            </w:r>
          </w:p>
        </w:tc>
        <w:tc>
          <w:tcPr/>
          <w:p>
            <w:r>
              <w:t>0.438</w:t>
            </w:r>
          </w:p>
        </w:tc>
        <w:tc>
          <w:tcPr/>
          <w:p>
            <w:r>
              <w:t>1.7×</w:t>
            </w:r>
          </w:p>
        </w:tc>
      </w:tr>
      <w:tr>
        <w:tc>
          <w:tcPr/>
          <w:p>
            <w:r>
              <w:t>Logistic regression</w:t>
            </w:r>
          </w:p>
        </w:tc>
        <w:tc>
          <w:tcPr/>
          <w:p>
            <w:r>
              <w:t>0.130 [0.114, 0.152]</w:t>
            </w:r>
          </w:p>
        </w:tc>
        <w:tc>
          <w:tcPr/>
          <w:p>
            <w:r>
              <w:t>1.9×</w:t>
            </w:r>
          </w:p>
        </w:tc>
        <w:tc>
          <w:tcPr/>
          <w:p>
            <w:r>
              <w:t>0.671</w:t>
            </w:r>
          </w:p>
        </w:tc>
        <w:tc>
          <w:tcPr/>
          <w:p>
            <w:r>
              <w:t>0.417</w:t>
            </w:r>
          </w:p>
        </w:tc>
        <w:tc>
          <w:tcPr/>
          <w:p>
            <w:r>
              <w:t>1.6×</w:t>
            </w:r>
          </w:p>
        </w:tc>
      </w:tr>
      <w:tr>
        <w:tc>
          <w:tcPr/>
          <w:p>
            <w:r>
              <w:t>Hawkes-kernel intensity (LR)</w:t>
            </w:r>
          </w:p>
        </w:tc>
        <w:tc>
          <w:tcPr/>
          <w:p>
            <w:r>
              <w:t>0.120 [0.103, 0.138]</w:t>
            </w:r>
          </w:p>
        </w:tc>
        <w:tc>
          <w:tcPr/>
          <w:p>
            <w:r>
              <w:t>1.8×</w:t>
            </w:r>
          </w:p>
        </w:tc>
        <w:tc>
          <w:tcPr/>
          <w:p>
            <w:r>
              <w:t>0.666</w:t>
            </w:r>
          </w:p>
        </w:tc>
        <w:tc>
          <w:tcPr/>
          <w:p>
            <w:r>
              <w:t>0.403</w:t>
            </w:r>
          </w:p>
        </w:tc>
        <w:tc>
          <w:tcPr/>
          <w:p>
            <w:r>
              <w:t>1.5×</w:t>
            </w:r>
          </w:p>
        </w:tc>
      </w:tr>
      <w:tr>
        <w:tc>
          <w:tcPr/>
          <w:p>
            <w:r>
              <w:t>Event A3 rule (deployed parameters)</w:t>
            </w:r>
          </w:p>
        </w:tc>
        <w:tc>
          <w:tcPr/>
          <w:p>
            <w:r>
              <w:t>0.116 [0.103, 0.132]</w:t>
            </w:r>
          </w:p>
        </w:tc>
        <w:tc>
          <w:tcPr/>
          <w:p>
            <w:r>
              <w:t>1.7×</w:t>
            </w:r>
          </w:p>
        </w:tc>
        <w:tc>
          <w:tcPr/>
          <w:p>
            <w:r>
              <w:t>0.689</w:t>
            </w:r>
          </w:p>
        </w:tc>
        <w:tc>
          <w:tcPr/>
          <w:p>
            <w:r>
              <w:t>0.374</w:t>
            </w:r>
          </w:p>
        </w:tc>
        <w:tc>
          <w:tcPr/>
          <w:p>
            <w:r>
              <w:t>1.4×</w:t>
            </w:r>
          </w:p>
        </w:tc>
      </w:tr>
      <w:tr>
        <w:tc>
          <w:tcPr/>
          <w:p>
            <w:r>
              <w:t>History block only (LightGBM)</w:t>
            </w:r>
          </w:p>
        </w:tc>
        <w:tc>
          <w:tcPr/>
          <w:p>
            <w:r>
              <w:t>0.114 [0.098, 0.134]</w:t>
            </w:r>
          </w:p>
        </w:tc>
        <w:tc>
          <w:tcPr/>
          <w:p>
            <w:r>
              <w:t>1.7×</w:t>
            </w:r>
          </w:p>
        </w:tc>
        <w:tc>
          <w:tcPr/>
          <w:p>
            <w:r>
              <w:t>0.652</w:t>
            </w:r>
          </w:p>
        </w:tc>
        <w:tc>
          <w:tcPr/>
          <w:p>
            <w:r>
              <w:t>0.397</w:t>
            </w:r>
          </w:p>
        </w:tc>
        <w:tc>
          <w:tcPr/>
          <w:p>
            <w:r>
              <w:t>1.5×</w:t>
            </w:r>
          </w:p>
        </w:tc>
      </w:tr>
      <w:tr>
        <w:tc>
          <w:tcPr/>
          <w:p>
            <w:r>
              <w:t>Dwell time only (LightGBM)</w:t>
            </w:r>
          </w:p>
        </w:tc>
        <w:tc>
          <w:tcPr/>
          <w:p>
            <w:r>
              <w:t>0.105 [0.091, 0.120]</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One second before a handover command the model reaches AUPRC 0.179 against a prevalence floor of 6.8%, a lift of 2.6x, at AUROC 0.777 and an expected calibration error of 0.012. At five seconds it reaches AUPRC 0.475 against a 26.1% floor, a lift of 1.8x. The deployed Event A3 rule, scored on the same rows as a predictor, reaches AUPRC 0.116 at one second (1.7x) and AUROC 0.689. The model is therefore materially better than the deployed rule and materially worse than the same model was before the alignment audit; both statements belong in the same paragraph.</w:t>
      </w:r>
      <w:proofErr w:type="spellStart"/>
      <w:r/>
      <w:proofErr w:type="spellEnd"/>
      <w:r/>
      <w:r/>
      <w: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r/>
    </w:p>
    <w:p w:rsidR="0015244F" w:rsidRDefault="00A565B8">
      <w:pPr>
        <w:ind w:firstLine="567"/>
        <w:jc w:val="both"/>
      </w:pPr>
      <w:r>
        <w:t>The interval on each AUPRC in Table 5.3 comes from a block bootstrap over 180-second blocks and is conditional on these four sessions. It measures variation within the corridors driven, not variation between corridors, and Section 5.3 shows those blocks are not independent of one another, so the interval is narrower than the evidence about a fifth campaign would support. The per-campaign spread in Table 5.8 is wider, and it is the honest measure of how much a fifth campaign could move these numbers. No interval anywhere in this thesis is used to declare a difference significant.</w:t>
      </w:r>
      <w:r/>
      <w:proofErr w:type="spellStart"/>
      <w:r/>
      <w:proofErr w:type="spellEnd"/>
      <w:r/>
      <w:r/>
    </w:p>
    <w:p w:rsidR="0015244F" w:rsidRDefault="00A565B8">
      <w:pPr>
        <w:ind w:firstLine="567"/>
        <w:jc w:val="both"/>
      </w:pPr>
      <w:r>
        <w:t>That applies directly to Table 5.4, which is a leaderboard and should not be read as one. LightGBM is first at 0.179, MLP second at 0.173 and TCN third at 0.167, and the intervals of 10 of the arms overlap the leader's. The ordering of the top arms is not a finding of this thesis, and none of its conclusions depends on it. What the table is for is the comparison of levels against the prevalence floor and against the deployed rule, which is a gap of a different order from the gaps between learners. The same caution applies to the tuning: twenty trials over seven learners, four folds and three seeds is a large search relative to roughly six hundred positive rows at one second, and the protocol of Section 4.7 protects the held-out campaign from it without removing the researcher's freedom to have chosen the search in the first place. The alignment audit and the feature lag were themselves decided after all four campaigns were in hand; Section 3.2 records the freeze, and the honest description of everything after it is exploratory development rather than confirmatory evaluation.</w:t>
      </w:r>
      <w:r/>
      <w:proofErr w:type="spellStart"/>
      <w:r/>
      <w:proofErr w:type="spellEnd"/>
      <w:r/>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Figure 5.4 One-second AUPRC lift by learner, with each held-out campaign drawn separately. The spread across campaigns is wider than the spread across learners.</w:t>
      </w:r>
    </w:p>
    <w:p w:rsidR="0015244F" w:rsidRDefault="00A565B8">
      <w:pPr>
        <w:pStyle w:val="Heading2"/>
        <w:spacing w:before="360" w:after="140"/>
      </w:pPr>
      <w:r>
        <w:t>5.3 Splitting protocol: what each unit is worth</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roofErr w:type="spellStart"/>
      <w:r/>
      <w:proofErr w:type="spellEnd"/>
      <w:r/>
      <w:r/>
      <w:r/>
    </w:p>
    <w:p w:rsidR="0015244F" w:rsidRDefault="00A565B8">
      <w:pPr>
        <w:pStyle w:val="TableCaption"/>
        <w:spacing w:before="240" w:after="120" w:line="240" w:lineRule="auto"/>
        <w:jc w:val="center"/>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blPrEx>
          <w:tblCellMar>
            <w:top w:w="0" w:type="dxa"/>
            <w:bottom w:w="0" w:type="dxa"/>
          </w:tblCellMar>
        </w:tblPrEx>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blPrEx>
          <w:tblCellMar>
            <w:top w:w="0" w:type="dxa"/>
            <w:bottom w:w="0" w:type="dxa"/>
          </w:tblCellMar>
        </w:tblPrEx>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blPrEx>
          <w:tblCellMar>
            <w:top w:w="0" w:type="dxa"/>
            <w:bottom w:w="0" w:type="dxa"/>
          </w:tblCellMar>
        </w:tblPrEx>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p w:rsidR="0015244F" w:rsidRDefault="00A565B8">
      <w:pPr>
        <w:ind w:firstLine="567"/>
        <w:jc w:val="both"/>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deployed A3 rule, which has no parameters to over-fit with, moves by +0 % across the whole ladder and is the control that shows the effect is over-fitting rather than a difference in test-set difficulty.</w:t>
      </w:r>
      <w:r/>
      <w:r/>
      <w:proofErr w:type="spellStart"/>
      <w:r/>
      <w:proofErr w:type="spellEnd"/>
      <w:r/>
      <w:r/>
      <w:proofErr w:type="spellStart"/>
      <w:r/>
      <w:proofErr w:type="spellEnd"/>
      <w:r/>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rPr>
          <w:b/>
          <w:bCs/>
        </w:rPr>
      </w:r>
      <w:r/>
      <w:r/>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r/>
    </w:p>
    <w:p w:rsidR="0015244F" w:rsidRDefault="00A565B8">
      <w:pPr>
        <w:pStyle w:val="TableCaption"/>
        <w:spacing w:before="240" w:after="120" w:line="240" w:lineRule="auto"/>
        <w:jc w:val="center"/>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 (one fit)</w:t>
            </w:r>
          </w:p>
        </w:tc>
        <w:tc>
          <w:tcPr>
            <w:tcMar>
              <w:top w:w="60" w:type="dxa"/>
              <w:left w:w="100" w:type="dxa"/>
              <w:bottom w:w="60" w:type="dxa"/>
              <w:right w:w="100" w:type="dxa"/>
            </w:tcMar>
          </w:tcPr>
          <w:p>
            <w:r>
              <w:t>Rows violating (3-seed ensemble)</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 [95 % CI]</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blPrEx>
          <w:tblCellMar>
            <w:top w:w="0" w:type="dxa"/>
            <w:bottom w:w="0" w:type="dxa"/>
          </w:tblCellMar>
        </w:tblPrEx>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40.2 %</w:t>
            </w:r>
          </w:p>
        </w:tc>
        <w:tc>
          <w:tcPr>
            <w:tcMar>
              <w:top w:w="60" w:type="dxa"/>
              <w:left w:w="100" w:type="dxa"/>
              <w:bottom w:w="60" w:type="dxa"/>
              <w:right w:w="100" w:type="dxa"/>
            </w:tcMar>
          </w:tcPr>
          <w:p>
            <w:r>
              <w:t>29.0 %</w:t>
            </w:r>
          </w:p>
        </w:tc>
        <w:tc>
          <w:tcPr>
            <w:tcMar>
              <w:top w:w="60" w:type="dxa"/>
              <w:left w:w="100" w:type="dxa"/>
              <w:bottom w:w="60" w:type="dxa"/>
              <w:right w:w="100" w:type="dxa"/>
            </w:tcMar>
          </w:tcPr>
          <w:p>
            <w:r>
              <w:t>0.025</w:t>
            </w:r>
          </w:p>
        </w:tc>
        <w:tc>
          <w:tcPr>
            <w:tcMar>
              <w:top w:w="60" w:type="dxa"/>
              <w:left w:w="100" w:type="dxa"/>
              <w:bottom w:w="60" w:type="dxa"/>
              <w:right w:w="100" w:type="dxa"/>
            </w:tcMar>
          </w:tcPr>
          <w:p>
            <w:r>
              <w:t>0.521</w:t>
            </w:r>
          </w:p>
        </w:tc>
        <w:tc>
          <w:tcPr>
            <w:tcMar>
              <w:top w:w="60" w:type="dxa"/>
              <w:left w:w="100" w:type="dxa"/>
              <w:bottom w:w="60" w:type="dxa"/>
              <w:right w:w="100" w:type="dxa"/>
            </w:tcMar>
          </w:tcPr>
          <w:p>
            <w:r>
              <w:t>0.047 [0.040, 0.056]</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45.9 %</w:t>
            </w:r>
          </w:p>
        </w:tc>
        <w:tc>
          <w:tcPr>
            <w:tcMar>
              <w:top w:w="60" w:type="dxa"/>
              <w:left w:w="100" w:type="dxa"/>
              <w:bottom w:w="60" w:type="dxa"/>
              <w:right w:w="100" w:type="dxa"/>
            </w:tcMar>
          </w:tcPr>
          <w:p>
            <w:r>
              <w:t>33.4 %</w:t>
            </w:r>
          </w:p>
        </w:tc>
        <w:tc>
          <w:tcPr>
            <w:tcMar>
              <w:top w:w="60" w:type="dxa"/>
              <w:left w:w="100" w:type="dxa"/>
              <w:bottom w:w="60" w:type="dxa"/>
              <w:right w:w="100" w:type="dxa"/>
            </w:tcMar>
          </w:tcPr>
          <w:p>
            <w:r>
              <w:t>0.033</w:t>
            </w:r>
          </w:p>
        </w:tc>
        <w:tc>
          <w:tcPr>
            <w:tcMar>
              <w:top w:w="60" w:type="dxa"/>
              <w:left w:w="100" w:type="dxa"/>
              <w:bottom w:w="60" w:type="dxa"/>
              <w:right w:w="100" w:type="dxa"/>
            </w:tcMar>
          </w:tcPr>
          <w:p>
            <w:r>
              <w:t>0.645</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 [0.031, 0.044]</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A565B8">
      <w:pPr>
        <w:pStyle w:val="TableCaption"/>
        <w:spacing w:before="240" w:after="120" w:line="240" w:lineRule="auto"/>
        <w:jc w:val="center"/>
      </w:pPr>
      <w:r>
        <w:t>Table 5.6b Paired differences between the hazard arm and each control at one second. A positive ECE difference favours the control, since a lower calibration error is better. The block column is a descriptive within-campaign spread and supports no inference: Section 5.3 shows 180-second blocks of one session are dependent, so resampling them understates the uncertainty. The four per-campaign columns are the independent units; with four of them a two-sided sign test cannot return a p-value below 0.125, so the count of campaigns sharing the sign is reported and no significance is claimed.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gridCol/>
      </w:tblGrid>
      <w:tr>
        <w:tc>
          <w:tcPr/>
          <w:p>
            <w:r>
              <w:t>Control arm</w:t>
            </w:r>
          </w:p>
        </w:tc>
        <w:tc>
          <w:tcPr/>
          <w:p>
            <w:r>
              <w:t>Metric</w:t>
            </w:r>
          </w:p>
        </w:tc>
        <w:tc>
          <w:tcPr/>
          <w:p>
            <w:r>
              <w:t>Hazard − control (pooled)</w:t>
            </w:r>
          </w:p>
        </w:tc>
        <w:tc>
          <w:tcPr/>
          <w:p>
            <w:r>
              <w:t>Within-campaign block spread (descriptive)</w:t>
            </w:r>
          </w:p>
        </w:tc>
        <w:tc>
          <w:tcPr/>
          <w:p>
            <w:r>
              <w:t>10 Sept</w:t>
            </w:r>
          </w:p>
        </w:tc>
        <w:tc>
          <w:tcPr/>
          <w:p>
            <w:r>
              <w:t>12 Sept</w:t>
            </w:r>
          </w:p>
        </w:tc>
        <w:tc>
          <w:tcPr/>
          <w:p>
            <w:r>
              <w:t>13 Sept</w:t>
            </w:r>
          </w:p>
        </w:tc>
        <w:tc>
          <w:tcPr/>
          <w:p>
            <w:r>
              <w:t>15 Sept</w:t>
            </w:r>
          </w:p>
        </w:tc>
        <w:tc>
          <w:tcPr/>
          <w:p>
            <w:r>
              <w:t>Campaigns favouring hazard</w:t>
            </w:r>
          </w:p>
        </w:tc>
      </w:tr>
      <w:tr>
        <w:tc>
          <w:tcPr/>
          <w:p>
            <w:r>
              <w:t>independent</w:t>
            </w:r>
          </w:p>
        </w:tc>
        <w:tc>
          <w:tcPr/>
          <w:p>
            <w:r>
              <w:t>AUPRC 1 s</w:t>
            </w:r>
          </w:p>
        </w:tc>
        <w:tc>
          <w:tcPr/>
          <w:p>
            <w:r>
              <w:t>-0.001</w:t>
            </w:r>
          </w:p>
        </w:tc>
        <w:tc>
          <w:tcPr/>
          <w:p>
            <w:r>
              <w:t>[-0.013, +0.010]</w:t>
            </w:r>
          </w:p>
        </w:tc>
        <w:tc>
          <w:tcPr/>
          <w:p>
            <w:r>
              <w:t>+0.005</w:t>
            </w:r>
          </w:p>
        </w:tc>
        <w:tc>
          <w:tcPr/>
          <w:p>
            <w:r>
              <w:t>+0.003</w:t>
            </w:r>
          </w:p>
        </w:tc>
        <w:tc>
          <w:tcPr/>
          <w:p>
            <w:r>
              <w:t>+0.015</w:t>
            </w:r>
          </w:p>
        </w:tc>
        <w:tc>
          <w:tcPr/>
          <w:p>
            <w:r>
              <w:t>+0.000</w:t>
            </w:r>
          </w:p>
        </w:tc>
        <w:tc>
          <w:tcPr/>
          <w:p>
            <w:r>
              <w:t>4 of 4</w:t>
            </w:r>
          </w:p>
        </w:tc>
      </w:tr>
      <w:tr>
        <w:tc>
          <w:tcPr/>
          <w:p>
            <w:r>
              <w:t>independent</w:t>
            </w:r>
          </w:p>
        </w:tc>
        <w:tc>
          <w:tcPr/>
          <w:p>
            <w:r>
              <w:t>ECE 1 s</w:t>
            </w:r>
          </w:p>
        </w:tc>
        <w:tc>
          <w:tcPr/>
          <w:p>
            <w:r>
              <w:t>-0.010</w:t>
            </w:r>
          </w:p>
        </w:tc>
        <w:tc>
          <w:tcPr/>
          <w:p>
            <w:r>
              <w:t>[-0.015, -0.006]</w:t>
            </w:r>
          </w:p>
        </w:tc>
        <w:tc>
          <w:tcPr/>
          <w:p>
            <w:r>
              <w:t>-0.012</w:t>
            </w:r>
          </w:p>
        </w:tc>
        <w:tc>
          <w:tcPr/>
          <w:p>
            <w:r>
              <w:t>-0.023</w:t>
            </w:r>
          </w:p>
        </w:tc>
        <w:tc>
          <w:tcPr/>
          <w:p>
            <w:r>
              <w:t>-0.005</w:t>
            </w:r>
          </w:p>
        </w:tc>
        <w:tc>
          <w:tcPr/>
          <w:p>
            <w:r>
              <w:t>-0.010</w:t>
            </w:r>
          </w:p>
        </w:tc>
        <w:tc>
          <w:tcPr/>
          <w:p>
            <w:r>
              <w:t>4 of 4</w:t>
            </w:r>
          </w:p>
        </w:tc>
      </w:tr>
      <w:tr>
        <w:tc>
          <w:tcPr/>
          <w:p>
            <w:r>
              <w:t>independent + cumulative max</w:t>
            </w:r>
          </w:p>
        </w:tc>
        <w:tc>
          <w:tcPr/>
          <w:p>
            <w:r>
              <w:t>AUPRC 1 s</w:t>
            </w:r>
          </w:p>
        </w:tc>
        <w:tc>
          <w:tcPr/>
          <w:p>
            <w:r>
              <w:t>+0.000</w:t>
            </w:r>
          </w:p>
        </w:tc>
        <w:tc>
          <w:tcPr/>
          <w:p>
            <w:r>
              <w:t>[-0.012, +0.010]</w:t>
            </w:r>
          </w:p>
        </w:tc>
        <w:tc>
          <w:tcPr/>
          <w:p>
            <w:r>
              <w:t>+0.006</w:t>
            </w:r>
          </w:p>
        </w:tc>
        <w:tc>
          <w:tcPr/>
          <w:p>
            <w:r>
              <w:t>-0.002</w:t>
            </w:r>
          </w:p>
        </w:tc>
        <w:tc>
          <w:tcPr/>
          <w:p>
            <w:r>
              <w:t>+0.015</w:t>
            </w:r>
          </w:p>
        </w:tc>
        <w:tc>
          <w:tcPr/>
          <w:p>
            <w:r>
              <w:t>+0.003</w:t>
            </w:r>
          </w:p>
        </w:tc>
        <w:tc>
          <w:tcPr/>
          <w:p>
            <w:r>
              <w:t>3 of 4</w:t>
            </w:r>
          </w:p>
        </w:tc>
      </w:tr>
      <w:tr>
        <w:tc>
          <w:tcPr/>
          <w:p>
            <w:r>
              <w:t>independent + cumulative max</w:t>
            </w:r>
          </w:p>
        </w:tc>
        <w:tc>
          <w:tcPr/>
          <w:p>
            <w:r>
              <w:t>ECE 1 s</w:t>
            </w:r>
          </w:p>
        </w:tc>
        <w:tc>
          <w:tcPr/>
          <w:p>
            <w:r>
              <w:t>-0.010</w:t>
            </w:r>
          </w:p>
        </w:tc>
        <w:tc>
          <w:tcPr/>
          <w:p>
            <w:r>
              <w:t>[-0.014, -0.006]</w:t>
            </w:r>
          </w:p>
        </w:tc>
        <w:tc>
          <w:tcPr/>
          <w:p>
            <w:r>
              <w:t>-0.012</w:t>
            </w:r>
          </w:p>
        </w:tc>
        <w:tc>
          <w:tcPr/>
          <w:p>
            <w:r>
              <w:t>-0.022</w:t>
            </w:r>
          </w:p>
        </w:tc>
        <w:tc>
          <w:tcPr/>
          <w:p>
            <w:r>
              <w:t>-0.005</w:t>
            </w:r>
          </w:p>
        </w:tc>
        <w:tc>
          <w:tcPr/>
          <w:p>
            <w:r>
              <w:t>-0.010</w:t>
            </w:r>
          </w:p>
        </w:tc>
        <w:tc>
          <w:tcPr/>
          <w:p>
            <w:r>
              <w:t>4 of 4</w:t>
            </w:r>
          </w:p>
        </w:tc>
      </w:tr>
      <w:tr>
        <w:tc>
          <w:tcPr/>
          <w:p>
            <w:r>
              <w:t>independent + PAV</w:t>
            </w:r>
          </w:p>
        </w:tc>
        <w:tc>
          <w:tcPr/>
          <w:p>
            <w:r>
              <w:t>AUPRC 1 s</w:t>
            </w:r>
          </w:p>
        </w:tc>
        <w:tc>
          <w:tcPr/>
          <w:p>
            <w:r>
              <w:t>-0.000</w:t>
            </w:r>
          </w:p>
        </w:tc>
        <w:tc>
          <w:tcPr/>
          <w:p>
            <w:r>
              <w:t>[-0.012, +0.010]</w:t>
            </w:r>
          </w:p>
        </w:tc>
        <w:tc>
          <w:tcPr/>
          <w:p>
            <w:r>
              <w:t>+0.005</w:t>
            </w:r>
          </w:p>
        </w:tc>
        <w:tc>
          <w:tcPr/>
          <w:p>
            <w:r>
              <w:t>-0.006</w:t>
            </w:r>
          </w:p>
        </w:tc>
        <w:tc>
          <w:tcPr/>
          <w:p>
            <w:r>
              <w:t>+0.014</w:t>
            </w:r>
          </w:p>
        </w:tc>
        <w:tc>
          <w:tcPr/>
          <w:p>
            <w:r>
              <w:t>+0.002</w:t>
            </w:r>
          </w:p>
        </w:tc>
        <w:tc>
          <w:tcPr/>
          <w:p>
            <w:r>
              <w:t>3 of 4</w:t>
            </w:r>
          </w:p>
        </w:tc>
      </w:tr>
      <w:tr>
        <w:tc>
          <w:tcPr/>
          <w:p>
            <w:r>
              <w:t>independent + PAV</w:t>
            </w:r>
          </w:p>
        </w:tc>
        <w:tc>
          <w:tcPr/>
          <w:p>
            <w:r>
              <w:t>ECE 1 s</w:t>
            </w:r>
          </w:p>
        </w:tc>
        <w:tc>
          <w:tcPr/>
          <w:p>
            <w:r>
              <w:t>-0.010</w:t>
            </w:r>
          </w:p>
        </w:tc>
        <w:tc>
          <w:tcPr/>
          <w:p>
            <w:r>
              <w:t>[-0.015, -0.006]</w:t>
            </w:r>
          </w:p>
        </w:tc>
        <w:tc>
          <w:tcPr/>
          <w:p>
            <w:r>
              <w:t>-0.012</w:t>
            </w:r>
          </w:p>
        </w:tc>
        <w:tc>
          <w:tcPr/>
          <w:p>
            <w:r>
              <w:t>-0.023</w:t>
            </w:r>
          </w:p>
        </w:tc>
        <w:tc>
          <w:tcPr/>
          <w:p>
            <w:r>
              <w:t>-0.006</w:t>
            </w:r>
          </w:p>
        </w:tc>
        <w:tc>
          <w:tcPr/>
          <w:p>
            <w:r>
              <w:t>-0.010</w:t>
            </w:r>
          </w:p>
        </w:tc>
        <w:tc>
          <w:tcPr/>
          <w:p>
            <w:r>
              <w:t>4 of 4</w:t>
            </w:r>
          </w:p>
        </w:tc>
      </w:tr>
      <w:tr>
        <w:tc>
          <w:tcPr/>
          <w:p>
            <w:r>
              <w:t>independent + isotonic</w:t>
            </w:r>
          </w:p>
        </w:tc>
        <w:tc>
          <w:tcPr/>
          <w:p>
            <w:r>
              <w:t>AUPRC 1 s</w:t>
            </w:r>
          </w:p>
        </w:tc>
        <w:tc>
          <w:tcPr/>
          <w:p>
            <w:r>
              <w:t>-0.001</w:t>
            </w:r>
          </w:p>
        </w:tc>
        <w:tc>
          <w:tcPr/>
          <w:p>
            <w:r>
              <w:t>[-0.011, +0.011]</w:t>
            </w:r>
          </w:p>
        </w:tc>
        <w:tc>
          <w:tcPr/>
          <w:p>
            <w:r>
              <w:t>+0.005</w:t>
            </w:r>
          </w:p>
        </w:tc>
        <w:tc>
          <w:tcPr/>
          <w:p>
            <w:r>
              <w:t>+0.011</w:t>
            </w:r>
          </w:p>
        </w:tc>
        <w:tc>
          <w:tcPr/>
          <w:p>
            <w:r>
              <w:t>+0.014</w:t>
            </w:r>
          </w:p>
        </w:tc>
        <w:tc>
          <w:tcPr/>
          <w:p>
            <w:r>
              <w:t>-0.000</w:t>
            </w:r>
          </w:p>
        </w:tc>
        <w:tc>
          <w:tcPr/>
          <w:p>
            <w:r>
              <w:t>3 of 4</w:t>
            </w:r>
          </w:p>
        </w:tc>
      </w:tr>
      <w:tr>
        <w:tc>
          <w:tcPr/>
          <w:p>
            <w:r>
              <w:t>independent + isotonic</w:t>
            </w:r>
          </w:p>
        </w:tc>
        <w:tc>
          <w:tcPr/>
          <w:p>
            <w:r>
              <w:t>ECE 1 s</w:t>
            </w:r>
          </w:p>
        </w:tc>
        <w:tc>
          <w:tcPr/>
          <w:p>
            <w:r>
              <w:t>+0.018</w:t>
            </w:r>
          </w:p>
        </w:tc>
        <w:tc>
          <w:tcPr/>
          <w:p>
            <w:r>
              <w:t>[+0.008, +0.027]</w:t>
            </w:r>
          </w:p>
        </w:tc>
        <w:tc>
          <w:tcPr/>
          <w:p>
            <w:r>
              <w:t>+0.013</w:t>
            </w:r>
          </w:p>
        </w:tc>
        <w:tc>
          <w:tcPr/>
          <w:p>
            <w:r>
              <w:t>+0.007</w:t>
            </w:r>
          </w:p>
        </w:tc>
        <w:tc>
          <w:tcPr/>
          <w:p>
            <w:r>
              <w:t>+0.031</w:t>
            </w:r>
          </w:p>
        </w:tc>
        <w:tc>
          <w:tcPr/>
          <w:p>
            <w:r>
              <w:t>-0.018</w:t>
            </w:r>
          </w:p>
        </w:tc>
        <w:tc>
          <w:tcPr/>
          <w:p>
            <w:r>
              <w:t>1 of 4</w:t>
            </w:r>
          </w:p>
        </w:tc>
      </w:tr>
      <w:tr>
        <w:tc>
          <w:tcPr/>
          <w:p>
            <w:r>
              <w:t>independent + isotonic + PAV</w:t>
            </w:r>
          </w:p>
        </w:tc>
        <w:tc>
          <w:tcPr/>
          <w:p>
            <w:r>
              <w:t>AUPRC 1 s</w:t>
            </w:r>
          </w:p>
        </w:tc>
        <w:tc>
          <w:tcPr/>
          <w:p>
            <w:r>
              <w:t>-0.001</w:t>
            </w:r>
          </w:p>
        </w:tc>
        <w:tc>
          <w:tcPr/>
          <w:p>
            <w:r>
              <w:t>[-0.011, +0.010]</w:t>
            </w:r>
          </w:p>
        </w:tc>
        <w:tc>
          <w:tcPr/>
          <w:p>
            <w:r>
              <w:t>+0.005</w:t>
            </w:r>
          </w:p>
        </w:tc>
        <w:tc>
          <w:tcPr/>
          <w:p>
            <w:r>
              <w:t>-0.008</w:t>
            </w:r>
          </w:p>
        </w:tc>
        <w:tc>
          <w:tcPr/>
          <w:p>
            <w:r>
              <w:t>+0.014</w:t>
            </w:r>
          </w:p>
        </w:tc>
        <w:tc>
          <w:tcPr/>
          <w:p>
            <w:r>
              <w:t>-0.000</w:t>
            </w:r>
          </w:p>
        </w:tc>
        <w:tc>
          <w:tcPr/>
          <w:p>
            <w:r>
              <w:t>2 of 4</w:t>
            </w:r>
          </w:p>
        </w:tc>
      </w:tr>
      <w:tr>
        <w:tc>
          <w:tcPr/>
          <w:p>
            <w:r>
              <w:t>independent + isotonic + PAV</w:t>
            </w:r>
          </w:p>
        </w:tc>
        <w:tc>
          <w:tcPr/>
          <w:p>
            <w:r>
              <w:t>ECE 1 s</w:t>
            </w:r>
          </w:p>
        </w:tc>
        <w:tc>
          <w:tcPr/>
          <w:p>
            <w:r>
              <w:t>+0.018</w:t>
            </w:r>
          </w:p>
        </w:tc>
        <w:tc>
          <w:tcPr/>
          <w:p>
            <w:r>
              <w:t>[+0.008, +0.028]</w:t>
            </w:r>
          </w:p>
        </w:tc>
        <w:tc>
          <w:tcPr/>
          <w:p>
            <w:r>
              <w:t>+0.017</w:t>
            </w:r>
          </w:p>
        </w:tc>
        <w:tc>
          <w:tcPr/>
          <w:p>
            <w:r>
              <w:t>+0.008</w:t>
            </w:r>
          </w:p>
        </w:tc>
        <w:tc>
          <w:tcPr/>
          <w:p>
            <w:r>
              <w:t>+0.031</w:t>
            </w:r>
          </w:p>
        </w:tc>
        <w:tc>
          <w:tcPr/>
          <w:p>
            <w:r>
              <w:t>-0.016</w:t>
            </w:r>
          </w:p>
        </w:tc>
        <w:tc>
          <w:tcPr/>
          <w:p>
            <w:r>
              <w:t>1 of 4</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 Every violation figure in this thesis is the rate of a single fitted system, which is what a deployment would meet; Table 5.6 reports beside it the rate of the three-seed ensemble, which is lower (29.0% for the same arm) because averaging predictions smooths violations away rather than removing their cause.</w:t>
      </w:r>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45.9%,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
        <w:rPr>
          <w:i/>
          <w:iCs/>
        </w:rPr>
      </w:r>
      <w:r/>
      <w:r/>
      <w:r>
        <w:rPr>
          <w:i/>
          <w:iCs/>
        </w:rPr>
      </w:r>
      <w: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and it estimates one model rather than five.</w:t>
      </w:r>
      <w:r/>
      <w:r>
        <w:rPr>
          <w:i/>
          <w:iCs/>
        </w:rPr>
      </w:r>
      <w:r/>
      <w:r/>
      <w:r>
        <w:rPr>
          <w:i/>
          <w:iCs/>
        </w:rPr>
      </w:r>
      <w:r/>
      <w:r/>
      <w:r/>
    </w:p>
    <w:p w:rsidR="0015244F" w:rsidRDefault="00A565B8">
      <w:pPr>
        <w:ind w:firstLine="567"/>
        <w:jc w:val="both"/>
      </w:pPr>
      <w:r>
        <w:t>How those differences are tested matters more than their size, and an earlier version of this section got it wrong. That version bootstrapped the paired differences over 180-second blocks and reported which intervals excluded zero. Section 5.3 of this same thesis proves those blocks are not independent — splitting on them inflates one-second AUPRC by 13 % — so resampling them deflates the standard error and manufactures a confidence interval narrower than the evidence supports. The claim is withdrawn. The block interval is retained in Table 5.6b as a descriptive within-campaign spread and carries no inference. What carries the conclusion is the column beside it: the paired difference computed separately on each of the 4 held-out campaigns, which are the only units in this dataset whose independence is defended. With four units a two-sided sign test cannot return a p-value below 0.125, so no test is run and none is needed; the four numbers are printed and the reader may judge them.</w:t>
      </w:r>
      <w:r/>
      <w:r>
        <w:rPr>
          <w:i/>
          <w:iCs/>
        </w:rPr>
      </w:r>
      <w:r/>
      <w:r/>
      <w:r>
        <w:rPr>
          <w:i/>
          <w:iCs/>
        </w:rPr>
      </w:r>
      <w:r/>
      <w:r/>
      <w:r/>
    </w:p>
    <w:p w:rsidR="0015244F" w:rsidRDefault="00A565B8">
      <w:pPr>
        <w:ind w:firstLine="567"/>
        <w:jc w:val="both"/>
      </w:pPr>
      <w:r>
        <w:t>Read that way, the calibration result holds and the ranking result does not. The hazard arm has the lower calibration error on 4 of the 4 held-out campaigns, by 0.005 to 0.023 against raw independent heads, and the same holds against both no-split projections. That is as strong a statement as four units permit, and it is consistent rather than significant. The isotonic composite is the exception in the other direction: it calibrates better than the hazard arm on 3 of the 4 campaigns but worse on the highway campaign, so its advantage is real on urban corridors and does not survive the one regime change this dataset contains — a caveat an earlier draft missed by reporting only the pooled number. Ranking is a different story: the one-second AUPRC difference between the hazard arm (0.157) and the raw independent control (0.158) is -0.001 pooled but positive on all four campaigns taken separately. A difference that reverses sign between the pooled and the per-campaign view, at a magnitude of a thousandth, is not a result in either direction, and no ranking claim is made from it.</w:t>
      </w:r>
      <w:r/>
      <w:r>
        <w:rPr>
          <w:i/>
          <w:iCs/>
        </w:rPr>
      </w:r>
      <w:r/>
      <w:r/>
      <w:r>
        <w:rPr>
          <w:i/>
          <w:iCs/>
        </w:rPr>
      </w:r>
      <w:r/>
      <w:r/>
      <w:r/>
    </w:p>
    <w:p w:rsidR="0015244F" w:rsidRDefault="00A565B8">
      <w:pPr>
        <w:ind w:firstLine="567"/>
        <w:jc w:val="both"/>
      </w:pPr>
      <w:r>
        <w:t>Two things the formulation does not retain should be said in the same breath. It does not rank better, for the reason just given. And the censoring-aware likelihood of Section 4.4, sometimes cited as an advantage of the survival formulation, is inert here, because the row filter of Section 4.1 leaves no row censored inside the horizon grid; it is retained for generality, not counted as a benefit. On a larger dataset, isotonic calibration followed by a monotone projection would be the stronger choice, and this thesis says so.</w:t>
      </w:r>
      <w:r/>
      <w:r>
        <w:rPr>
          <w:i/>
          <w:iCs/>
        </w:rPr>
      </w:r>
      <w:r/>
      <w:r/>
      <w:r>
        <w:rPr>
          <w:i/>
          <w:iCs/>
        </w:rPr>
      </w:r>
      <w:r/>
      <w:r/>
      <w:r/>
    </w:p>
    <w:p w:rsidR="0015244F" w:rsidRDefault="00A565B8">
      <w:pPr>
        <w:ind w:firstLine="567"/>
        <w:jc w:val="both"/>
      </w:pPr>
      <w:r>
        <w:t>Figure 5.8 places the arms on the same axes: calibration error across the horizon on the left, violation rate on the right.</w:t>
      </w:r>
      <w:proofErr w:type="spellStart"/>
      <w:r/>
      <w:proofErr w:type="spellEnd"/>
      <w:r/>
      <w:r/>
      <w:r>
        <w:rPr>
          <w:i/>
          <w:iCs/>
        </w:rPr>
      </w:r>
      <w:r/>
    </w:p>
    <w:p w:rsidR="0015244F" w:rsidRDefault="00A565B8">
      <w:pPr>
        <w:ind w:firstLine="567"/>
        <w:jc w:val="both"/>
      </w:pPr>
      <w:r>
        <w:t>Because only four campaigns are available, the paired comparison between formulations is over four observations. The hazard arm has the lower calibration error on 4 of the four held-out campaigns at one second; the exact two-sided sign-test p-value for four paired observations cannot fall below 0.125, so no significance is claimed and the per-campaign numbers are reported in full in Appendix A.</w:t>
      </w:r>
      <w:r/>
      <w:r/>
    </w:p>
    <w:p w:rsidR="0015244F" w:rsidRDefault="00A565B8">
      <w:pPr>
        <w:keepNext/>
        <w:spacing w:before="240" w:after="120" w:line="240" w:lineRule="auto"/>
        <w:jc w:val="center"/>
      </w:pPr>
      <w:r>
        <w:rPr>
          <w:noProof/>
        </w:rPr>
        <w:lastRenderedPageBreak/>
        <w:drawing>
          <wp:inline distT="0" distB="0" distL="0" distR="0">
            <wp:extent cx="5438775" cy="3052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2972"/>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r/>
    </w:p>
    <w:p w:rsidR="0015244F" w:rsidRDefault="00A565B8">
      <w:pPr>
        <w:keepNext/>
        <w:spacing w:before="240" w:after="120" w:line="240" w:lineRule="auto"/>
        <w:jc w:val="center"/>
      </w:pPr>
      <w:r>
        <w:rPr>
          <w:noProof/>
        </w:rPr>
        <w:lastRenderedPageBreak/>
        <w:drawing>
          <wp:inline distT="0" distB="0" distL="0" distR="0">
            <wp:extent cx="5762625" cy="2594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594546"/>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t>Three calibration errors appear in this chapter and they are not interchangeable, so the arm is named each time from here on: 0.012 is the tuned primary model of Table 5.3 (arm A), 0.036 is the hazard arm of Table 5.6 (arm C, fitted with an extra calibration block held out of every fold) and 0.016 is the isotonic composite in the same table. The operational meaning of a calibration error at the one-second horizon is worth stating plainly, because such a figure is easy to report and easy to ignore. It means that among the samples on which the system asserts a probability near 0.8, a handover follows within one second on approximately 80 % of occasions. That is what permits the output to enter a decision rule rather than merely to sort samples, and it is what none of the 22 audited models in Section 2.3 reports. Together with Section 5.5 this answers objective O3.</w:t>
      </w:r>
      <w:r/>
      <w:r/>
      <w:r/>
    </w:p>
    <w:p w:rsidR="0015244F" w:rsidRDefault="00A565B8">
      <w:pPr>
        <w:pStyle w:val="Heading2"/>
        <w:spacing w:before="360" w:after="140"/>
      </w:pPr>
      <w:r>
        <w:t>5.5 The risk-control frontier and its price</w:t>
      </w:r>
    </w:p>
    <w:p w:rsidR="0015244F" w:rsidRDefault="00A565B8">
      <w:pPr>
        <w:ind w:firstLine="567"/>
        <w:jc w:val="both"/>
      </w:pPr>
      <w:r>
        <w:t>Table 5.7 reports conformal risk control in the two regimes described in Section 4.10.</w:t>
      </w:r>
    </w:p>
    <w:p w:rsidR="0015244F" w:rsidRDefault="00A565B8">
      <w:pPr>
        <w:pStyle w:val="TableCaption"/>
        <w:spacing w:before="240" w:after="120" w:line="240" w:lineRule="auto"/>
        <w:jc w:val="center"/>
      </w:pPr>
      <w:r>
        <w:t>Table 5.7 Conformal risk control at the one-second horizon, in the exchangeable regime and across campaigns. A target below the feasibility floor of 1/(n+1) is marked as such: the row-loss columns beside it still report a threshold and its realised loss, because the procedure returns the most permissive threshold in the grid when no threshold can satisfy the target, and the loss that threshold happens to achieve is not certified by anything. Those two cells are diagnostic, not a guarantee. An em dash means the quantity is not expressible at all, which is the case for every event-level target at this horizon.</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Row loss, exchangeable: alarm rate</w:t>
            </w:r>
          </w:p>
        </w:tc>
        <w:tc>
          <w:tcPr>
            <w:tcMar>
              <w:top w:w="60" w:type="dxa"/>
              <w:left w:w="100" w:type="dxa"/>
              <w:bottom w:w="60" w:type="dxa"/>
              <w:right w:w="100" w:type="dxa"/>
            </w:tcMar>
          </w:tcPr>
          <w:p>
            <w:r>
              <w:t>Row loss, exchangeable: realised</w:t>
            </w:r>
          </w:p>
        </w:tc>
        <w:tc>
          <w:tcPr>
            <w:tcMar>
              <w:top w:w="60" w:type="dxa"/>
              <w:left w:w="100" w:type="dxa"/>
              <w:bottom w:w="60" w:type="dxa"/>
              <w:right w:w="100" w:type="dxa"/>
            </w:tcMar>
          </w:tcPr>
          <w:p>
            <w:r>
              <w:t>Row loss, across campaigns: realised</w:t>
            </w:r>
          </w:p>
        </w:tc>
        <w:tc>
          <w:tcPr>
            <w:tcMar>
              <w:top w:w="60" w:type="dxa"/>
              <w:left w:w="100" w:type="dxa"/>
              <w:bottom w:w="60" w:type="dxa"/>
              <w:right w:w="100" w:type="dxa"/>
            </w:tcMar>
          </w:tcPr>
          <w:p>
            <w:r>
              <w:t>Row loss: rotations respecting the bound</w:t>
            </w:r>
          </w:p>
        </w:tc>
        <w:tc>
          <w:tcPr>
            <w:tcMar>
              <w:top w:w="60" w:type="dxa"/>
              <w:left w:w="100" w:type="dxa"/>
              <w:bottom w:w="60" w:type="dxa"/>
              <w:right w:w="100" w:type="dxa"/>
            </w:tcMar>
          </w:tcPr>
          <w:p>
            <w:r>
              <w:t>Event loss, across campaigns: feasible rotations</w:t>
            </w:r>
          </w:p>
        </w:tc>
        <w:tc>
          <w:tcPr>
            <w:tcMar>
              <w:top w:w="60" w:type="dxa"/>
              <w:left w:w="100" w:type="dxa"/>
              <w:bottom w:w="60" w:type="dxa"/>
              <w:right w:w="100" w:type="dxa"/>
            </w:tcMar>
          </w:tcPr>
          <w:p>
            <w:r>
              <w:t>Event loss: alarm rate</w:t>
            </w:r>
          </w:p>
        </w:tc>
        <w:tc>
          <w:tcPr>
            <w:tcMar>
              <w:top w:w="60" w:type="dxa"/>
              <w:left w:w="100" w:type="dxa"/>
              <w:bottom w:w="60" w:type="dxa"/>
              <w:right w:w="100" w:type="dxa"/>
            </w:tcMar>
          </w:tcPr>
          <w:p>
            <w:r>
              <w:t>Event loss: realised</w:t>
            </w:r>
          </w:p>
        </w:tc>
      </w:tr>
      <w:tr w:rsidR="0015244F">
        <w:tblPrEx>
          <w:tblCellMar>
            <w:top w:w="0" w:type="dxa"/>
            <w:bottom w:w="0" w:type="dxa"/>
          </w:tblCellMar>
        </w:tblPrEx>
        <w:trPr>
          <w:tblHeader/>
        </w:trPr>
        <w:tc>
          <w:tcPr>
            <w:tcMar>
              <w:top w:w="60" w:type="dxa"/>
              <w:left w:w="100" w:type="dxa"/>
              <w:bottom w:w="60" w:type="dxa"/>
              <w:right w:w="100" w:type="dxa"/>
            </w:tcMar>
          </w:tcPr>
          <w:p>
            <w:r>
              <w:t>0.05 (below the floor)</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not expressible</w:t>
            </w:r>
          </w:p>
        </w:tc>
        <w:tc>
          <w:tcPr>
            <w:tcMar>
              <w:top w:w="60" w:type="dxa"/>
              <w:left w:w="100" w:type="dxa"/>
              <w:bottom w:w="60" w:type="dxa"/>
              <w:right w:w="100" w:type="dxa"/>
            </w:tcMar>
          </w:tcPr>
          <w:p>
            <w:r>
              <w:t>-</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c>
          <w:tcPr>
            <w:tcMar>
              <w:top w:w="60" w:type="dxa"/>
              <w:left w:w="100" w:type="dxa"/>
              <w:bottom w:w="60" w:type="dxa"/>
              <w:right w:w="100" w:type="dxa"/>
            </w:tcMar>
          </w:tcPr>
          <w:p>
            <w:r>
              <w:t>25 %</w:t>
            </w:r>
          </w:p>
        </w:tc>
        <w:tc>
          <w:tcPr>
            <w:tcMar>
              <w:top w:w="60" w:type="dxa"/>
              <w:left w:w="100" w:type="dxa"/>
              <w:bottom w:w="60" w:type="dxa"/>
              <w:right w:w="100" w:type="dxa"/>
            </w:tcMar>
          </w:tcPr>
          <w:p>
            <w:r>
              <w:t>96 %</w:t>
            </w:r>
          </w:p>
        </w:tc>
        <w:tc>
          <w:tcPr>
            <w:tcMar>
              <w:top w:w="60" w:type="dxa"/>
              <w:left w:w="100" w:type="dxa"/>
              <w:bottom w:w="60" w:type="dxa"/>
              <w:right w:w="100" w:type="dxa"/>
            </w:tcMar>
          </w:tcPr>
          <w:p>
            <w:r>
              <w:t>0.333</w:t>
            </w:r>
          </w:p>
        </w:tc>
      </w:tr>
      <w:tr w:rsidR="0015244F">
        <w:tblPrEx>
          <w:tblCellMar>
            <w:top w:w="0" w:type="dxa"/>
            <w:bottom w:w="0" w:type="dxa"/>
          </w:tblCellMar>
        </w:tblPrEx>
        <w:trPr>
          <w:tblHeader/>
        </w:trPr>
        <w:tc>
          <w:tcPr>
            <w:tcMar>
              <w:top w:w="60" w:type="dxa"/>
              <w:left w:w="100" w:type="dxa"/>
              <w:bottom w:w="60" w:type="dxa"/>
              <w:right w:w="100" w:type="dxa"/>
            </w:tcMar>
          </w:tcPr>
          <w:p>
            <w:r>
              <w:t>Feasibility floor with n = 14 units</w:t>
            </w:r>
          </w:p>
        </w:tc>
        <w:tc>
          <w:tcPr>
            <w:tcMar>
              <w:top w:w="60" w:type="dxa"/>
              <w:left w:w="100" w:type="dxa"/>
              <w:bottom w:w="60" w:type="dxa"/>
              <w:right w:w="100" w:type="dxa"/>
            </w:tcMar>
          </w:tcPr>
          <w:p>
            <w:r>
              <w:t>α ≥ 0.067</w:t>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t>and α ≥ 0.364 for the event loss, the share of handovers with no usable row in the lead window</w:t>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Four observations follow.</w:t>
      </w:r>
    </w:p>
    <w:p w:rsidR="0015244F" w:rsidRDefault="00A565B8">
      <w:pPr>
        <w:ind w:firstLine="567"/>
        <w:jc w:val="both"/>
      </w:pPr>
      <w:r>
        <w:t>First, in the exchangeable regime — calibration and test units drawn from the same pool of 180-second blocks — the realised mean per-unit miss rate sits at or below the target at every level tested. At α = 0.20 the certified threshold alarms on 47% of rows and realises a mean per-unit miss rate of 0.168.</w:t>
      </w:r>
      <w:proofErr w:type="spellStart"/>
      <w:r/>
      <w:proofErr w:type="spellEnd"/>
      <w:r/>
      <w:r/>
    </w:p>
    <w:p w:rsidR="0015244F" w:rsidRDefault="00A565B8">
      <w:pPr>
        <w:ind w:firstLine="567"/>
        <w:jc w:val="both"/>
      </w:pPr>
      <w:r>
        <w:t>Second, in the regime an operator actually faces — calibrate on one campaign, deploy on another — the guarantee is not distribution-free any more, because the units are not exchangeable. Across the 12 campaign rotations the mean realised loss at α = 0.20 is 0.153 and the bound is respected in 83% of rotations. Reporting this is the point of the section: the procedure is only as good as the exchangeability assumption, and a campaign is a distribution shift. Leaving it there would be unsatisfying, and the honest addition is that the repair is known and was not attempted here: weighted conformal methods restore validity under a shift whose likelihood ratio can be estimated, and Qchohi et al. [47] give a recent treatment for wireless key performance indicators under confounding. Applying one would require modelling the corridor shift itself, which four campaigns cannot support; Section 7.3 records it as the next step rather than as a gap this thesis fills.</w:t>
      </w:r>
      <w:r/>
    </w:p>
    <w:p w:rsidR="0015244F" w:rsidRDefault="00A565B8">
      <w:pPr>
        <w:ind w:firstLine="567"/>
        <w:jc w:val="both"/>
      </w:pPr>
      <w:r>
        <w:t>Third, the guarantee is expensive at tight targets, and the number of calibration units binds independently of model quality. At α = 0.05 the threshold alarms on 86% of rows, which is not an operating point any operator would deploy. And the campaigns differ in size: a calibration campaign of n blocks can express no target below 1/(n+1), so with 8 to 20 blocks per campaign the floor runs from 0.048 to 0.111, and only 25% of the rotations can express α = 0.05 at all.</w:t>
      </w:r>
      <w:r>
        <w:rPr>
          <w:i/>
          <w:iCs/>
        </w:rPr>
      </w:r>
      <w:r/>
      <w:r/>
      <w:r/>
    </w:p>
    <w:p w:rsidR="0015244F" w:rsidRDefault="00A565B8">
      <w:pPr>
        <w:ind w:firstLine="567"/>
        <w:jc w:val="both"/>
      </w:pPr>
      <w:r>
        <w:t>Fourth, and most consequentially for what may be promised, the estimand matters. Everything above certifies the row-level loss of Equation (4.10). What Section 1.3 promises, and what an operator would understand by a miss, is the event-level loss of Equation (4.11): a handover is caught if any usable row in its lead window alarms. The two are not interchangeable, because a command with no usable row in that window is missed at every threshold. At the one-second horizon 36.4% of commands are in that position, so no event-level target below that value is expressible at all, and none of the five targets in Table 5.7 is feasible in more than 25% of the rotations. At three seconds, where 12.0% of commands are unresolvable, the picture changes: α = 0.20 is feasible in 75% of rotations at a realised event loss of 0.169 and an alarm rate of 63%, and α = 0.30 in all of them at 0.266 and 48%.</w:t>
      </w:r>
      <w:proofErr w:type="spellStart"/>
      <w:r/>
      <w:proofErr w:type="spellEnd"/>
      <w:r/>
      <w:r/>
      <w:r/>
    </w:p>
    <w:p w:rsidR="0015244F" w:rsidRDefault="00A565B8">
      <w:pPr>
        <w:ind w:firstLine="567"/>
        <w:jc w:val="both"/>
      </w:pPr>
      <w:r>
        <w:t>The conclusion is worth stating plainly, because it is a limit rather than a result. On this instrument the sampling rate, not the model and not the size of the calibration set, sets the tightest promise that can be made about handovers: at one second a distribution-free bound on the fraction of handover commands missed cannot be certified at any level an operator would accept, and a study on a one-hertz grid that claims such a bound is certifying rows and calling them events. At three seconds the promise becomes expressible, and costs an alarm on roughly half of all seconds. This reconciles Table 5.7 with the detection rates of Appendix A, which are event-level throughout and which no row-level guarantee bounds.</w:t>
      </w:r>
      <w:proofErr w:type="spellStart"/>
      <w:r/>
      <w:proofErr w:type="spellEnd"/>
      <w:r/>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proofErr w:type="spellStart"/>
      <w:r/>
      <w:proofErr w:type="spellEnd"/>
      <w: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blPrEx>
          <w:tblCellMar>
            <w:top w:w="0" w:type="dxa"/>
            <w:bottom w:w="0" w:type="dxa"/>
          </w:tblCellMar>
        </w:tblPrEx>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
        <w:rPr>
          <w:b/>
          <w:bCs/>
        </w:rPr>
      </w:r>
      <w:r>
        <w:rPr>
          <w:b/>
          <w:bCs/>
        </w:rPr>
      </w:r>
      <w:r/>
      <w:r/>
    </w:p>
    <w:p w:rsidR="0015244F" w:rsidRDefault="00A565B8">
      <w:pPr>
        <w:keepNext/>
        <w:spacing w:before="240" w:after="120" w:line="240" w:lineRule="auto"/>
        <w:jc w:val="center"/>
      </w:pPr>
      <w:r>
        <w:rPr>
          <w:noProof/>
        </w:rPr>
        <w:drawing>
          <wp:inline distT="0" distB="0" distL="0" distR="0">
            <wp:extent cx="5762625" cy="2504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504714"/>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bar holds one campaign out entirely and trains on the other three; the dashed line is the pooled out-of-fold value. The highway campaign is in red.</w:t>
      </w:r>
      <w:r/>
    </w:p>
    <w:p w:rsidR="0015244F" w:rsidRDefault="00A565B8">
      <w:pPr>
        <w:pStyle w:val="Heading2"/>
        <w:spacing w:before="360" w:after="140"/>
      </w:pPr>
      <w:r>
        <w:t>5.7 An independent collection on the same network</w:t>
      </w:r>
    </w:p>
    <w:p w:rsidR="0015244F" w:rsidRDefault="00A565B8">
      <w:pPr>
        <w:ind w:firstLine="567"/>
        <w:jc w:val="both"/>
      </w:pPr>
      <w:r>
        <w:t>The second generalisation experiment uses a publicly released LTE drive-test dataset [38].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roofErr w:type="spellStart"/>
      <w:r/>
      <w:proofErr w:type="spellEnd"/>
      <w:r/>
      <w:r/>
    </w:p>
    <w:p w:rsidR="0015244F" w:rsidRDefault="00A565B8">
      <w:pPr>
        <w:pStyle w:val="TableCaption"/>
        <w:spacing w:before="240" w:after="120" w:line="240" w:lineRule="auto"/>
        <w:jc w:val="center"/>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blPrEx>
          <w:tblCellMar>
            <w:top w:w="0" w:type="dxa"/>
            <w:bottom w:w="0" w:type="dxa"/>
          </w:tblCellMar>
        </w:tblPrEx>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blPrEx>
          <w:tblCellMar>
            <w:top w:w="0" w:type="dxa"/>
            <w:bottom w:w="0" w:type="dxa"/>
          </w:tblCellMar>
        </w:tblPrEx>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r/>
      <w:r>
        <w:rPr>
          <w:b/>
          <w:bCs/>
        </w:rPr>
      </w:r>
      <w:r/>
      <w:r/>
    </w:p>
    <w:p w:rsidR="0015244F" w:rsidRDefault="00A565B8">
      <w:pPr>
        <w:ind w:firstLine="567"/>
        <w:jc w:val="both"/>
      </w:pPr>
      <w:r>
        <w:t>One limitation of this experiment has to be stated at full strength rather than left for a reader to infer, because it bounds every generalisation claim in this thesis. Both arms of Table 5.9 are signalling-only. The public dataset does not publish a periodic radio export, so the radio and mobility blocks — 89 and 17 of the 112 features the primary model uses, and the source of essentially all of its signal — cannot be constructed on it at all. What Table 5.9 therefore tests is the transfer of a 6-feature signalling model, not of the system reported in Section 5.2. The primary model has never been evaluated outside the four campaigns it was built on, and no experiment in this thesis establishes that it would transfer. That is a limitation of the available public data rather than a choice, and it is the single strongest argument for the second-operator collection proposed in Section 7.3; until such data exist, the external evidence in this thesis covers the formulation and the feature construction, not the predictor.</w:t>
      </w:r>
      <w:r/>
      <w:r>
        <w:rPr>
          <w:b/>
          <w:bCs/>
        </w:rPr>
      </w:r>
      <w:r/>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Figure 5.11 Transfer to an independently collected dataset on the same network, with both domains built from L3 signalling alone. Bars are 95 % bootstrap intervals over runs.</w:t>
      </w:r>
      <w:r/>
      <w:r/>
    </w:p>
    <w:p w:rsidR="0015244F" w:rsidRDefault="00A565B8">
      <w:pPr>
        <w:pStyle w:val="Heading2"/>
        <w:spacing w:before="360" w:after="140"/>
      </w:pPr>
      <w:r>
        <w:t>5.8 What the model uses, and where it works</w:t>
      </w:r>
      <w:r/>
    </w:p>
    <w:p w:rsidR="0015244F" w:rsidRDefault="00A565B8">
      <w:pPr>
        <w:ind w:firstLine="567"/>
        <w:jc w:val="both"/>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pStyle w:val="TableCaption"/>
        <w:spacing w:before="240" w:after="120" w:line="240" w:lineRule="auto"/>
        <w:jc w:val="center"/>
      </w:pPr>
      <w:r>
        <w:t>Table 5.10 Single-feature AUROC at the one-second horizon on the lagged export. The serving-to-neighbour gap is defined as the serving cell's level minus the best neighbour's, in decibels, so a smaller gap means the neighbour is closer to overtaking and the A3 entry condition is closer to being met.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Definition</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blPrEx>
          <w:tblCellMar>
            <w:top w:w="0" w:type="dxa"/>
            <w:bottom w:w="0" w:type="dxa"/>
          </w:tblCellMar>
        </w:tblPrEx>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seconds since the last A3 report was transmitted</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seconds since the previous decoded command</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serving minus best neighbour in dB, so a smaller value means the neighbour is closer to overtaking</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at one second on the lagged export. No single feature approaches the full model.</w:t>
      </w:r>
      <w:proofErr w:type="spellStart"/>
      <w:r/>
      <w:proofErr w:type="spellEnd"/>
      <w:r/>
    </w:p>
    <w:p w:rsidR="0015244F" w:rsidRDefault="00A565B8">
      <w:pPr>
        <w:ind w:firstLine="567"/>
        <w:jc w:val="both"/>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r/>
      <w:r/>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proofErr w:type="spellStart"/>
      <w:r/>
      <w:proofErr w:type="spellEnd"/>
      <w:r/>
      <w:r/>
      <w:r>
        <w:rPr>
          <w:i/>
          <w:iCs/>
        </w:rPr>
      </w:r>
      <w:r/>
    </w:p>
    <w:p w:rsidR="0015244F" w:rsidRDefault="00A565B8">
      <w:pPr>
        <w:ind w:firstLine="567"/>
        <w:jc w:val="both"/>
      </w:pPr>
      <w:r>
        <w:t>That comparison needs two qualifications, and an earlier draft made neither. The first is that “quiet” is not a synonym for “isolated”. Every burst begins on a row that is itself quiet, so a quiet positive row is by construction the row before a burst starts rather than the row before a lone handover. Measured directly, 238 of the 238 positive quiet rows at one second — 100% of them — precede a command that opens a new burst, against 1.7% of the positive in-burst rows. The claim this section supports is therefore that the model predicts the onset of a burst better than it predicts continuation inside one, which is a sharper statement than the one about quiet rows and is also the more useful one: the onset is the event an operator cannot already see coming from the command stream.</w:t>
      </w:r>
      <w:proofErr w:type="spellStart"/>
      <w:r/>
      <w:proofErr w:type="spellEnd"/>
      <w:r/>
      <w:r/>
      <w:r>
        <w:rPr>
          <w:i/>
          <w:iCs/>
        </w:rPr>
      </w:r>
      <w:r/>
    </w:p>
    <w:p w:rsidR="0015244F" w:rsidRDefault="00A565B8">
      <w:pPr>
        <w:ind w:firstLine="567"/>
        <w:jc w:val="both"/>
      </w:pPr>
      <w:r>
        <w:t>The second qualification is that the two strata do not share a prevalence floor, so their AUPRC values are not directly comparable and only the lift is. Because the cutoff of ten seconds is itself a choice made after the data were in hand, Table A.5 varies it from five to twenty seconds. The ordering holds at every value tested: the quiet lift runs from 2.6x to 3.2x and the in-burst lift from 1.5x to 1.9x, and the quiet stratum is ahead in all 4 of them. The conclusion does not depend on where the line was drawn, which is the only thing a post-hoc cutoff can be asked to demonstrate.</w:t>
      </w:r>
      <w:proofErr w:type="spellStart"/>
      <w:r/>
      <w:proofErr w:type="spellEnd"/>
      <w:r/>
      <w:r/>
      <w:r>
        <w:rPr>
          <w:i/>
          <w:iCs/>
        </w:rPr>
      </w:r>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r/>
      <w:r>
        <w:rPr>
          <w:b/>
          <w:bCs/>
        </w:rPr>
      </w:r>
      <w:r/>
      <w:r>
        <w:rPr>
          <w:b/>
          <w:bCs/>
        </w:rPr>
      </w:r>
      <w:r/>
      <w:proofErr w:type="gramStart"/>
      <w:r/>
      <w:proofErr w:type="gramEnd"/>
      <w:r/>
      <w:r/>
    </w:p>
    <w:p w:rsidR="0015244F" w:rsidRDefault="00A565B8">
      <w:pPr>
        <w:ind w:firstLine="567"/>
        <w:jc w:val="both"/>
      </w:pPr>
      <w:r>
        <w:t>Two further sensitivities are reported here rather than buried. Censoring the 93 model rows whose next event is a re-establishment rather than a handover command — a count of rows in the horizon grid, not of the 341 re-establishment events themselves — moves the one-second lift by +0.03x, so the competing risk of Section 3.6 does not drive the result. And adding the signalling block of Section 4.6 to the radio, mobility and history blocks moves the one-second AUPRC from 0.179 to 0.168; the signalling block on its own reaches 0.123.</w:t>
      </w:r>
      <w:proofErr w:type="spellStart"/>
      <w:r/>
      <w:proofErr w:type="spellEnd"/>
      <w:r/>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Figure 5.13 Probability of a handover command within one and five seconds against the time since the previous command, computed from signalling timestamps.</w:t>
      </w:r>
      <w:r/>
      <w:proofErr w:type="spellStart"/>
      <w:r/>
      <w:proofErr w:type="spellEnd"/>
      <w:r/>
    </w:p>
    <w:p w:rsidR="0015244F" w:rsidRDefault="00A565B8">
      <w:pPr>
        <w:pStyle w:val="Heading2"/>
        <w:spacing w:before="360" w:after="140"/>
      </w:pPr>
      <w:r>
        <w:t>5.9 The A3 report-conversion rate and the unit it is counted in</w:t>
      </w:r>
    </w:p>
    <w:p w:rsidR="0015244F" w:rsidRDefault="00A565B8">
      <w:pPr>
        <w:ind w:firstLine="567"/>
        <w:jc w:val="both"/>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r>
        <w:rPr>
          <w:i/>
          <w:iCs/>
        </w:rPr>
      </w:r>
      <w:r/>
    </w:p>
    <w:p w:rsidR="0015244F" w:rsidRDefault="00A565B8">
      <w:pPr>
        <w:pStyle w:val="TableCaption"/>
        <w:spacing w:before="240" w:after="120" w:line="240" w:lineRule="auto"/>
        <w:jc w:val="center"/>
      </w:pPr>
      <w:r>
        <w:t>Table 5.12 Event A3 report conversion, counted per transmitted report and per trigger episode.</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635</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210</w:t>
            </w:r>
          </w:p>
        </w:tc>
        <w:tc>
          <w:tcPr>
            <w:tcMar>
              <w:top w:w="60" w:type="dxa"/>
              <w:left w:w="100" w:type="dxa"/>
              <w:bottom w:w="60" w:type="dxa"/>
              <w:right w:w="100" w:type="dxa"/>
            </w:tcMar>
          </w:tcPr>
          <w:p>
            <w:r>
              <w:t>71 %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110</w:t>
            </w:r>
          </w:p>
        </w:tc>
        <w:tc>
          <w:tcPr>
            <w:tcMar>
              <w:top w:w="60" w:type="dxa"/>
              <w:left w:w="100" w:type="dxa"/>
              <w:bottom w:w="60" w:type="dxa"/>
              <w:right w:w="100" w:type="dxa"/>
            </w:tcMar>
          </w:tcPr>
          <w:p>
            <w:r>
              <w:t>77 %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197</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118</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12</w:t>
            </w:r>
          </w:p>
        </w:tc>
        <w:tc>
          <w:tcPr>
            <w:tcMar>
              <w:top w:w="60" w:type="dxa"/>
              <w:left w:w="100" w:type="dxa"/>
              <w:bottom w:w="60" w:type="dxa"/>
              <w:right w:w="100" w:type="dxa"/>
            </w:tcMar>
          </w:tcPr>
          <w:p>
            <w:r>
              <w:t>76 %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623</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A3 episodes</w:t>
            </w:r>
          </w:p>
        </w:tc>
        <w:tc>
          <w:tcPr>
            <w:tcMar>
              <w:top w:w="60" w:type="dxa"/>
              <w:left w:w="100" w:type="dxa"/>
              <w:bottom w:w="60" w:type="dxa"/>
              <w:right w:w="100" w:type="dxa"/>
            </w:tcMar>
          </w:tcPr>
          <w:p>
            <w:r>
              <w:t>2,361</w:t>
            </w:r>
          </w:p>
        </w:tc>
        <w:tc>
          <w:tcPr>
            <w:tcMar>
              <w:top w:w="60" w:type="dxa"/>
              <w:left w:w="100" w:type="dxa"/>
              <w:bottom w:w="60" w:type="dxa"/>
              <w:right w:w="100" w:type="dxa"/>
            </w:tcMar>
          </w:tcPr>
          <w:p>
            <w:r>
              <w:t>1647 claimed, 635 owned</w:t>
            </w:r>
          </w:p>
        </w:tc>
        <w:tc>
          <w:tcPr>
            <w:tcMar>
              <w:top w:w="60" w:type="dxa"/>
              <w:left w:w="100" w:type="dxa"/>
              <w:bottom w:w="60" w:type="dxa"/>
              <w:right w:w="100" w:type="dxa"/>
            </w:tcMar>
          </w:tcPr>
          <w:p>
            <w:r>
              <w:t>x2.59 over-counting</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all episodes</w:t>
            </w:r>
          </w:p>
        </w:tc>
        <w:tc>
          <w:tcPr>
            <w:tcMar>
              <w:top w:w="60" w:type="dxa"/>
              <w:left w:w="100" w:type="dxa"/>
              <w:bottom w:w="60" w:type="dxa"/>
              <w:right w:w="100" w:type="dxa"/>
            </w:tcMar>
          </w:tcPr>
          <w:p>
            <w:r>
              <w:t>9,819</w:t>
            </w:r>
          </w:p>
        </w:tc>
        <w:tc>
          <w:tcPr>
            <w:tcMar>
              <w:top w:w="60" w:type="dxa"/>
              <w:left w:w="100" w:type="dxa"/>
              <w:bottom w:w="60" w:type="dxa"/>
              <w:right w:w="100" w:type="dxa"/>
            </w:tcMar>
          </w:tcPr>
          <w:p>
            <w:r>
              <w:t>4391 claimed, 908 owned</w:t>
            </w:r>
          </w:p>
        </w:tc>
        <w:tc>
          <w:tcPr>
            <w:tcMar>
              <w:top w:w="60" w:type="dxa"/>
              <w:left w:w="100" w:type="dxa"/>
              <w:bottom w:w="60" w:type="dxa"/>
              <w:right w:w="100" w:type="dxa"/>
            </w:tcMar>
          </w:tcPr>
          <w:p>
            <w:r>
              <w:t>x4.84 over-counting</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 claimed, 463 owned</w:t>
            </w:r>
          </w:p>
        </w:tc>
        <w:tc>
          <w:tcPr>
            <w:tcMar>
              <w:top w:w="60" w:type="dxa"/>
              <w:left w:w="100" w:type="dxa"/>
              <w:bottom w:w="60" w:type="dxa"/>
              <w:right w:w="100" w:type="dxa"/>
            </w:tcMar>
          </w:tcPr>
          <w:p>
            <w:r>
              <w:t>2.3 % / 36.9 %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 claimed, 26 owned</w:t>
            </w:r>
          </w:p>
        </w:tc>
        <w:tc>
          <w:tcPr>
            <w:tcMar>
              <w:top w:w="60" w:type="dxa"/>
              <w:left w:w="100" w:type="dxa"/>
              <w:bottom w:w="60" w:type="dxa"/>
              <w:right w:w="100" w:type="dxa"/>
            </w:tcMar>
          </w:tcPr>
          <w:p>
            <w:r>
              <w:t>49.5 % / 95.2 %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 claimed, 71 owned</w:t>
            </w:r>
          </w:p>
        </w:tc>
        <w:tc>
          <w:tcPr>
            <w:tcMar>
              <w:top w:w="60" w:type="dxa"/>
              <w:left w:w="100" w:type="dxa"/>
              <w:bottom w:w="60" w:type="dxa"/>
              <w:right w:w="100" w:type="dxa"/>
            </w:tcMar>
          </w:tcPr>
          <w:p>
            <w:r>
              <w:t>26.9 % / 83.5 %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 claimed, 19 owned</w:t>
            </w:r>
          </w:p>
        </w:tc>
        <w:tc>
          <w:tcPr>
            <w:tcMar>
              <w:top w:w="60" w:type="dxa"/>
              <w:left w:w="100" w:type="dxa"/>
              <w:bottom w:w="60" w:type="dxa"/>
              <w:right w:w="100" w:type="dxa"/>
            </w:tcMar>
          </w:tcPr>
          <w:p>
            <w:r>
              <w:t>59.4 % / 93.2 %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 claimed, 19 owned</w:t>
            </w:r>
          </w:p>
        </w:tc>
        <w:tc>
          <w:tcPr>
            <w:tcMar>
              <w:top w:w="60" w:type="dxa"/>
              <w:left w:w="100" w:type="dxa"/>
              <w:bottom w:w="60" w:type="dxa"/>
              <w:right w:w="100" w:type="dxa"/>
            </w:tcMar>
          </w:tcPr>
          <w:p>
            <w:r>
              <w:t>41.7 % / 92.1 % one-to-one</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3218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218589"/>
                    </a:xfrm>
                    <a:prstGeom prst="rect">
                      <a:avLst/>
                    </a:prstGeom>
                  </pic:spPr>
                </pic:pic>
              </a:graphicData>
            </a:graphic>
          </wp:inline>
        </w:drawing>
      </w:r>
    </w:p>
    <w:p w:rsidR="0015244F" w:rsidRDefault="00A565B8">
      <w:pPr>
        <w:pStyle w:val="FigureCaption"/>
        <w:spacing w:after="240" w:line="240" w:lineRule="auto"/>
        <w:jc w:val="center"/>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p>
    <w:p w:rsidR="0015244F" w:rsidRDefault="00A565B8">
      <w:pPr>
        <w:ind w:firstLine="567"/>
        <w:jc w:val="both"/>
      </w:pPr>
      <w:r>
        <w:t>Table 5.12 reports the conversion rate under three units, because the quantity has no unit-free value. Grouping consecutive reports of one measId whose spacing is consistent with the configured reportInterval into a single trigger episode reduces 8,136 transmitted A3 reports to 2,361 episodes, an average of 3.4 reports per episode. Counted per report, 63% of A3 reports are not followed by a handover command within two seconds. Counted per episode, asking only whether some command falls in the two seconds after the episode ends, the figure is 30%.</w:t>
      </w:r>
      <w:r>
        <w:rPr>
          <w:b/>
          <w:bCs/>
        </w:rPr>
      </w:r>
      <w:r/>
      <w:r/>
      <w:r>
        <w:rPr>
          <w:b/>
          <w:bCs/>
        </w:rPr>
      </w:r>
      <w:r/>
      <w:r/>
    </w:p>
    <w:p w:rsidR="0015244F" w:rsidRDefault="00A565B8">
      <w:pPr>
        <w:ind w:firstLine="567"/>
        <w:jc w:val="both"/>
      </w:pPr>
      <w:r>
        <w:t>That second figure is not a conversion rate, and an earlier version of this work reported it as though it were. Several measIds monitor different neighbours and fire within the same approach to a cell boundary, so the 2,361 episodes claim 1,647 commands between them out of the 957 that exist: the same command is counted by 2.6 episodes on average. Matching each command to exactly one episode — the one containing the report it is attributed to under the rule of Section 3.5 — leaves 635 episodes owning a command, so 73% of episodes are declined. Perversely, a configuration that re-reports on several identities scores a lower decline rate under the loose rule precisely because it is verbose, which inverts the interpretation the rate is used for.</w:t>
      </w:r>
      <w:r>
        <w:rPr>
          <w:b/>
          <w:bCs/>
        </w:rPr>
      </w:r>
      <w:r/>
      <w:r/>
      <w:r>
        <w:rPr>
          <w:b/>
          <w:bCs/>
        </w:rPr>
      </w:r>
      <w:r/>
      <w:r/>
    </w:p>
    <w:p w:rsidR="0015244F" w:rsidRDefault="00A565B8">
      <w:pPr>
        <w:ind w:firstLine="567"/>
        <w:jc w:val="both"/>
      </w:pPr>
      <w:r>
        <w:t>The instability is the finding. It is the same lesson as Section 5.10: a rate quoted without its unit is a statement about bookkeeping and not about the network, and the decline rate of a mobility trigger moves by a factor of two and a half between two defensible definitions of a single trial. The one direction that is well defined is the command side, where each command has exactly one attributed report: 651 of 957 handover commands are attributed to an A3 report.</w:t>
      </w:r>
      <w:r>
        <w:rPr>
          <w:b/>
          <w:bCs/>
        </w:rPr>
      </w:r>
      <w:r/>
      <w:r/>
      <w:r>
        <w:rPr>
          <w:b/>
          <w:bCs/>
        </w:rPr>
      </w:r>
      <w:r/>
      <w:r/>
    </w:p>
    <w:p w:rsidR="0015244F" w:rsidRDefault="00A565B8">
      <w:pPr>
        <w:ind w:firstLine="567"/>
        <w:jc w:val="both"/>
      </w:pPr>
      <w:r>
        <w:t>The per-profile breakdown, also in Table 5.12, is where the substantive result survives, and it survives more clearly under the stricter unit. The dominant mobility profile — +1 dB offset, 1 dB hysteresis, 320 ms time-to-trigger, 240 ms report interval — is declined on 36.9% of its episodes one-to-one, against 95.2% for the dominant negative-offset configuration. Under the loose unit the same pair reads 2.3% against 49.5%: the separation is present either way, and the strict unit widens it, because the monitoring configurations turn out to own almost no commands at all. That is what identifies them as neighbour-monitoring rather than mobility triggers.</w:t>
      </w:r>
      <w:r>
        <w:rPr>
          <w:b/>
          <w:bCs/>
        </w:rPr>
      </w:r>
      <w:r/>
      <w:r/>
      <w:r>
        <w:rPr>
          <w:b/>
          <w:bCs/>
        </w:rPr>
      </w:r>
      <w:r/>
      <w:r/>
    </w:p>
    <w:p w:rsidR="0015244F" w:rsidRDefault="00A565B8">
      <w:pPr>
        <w:ind w:firstLine="567"/>
        <w:jc w:val="both"/>
      </w:pPr>
      <w:r>
        <w:t>The conclusion for the literature is therefore not a corrected percentage. It is that a study using A3 reports as proxy labels for handovers must state its unit, must not let overlapping trigger episodes claim the same command, and must separate the mobility configuration from the rest before it counts anything.</w:t>
      </w:r>
      <w:r>
        <w:rPr>
          <w:b/>
          <w:bCs/>
        </w:rPr>
      </w:r>
      <w:r/>
      <w:r/>
      <w:r>
        <w:rPr>
          <w:b/>
          <w:bCs/>
        </w:rPr>
      </w:r>
      <w:r/>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w:t>
      </w:r>
      <w:r>
        <w:t xml:space="preserve"> parts: how much the reported rate depends on unstated definitional choices, and where the phenomenon actually concentrates.</w:t>
      </w:r>
    </w:p>
    <w:p w:rsidR="0015244F" w:rsidRDefault="00A565B8">
      <w:pPr>
        <w:ind w:firstLine="567"/>
        <w:jc w:val="both"/>
      </w:pPr>
      <w:r>
        <w:t>Table 5.13 reports the same fixed set of 957 handover commands under four definitions that differ only in choices the literature routinely leaves unstated, and Figure 5.15 extends that ladder to the full grid of window lengths.</w:t>
      </w:r>
      <w:r/>
    </w:p>
    <w:p w:rsidR="0015244F" w:rsidRDefault="00A565B8">
      <w:pPr>
        <w:pStyle w:val="TableCaption"/>
        <w:spacing w:before="240" w:after="120" w:line="240" w:lineRule="auto"/>
        <w:jc w:val="center"/>
      </w:pPr>
      <w:r>
        <w:t>Table 5.13 The ping-pong rate on one fixed set of handover commands under four definitions.</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blPrEx>
          <w:tblCellMar>
            <w:top w:w="0" w:type="dxa"/>
            <w:bottom w:w="0" w:type="dxa"/>
          </w:tblCellMar>
        </w:tblPrEx>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blPrEx>
          <w:tblCellMar>
            <w:top w:w="0" w:type="dxa"/>
            <w:bottom w:w="0" w:type="dxa"/>
          </w:tblCellMar>
        </w:tblPrEx>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restricted to commands inside retained blocks</w:t>
            </w:r>
          </w:p>
        </w:tc>
        <w:tc>
          <w:tcPr>
            <w:tcMar>
              <w:top w:w="60" w:type="dxa"/>
              <w:left w:w="100" w:type="dxa"/>
              <w:bottom w:w="60" w:type="dxa"/>
              <w:right w:w="100" w:type="dxa"/>
            </w:tcMar>
          </w:tcPr>
          <w:p>
            <w:r>
              <w:t>938</w:t>
            </w:r>
          </w:p>
        </w:tc>
        <w:tc>
          <w:tcPr>
            <w:tcMar>
              <w:top w:w="60" w:type="dxa"/>
              <w:left w:w="100" w:type="dxa"/>
              <w:bottom w:w="60" w:type="dxa"/>
              <w:right w:w="100" w:type="dxa"/>
            </w:tcMar>
          </w:tcPr>
          <w:p>
            <w:r>
              <w:t>28.7 %</w:t>
            </w:r>
          </w:p>
        </w:tc>
      </w:tr>
    </w:tbl>
    <w:p w:rsidR="0015244F" w:rsidRDefault="0015244F">
      <w:pPr>
        <w:spacing w:after="120" w:line="240" w:lineRule="auto"/>
      </w:pPr>
    </w:p>
    <w:p w:rsidR="0015244F" w:rsidRDefault="00A565B8">
      <w:pPr>
        <w:ind w:firstLine="567"/>
        <w:jc w:val="both"/>
      </w:pPr>
      <w:r>
        <w:t>The rate moves by 17 percentage points — from 26.3% to 43.8% — without a single change to the underlying measurement. This is the quantitative form of the observation in Section 2.4, and it is why this thesis quotes the strictest of the four and states all three choices alongside it. It also explains how Amirova et al. [15] arrive at 0.13 % on comparable data: dividing by measurement records rather than by handovers changes the denominator by two orders of magnitude.</w:t>
      </w:r>
      <w:r/>
      <w:proofErr w:type="spellStart"/>
      <w:r/>
      <w:proofErr w:type="spellEnd"/>
      <w: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r/>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ind w:firstLine="567"/>
        <w:jc w:val="both"/>
      </w:pPr>
      <w:r>
        <w:t>Table 5.14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Ping-pongs</w:t>
            </w:r>
          </w:p>
        </w:tc>
        <w:tc>
          <w:tcPr>
            <w:tcMar>
              <w:top w:w="60" w:type="dxa"/>
              <w:left w:w="100" w:type="dxa"/>
              <w:bottom w:w="60" w:type="dxa"/>
              <w:right w:w="100" w:type="dxa"/>
            </w:tcMar>
          </w:tcPr>
          <w:p>
            <w:r>
              <w:t>Ping-pong rate</w:t>
            </w:r>
          </w:p>
        </w:tc>
      </w:tr>
      <w:tr w:rsidR="0015244F">
        <w:tblPrEx>
          <w:tblCellMar>
            <w:top w:w="0" w:type="dxa"/>
            <w:bottom w:w="0" w:type="dxa"/>
          </w:tblCellMar>
        </w:tblPrEx>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233</w:t>
            </w:r>
          </w:p>
        </w:tc>
        <w:tc>
          <w:tcPr>
            <w:tcMar>
              <w:top w:w="60" w:type="dxa"/>
              <w:left w:w="100" w:type="dxa"/>
              <w:bottom w:w="60" w:type="dxa"/>
              <w:right w:w="100" w:type="dxa"/>
            </w:tcMar>
          </w:tcPr>
          <w:p>
            <w:r>
              <w:t>31.1 %</w:t>
            </w:r>
          </w:p>
        </w:tc>
      </w:tr>
      <w:tr w:rsidR="0015244F">
        <w:tblPrEx>
          <w:tblCellMar>
            <w:top w:w="0" w:type="dxa"/>
            <w:bottom w:w="0" w:type="dxa"/>
          </w:tblCellMar>
        </w:tblPrEx>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19</w:t>
            </w:r>
          </w:p>
        </w:tc>
        <w:tc>
          <w:tcPr>
            <w:tcMar>
              <w:top w:w="60" w:type="dxa"/>
              <w:left w:w="100" w:type="dxa"/>
              <w:bottom w:w="60" w:type="dxa"/>
              <w:right w:w="100" w:type="dxa"/>
            </w:tcMar>
          </w:tcPr>
          <w:p>
            <w:r>
              <w:t>9.1 %</w:t>
            </w:r>
          </w:p>
        </w:tc>
      </w:tr>
      <w:tr w:rsidR="0015244F">
        <w:tblPrEx>
          <w:tblCellMar>
            <w:top w:w="0" w:type="dxa"/>
            <w:bottom w:w="0" w:type="dxa"/>
          </w:tblCellMar>
        </w:tblPrEx>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57</w:t>
            </w:r>
          </w:p>
        </w:tc>
        <w:tc>
          <w:tcPr>
            <w:tcMar>
              <w:top w:w="60" w:type="dxa"/>
              <w:left w:w="100" w:type="dxa"/>
              <w:bottom w:w="60" w:type="dxa"/>
              <w:right w:w="100" w:type="dxa"/>
            </w:tcMar>
          </w:tcPr>
          <w:p>
            <w:r>
              <w:t>32.2 %</w:t>
            </w:r>
          </w:p>
        </w:tc>
      </w:tr>
      <w:tr w:rsidR="0015244F">
        <w:tblPrEx>
          <w:tblCellMar>
            <w:top w:w="0" w:type="dxa"/>
            <w:bottom w:w="0" w:type="dxa"/>
          </w:tblCellMar>
        </w:tblPrEx>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195</w:t>
            </w:r>
          </w:p>
        </w:tc>
        <w:tc>
          <w:tcPr>
            <w:tcMar>
              <w:top w:w="60" w:type="dxa"/>
              <w:left w:w="100" w:type="dxa"/>
              <w:bottom w:w="60" w:type="dxa"/>
              <w:right w:w="100" w:type="dxa"/>
            </w:tcMar>
          </w:tcPr>
          <w:p>
            <w:r>
              <w:t>25.0 %</w:t>
            </w:r>
          </w:p>
        </w:tc>
      </w:tr>
      <w:tr w:rsidR="0015244F">
        <w:tblPrEx>
          <w:tblCellMar>
            <w:top w:w="0" w:type="dxa"/>
            <w:bottom w:w="0" w:type="dxa"/>
          </w:tblCellMar>
        </w:tblPrEx>
        <w:trPr>
          <w:tblHeader/>
        </w:trPr>
        <w:tc>
          <w:tcPr>
            <w:tcMar>
              <w:top w:w="60" w:type="dxa"/>
              <w:left w:w="100" w:type="dxa"/>
              <w:bottom w:w="60" w:type="dxa"/>
              <w:right w:w="100" w:type="dxa"/>
            </w:tcMar>
          </w:tcPr>
          <w:p>
            <w:r>
              <w:t>all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252</w:t>
            </w:r>
          </w:p>
        </w:tc>
        <w:tc>
          <w:tcPr>
            <w:tcMar>
              <w:top w:w="60" w:type="dxa"/>
              <w:left w:w="100" w:type="dxa"/>
              <w:bottom w:w="60" w:type="dxa"/>
              <w:right w:w="100" w:type="dxa"/>
            </w:tcMar>
          </w:tcPr>
          <w:p>
            <w:r>
              <w:t>26.3 %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Figure 5.16 Where ping-pong concentrates. The dominant axis is the carrier relationship, not the mobility regime.</w:t>
      </w:r>
      <w:proofErr w:type="gramStart"/>
      <w:r/>
      <w:proofErr w:type="gramEnd"/>
      <w:r/>
      <w:r/>
    </w:p>
    <w:p w:rsidR="0015244F" w:rsidRDefault="00A565B8">
      <w:pPr>
        <w:ind w:firstLine="567"/>
        <w:jc w:val="both"/>
      </w:pPr>
      <w:r>
        <w:t>Figure 5.16 separates the strata, and Table 5.14 gives the counts as well as the rates so that the two stratifications can be seen to partition the same 252 returns. Both are computed by flagging each command once on the full sequence and then partitioning the flags. Flagging inside a stratum instead — which an earlier version of this analysis did, and which is the natural way to write the loop — redefines “the immediately previous cell” as the previous cell *within the stratum*, and made the carrier rows and the regime rows disagree by 34 returns on one fixed command set.</w:t>
      </w:r>
      <w:r>
        <w:rPr>
          <w:b/>
          <w:bCs/>
        </w:rPr>
      </w:r>
      <w:r/>
      <w:r/>
      <w:r>
        <w:rPr>
          <w:i/>
          <w:iCs/>
        </w:rPr>
      </w:r>
      <w:r/>
      <w:r/>
    </w:p>
    <w:p w:rsidR="0015244F" w:rsidRDefault="00A565B8">
      <w:pPr>
        <w:ind w:firstLine="567"/>
        <w:jc w:val="both"/>
      </w:pPr>
      <w:r>
        <w:t>One contrast is large and one is not what it appears to be. Ping-pong concentrates in intra-frequency handovers, at 31.1% against 9.1% across carriers, a factor of roughly three: a return to the cell just left is overwhelmingly a return within the same carrier, which is what the A3 entry condition on a single frequency makes easy. The speed contrast points the other way from the intuitive account and cannot be resolved here. The highway campaign, at roughly twice the urban mean speed, returns at 32.2% against 25.0% on the urban campaigns — higher, not lower. With one campaign per regime, speed is completely confounded with route, cell density, carrier mix and time of day, so this thesis does not claim that speed drives ping-pong and does not claim to have ruled it out; it reports that the fastest campaign is also the most return-prone, which is the opposite of what a speed-protective account would predict.</w:t>
      </w:r>
      <w:r>
        <w:rPr>
          <w:b/>
          <w:bCs/>
        </w:rPr>
      </w:r>
      <w:r/>
      <w:r/>
      <w:r>
        <w:rPr>
          <w:i/>
          <w:iCs/>
        </w:rPr>
      </w:r>
      <w:r/>
      <w:r/>
    </w:p>
    <w:p w:rsidR="0015244F" w:rsidRDefault="00A565B8">
      <w:pPr>
        <w:ind w:firstLine="567"/>
        <w:jc w:val="both"/>
      </w:pPr>
      <w:r>
        <w:t>An earlier version of this section named the time-to-trigger and offset of the dominant configuration profile as the lever available to an operator. That claim is withdrawn. Section 3.5 establishes that the configuration set is stable across all four campaigns: there is no time-to-trigger or offset variation anywhere in this data, so neither parameter can be associated with the return rate from these measurements at all, in either direction. The time-to-trigger remains the most plausible lever on theoretical grounds and the obvious candidate for the controlled experiment proposed in Section 7.3, but nothing measured here bears on it.</w:t>
      </w:r>
      <w:r>
        <w:rPr>
          <w:b/>
          <w:bCs/>
        </w:rPr>
      </w:r>
      <w:r/>
      <w:r/>
      <w:r>
        <w:rPr>
          <w:i/>
          <w:iCs/>
        </w:rPr>
      </w:r>
      <w:r/>
      <w:r/>
    </w:p>
    <w:p w:rsidR="0015244F" w:rsidRDefault="00A565B8">
      <w:pPr>
        <w:ind w:firstLine="567"/>
        <w:jc w:val="both"/>
      </w:pPr>
      <w:r>
        <w:t>Modelling the arrival stream as a self-exciting process characterises the clustering from a different direction. The fitted Hawkes branching ratio is 0.653 on the pooled stream, with per-campaign estimates from 0.487 to 0.675. The physical reading of that quantity — the expected number of direct offspring per event — belongs to the exponential-kernel model, and the Ogata residual test of Section 4.11 rejects that kernel on this data: rescaling the time axis by the fitted compensator gives 953 residuals whose Kolmogorov–Smirnov distance from a unit-rate exponential is D = 0.065 at p = 0.0007. Their mean is 0.991, so the fitted rate is right and it is the shape of the decay that is wrong. The rejection and its statistic are reported rather than suppressed, and together they limit what the number may be used for: the branching ratio is taken here as a comparable summary statistic of how strongly arrivals cluster, not as a count of triggered handovers. The clustering itself is not in doubt, and it is the reason Section 5.8 separates quiet rows from rows inside a burst.</w:t>
      </w:r>
      <w:r/>
      <w:r/>
      <w:r>
        <w:rPr>
          <w:i/>
          <w:iCs/>
        </w:rPr>
      </w:r>
      <w:r/>
      <w:r>
        <w:rPr>
          <w:i/>
          <w:iCs/>
        </w:rPr>
      </w:r>
      <w:r/>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w:t>
      </w:r>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clustering is real; the Ogata residual test rejects the exponential kernel, so its temporal shape is not exponential.</w:t>
      </w:r>
      <w:r/>
    </w:p>
    <w:p w:rsidR="0015244F" w:rsidRDefault="00A565B8">
      <w:pPr>
        <w:pStyle w:val="Heading2"/>
        <w:spacing w:before="360" w:after="140"/>
      </w:pPr>
      <w:r>
        <w:t>5.11 Negative results and the cost of the audit</w:t>
      </w:r>
    </w:p>
    <w:p w:rsidR="0015244F" w:rsidRDefault="00A565B8">
      <w:pPr>
        <w:ind w:firstLine="567"/>
        <w:jc w:val="both"/>
      </w:pPr>
      <w:r>
        <w:t>Five approaches were implemented in good faith, measured, and did not help; they are reported because a claim that the formulation and the protocol are what matter is credible only if the alternatives were tried. Table 5.15 lists them.</w:t>
      </w:r>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blPrEx>
          <w:tblCellMar>
            <w:top w:w="0" w:type="dxa"/>
            <w:bottom w:w="0" w:type="dxa"/>
          </w:tblCellMar>
        </w:tblPrEx>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blPrEx>
          <w:tblCellMar>
            <w:top w:w="0" w:type="dxa"/>
            <w:bottom w:w="0" w:type="dxa"/>
          </w:tblCellMar>
        </w:tblPrEx>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blPrEx>
          <w:tblCellMar>
            <w:top w:w="0" w:type="dxa"/>
            <w:bottom w:w="0" w:type="dxa"/>
          </w:tblCellMar>
        </w:tblPrEx>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blPrEx>
          <w:tblCellMar>
            <w:top w:w="0" w:type="dxa"/>
            <w:bottom w:w="0" w:type="dxa"/>
          </w:tblCellMar>
        </w:tblPrEx>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blPrEx>
          <w:tblCellMar>
            <w:top w:w="0" w:type="dxa"/>
            <w:bottom w:w="0" w:type="dxa"/>
          </w:tblCellMar>
        </w:tblPrEx>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blPrEx>
          <w:tblCellMar>
            <w:top w:w="0" w:type="dxa"/>
            <w:bottom w:w="0" w:type="dxa"/>
          </w:tblCellMar>
        </w:tblPrEx>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A565B8">
      <w:pPr>
        <w:pStyle w:val="TableCaption"/>
        <w:spacing w:before="240" w:after="120" w:line="240" w:lineRule="auto"/>
        <w:jc w:val="center"/>
      </w:pPr>
      <w:r>
        <w:t>Table 5.16 Nine cases drawn at random, with a fixed seed, from the out-of-fold predictions at the 5 % false-positive operating point: three the model called correctly, three it alarmed on with no command following, and three it missed. The draw is a uniform sample within each class, not a selection.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Case</w:t>
            </w:r>
          </w:p>
        </w:tc>
        <w:tc>
          <w:tcPr/>
          <w:p>
            <w:r>
              <w:t>Campaign</w:t>
            </w:r>
          </w:p>
        </w:tc>
        <w:tc>
          <w:tcPr/>
          <w:p>
            <w:r>
              <w:t>Score</w:t>
            </w:r>
          </w:p>
        </w:tc>
        <w:tc>
          <w:tcPr/>
          <w:p>
            <w:r>
              <w:t>To next command (s)</w:t>
            </w:r>
          </w:p>
        </w:tc>
        <w:tc>
          <w:tcPr/>
          <w:p>
            <w:r>
              <w:t>RSRP (dBm)</w:t>
            </w:r>
          </w:p>
        </w:tc>
        <w:tc>
          <w:tcPr/>
          <w:p>
            <w:r>
              <w:t>SINR (dB)</w:t>
            </w:r>
          </w:p>
        </w:tc>
        <w:tc>
          <w:tcPr/>
          <w:p>
            <w:r>
              <w:t>Gap (dB)</w:t>
            </w:r>
          </w:p>
        </w:tc>
        <w:tc>
          <w:tcPr/>
          <w:p>
            <w:r>
              <w:t>Speed (km/h)</w:t>
            </w:r>
          </w:p>
        </w:tc>
      </w:tr>
      <w:tr>
        <w:tc>
          <w:tcPr/>
          <w:p>
            <w:r>
              <w:t>true positive</w:t>
            </w:r>
          </w:p>
        </w:tc>
        <w:tc>
          <w:tcPr/>
          <w:p>
            <w:r>
              <w:t>10 Sept</w:t>
            </w:r>
          </w:p>
        </w:tc>
        <w:tc>
          <w:tcPr/>
          <w:p>
            <w:r>
              <w:t>0.30</w:t>
            </w:r>
          </w:p>
        </w:tc>
        <w:tc>
          <w:tcPr/>
          <w:p>
            <w:r>
              <w:t>0.02</w:t>
            </w:r>
          </w:p>
        </w:tc>
        <w:tc>
          <w:tcPr/>
          <w:p>
            <w:r>
              <w:t>-80</w:t>
            </w:r>
          </w:p>
        </w:tc>
        <w:tc>
          <w:tcPr/>
          <w:p>
            <w:r>
              <w:t>-2</w:t>
            </w:r>
          </w:p>
        </w:tc>
        <w:tc>
          <w:tcPr/>
          <w:p>
            <w:r>
              <w:t>4</w:t>
            </w:r>
          </w:p>
        </w:tc>
        <w:tc>
          <w:tcPr/>
          <w:p>
            <w:r>
              <w:t>40</w:t>
            </w:r>
          </w:p>
        </w:tc>
      </w:tr>
      <w:tr>
        <w:tc>
          <w:tcPr/>
          <w:p>
            <w:r>
              <w:t>true positive</w:t>
            </w:r>
          </w:p>
        </w:tc>
        <w:tc>
          <w:tcPr/>
          <w:p>
            <w:r>
              <w:t>10 Sept</w:t>
            </w:r>
          </w:p>
        </w:tc>
        <w:tc>
          <w:tcPr/>
          <w:p>
            <w:r>
              <w:t>0.22</w:t>
            </w:r>
          </w:p>
        </w:tc>
        <w:tc>
          <w:tcPr/>
          <w:p>
            <w:r>
              <w:t>0.38</w:t>
            </w:r>
          </w:p>
        </w:tc>
        <w:tc>
          <w:tcPr/>
          <w:p>
            <w:r>
              <w:t>-101</w:t>
            </w:r>
          </w:p>
        </w:tc>
        <w:tc>
          <w:tcPr/>
          <w:p>
            <w:r>
              <w:t>-4</w:t>
            </w:r>
          </w:p>
        </w:tc>
        <w:tc>
          <w:tcPr/>
          <w:p>
            <w:r>
              <w:t>4</w:t>
            </w:r>
          </w:p>
        </w:tc>
        <w:tc>
          <w:tcPr/>
          <w:p>
            <w:r>
              <w:t>72</w:t>
            </w:r>
          </w:p>
        </w:tc>
      </w:tr>
      <w:tr>
        <w:tc>
          <w:tcPr/>
          <w:p>
            <w:r>
              <w:t>true positive</w:t>
            </w:r>
          </w:p>
        </w:tc>
        <w:tc>
          <w:tcPr/>
          <w:p>
            <w:r>
              <w:t>15 Sept</w:t>
            </w:r>
          </w:p>
        </w:tc>
        <w:tc>
          <w:tcPr/>
          <w:p>
            <w:r>
              <w:t>0.52</w:t>
            </w:r>
          </w:p>
        </w:tc>
        <w:tc>
          <w:tcPr/>
          <w:p>
            <w:r>
              <w:t>0.80</w:t>
            </w:r>
          </w:p>
        </w:tc>
        <w:tc>
          <w:tcPr/>
          <w:p>
            <w:r>
              <w:t>-108</w:t>
            </w:r>
          </w:p>
        </w:tc>
        <w:tc>
          <w:tcPr/>
          <w:p>
            <w:r>
              <w:t>2</w:t>
            </w:r>
          </w:p>
        </w:tc>
        <w:tc>
          <w:tcPr/>
          <w:p>
            <w:r>
              <w:t>-2</w:t>
            </w:r>
          </w:p>
        </w:tc>
        <w:tc>
          <w:tcPr/>
          <w:p>
            <w:r>
              <w:t>76</w:t>
            </w:r>
          </w:p>
        </w:tc>
      </w:tr>
      <w:tr>
        <w:tc>
          <w:tcPr/>
          <w:p>
            <w:r>
              <w:t>false alarm</w:t>
            </w:r>
          </w:p>
        </w:tc>
        <w:tc>
          <w:tcPr/>
          <w:p>
            <w:r>
              <w:t>15 Sept</w:t>
            </w:r>
          </w:p>
        </w:tc>
        <w:tc>
          <w:tcPr/>
          <w:p>
            <w:r>
              <w:t>0.60</w:t>
            </w:r>
          </w:p>
        </w:tc>
        <w:tc>
          <w:tcPr/>
          <w:p>
            <w:r>
              <w:t>3.85</w:t>
            </w:r>
          </w:p>
        </w:tc>
        <w:tc>
          <w:tcPr/>
          <w:p>
            <w:r>
              <w:t>-93</w:t>
            </w:r>
          </w:p>
        </w:tc>
        <w:tc>
          <w:tcPr/>
          <w:p>
            <w:r>
              <w:t>-4</w:t>
            </w:r>
          </w:p>
        </w:tc>
        <w:tc>
          <w:tcPr/>
          <w:p>
            <w:r>
              <w:t>-4</w:t>
            </w:r>
          </w:p>
        </w:tc>
        <w:tc>
          <w:tcPr/>
          <w:p>
            <w:r>
              <w:t>75</w:t>
            </w:r>
          </w:p>
        </w:tc>
      </w:tr>
      <w:tr>
        <w:tc>
          <w:tcPr/>
          <w:p>
            <w:r>
              <w:t>false alarm</w:t>
            </w:r>
          </w:p>
        </w:tc>
        <w:tc>
          <w:tcPr/>
          <w:p>
            <w:r>
              <w:t>15 Sept</w:t>
            </w:r>
          </w:p>
        </w:tc>
        <w:tc>
          <w:tcPr/>
          <w:p>
            <w:r>
              <w:t>0.45</w:t>
            </w:r>
          </w:p>
        </w:tc>
        <w:tc>
          <w:tcPr/>
          <w:p>
            <w:r>
              <w:t>1.85</w:t>
            </w:r>
          </w:p>
        </w:tc>
        <w:tc>
          <w:tcPr/>
          <w:p>
            <w:r>
              <w:t>-108</w:t>
            </w:r>
          </w:p>
        </w:tc>
        <w:tc>
          <w:tcPr/>
          <w:p>
            <w:r>
              <w:t>-16</w:t>
            </w:r>
          </w:p>
        </w:tc>
        <w:tc>
          <w:tcPr/>
          <w:p>
            <w:r>
              <w:t>-11</w:t>
            </w:r>
          </w:p>
        </w:tc>
        <w:tc>
          <w:tcPr/>
          <w:p>
            <w:r>
              <w:t>61</w:t>
            </w:r>
          </w:p>
        </w:tc>
      </w:tr>
      <w:tr>
        <w:tc>
          <w:tcPr/>
          <w:p>
            <w:r>
              <w:t>false alarm</w:t>
            </w:r>
          </w:p>
        </w:tc>
        <w:tc>
          <w:tcPr/>
          <w:p>
            <w:r>
              <w:t>15 Sept</w:t>
            </w:r>
          </w:p>
        </w:tc>
        <w:tc>
          <w:tcPr/>
          <w:p>
            <w:r>
              <w:t>0.25</w:t>
            </w:r>
          </w:p>
        </w:tc>
        <w:tc>
          <w:tcPr/>
          <w:p>
            <w:r>
              <w:t>34.86</w:t>
            </w:r>
          </w:p>
        </w:tc>
        <w:tc>
          <w:tcPr/>
          <w:p>
            <w:r>
              <w:t>-114</w:t>
            </w:r>
          </w:p>
        </w:tc>
        <w:tc>
          <w:tcPr/>
          <w:p>
            <w:r>
              <w:t>-6</w:t>
            </w:r>
          </w:p>
        </w:tc>
        <w:tc>
          <w:tcPr/>
          <w:p>
            <w:r>
              <w:t>2</w:t>
            </w:r>
          </w:p>
        </w:tc>
        <w:tc>
          <w:tcPr/>
          <w:p>
            <w:r>
              <w:t>80</w:t>
            </w:r>
          </w:p>
        </w:tc>
      </w:tr>
      <w:tr>
        <w:tc>
          <w:tcPr/>
          <w:p>
            <w:r>
              <w:t>missed handover</w:t>
            </w:r>
          </w:p>
        </w:tc>
        <w:tc>
          <w:tcPr/>
          <w:p>
            <w:r>
              <w:t>10 Sept</w:t>
            </w:r>
          </w:p>
        </w:tc>
        <w:tc>
          <w:tcPr/>
          <w:p>
            <w:r>
              <w:t>0.08</w:t>
            </w:r>
          </w:p>
        </w:tc>
        <w:tc>
          <w:tcPr/>
          <w:p>
            <w:r>
              <w:t>0.82</w:t>
            </w:r>
          </w:p>
        </w:tc>
        <w:tc>
          <w:tcPr/>
          <w:p>
            <w:r>
              <w:t>-90</w:t>
            </w:r>
          </w:p>
        </w:tc>
        <w:tc>
          <w:tcPr/>
          <w:p>
            <w:r>
              <w:t>0</w:t>
            </w:r>
          </w:p>
        </w:tc>
        <w:tc>
          <w:tcPr/>
          <w:p>
            <w:r>
              <w:t>—</w:t>
            </w:r>
          </w:p>
        </w:tc>
        <w:tc>
          <w:tcPr/>
          <w:p>
            <w:r>
              <w:t>45</w:t>
            </w:r>
          </w:p>
        </w:tc>
      </w:tr>
      <w:tr>
        <w:tc>
          <w:tcPr/>
          <w:p>
            <w:r>
              <w:t>missed handover</w:t>
            </w:r>
          </w:p>
        </w:tc>
        <w:tc>
          <w:tcPr/>
          <w:p>
            <w:r>
              <w:t>10 Sept</w:t>
            </w:r>
          </w:p>
        </w:tc>
        <w:tc>
          <w:tcPr/>
          <w:p>
            <w:r>
              <w:t>0.07</w:t>
            </w:r>
          </w:p>
        </w:tc>
        <w:tc>
          <w:tcPr/>
          <w:p>
            <w:r>
              <w:t>0.21</w:t>
            </w:r>
          </w:p>
        </w:tc>
        <w:tc>
          <w:tcPr/>
          <w:p>
            <w:r>
              <w:t>-77</w:t>
            </w:r>
          </w:p>
        </w:tc>
        <w:tc>
          <w:tcPr/>
          <w:p>
            <w:r>
              <w:t>-1</w:t>
            </w:r>
          </w:p>
        </w:tc>
        <w:tc>
          <w:tcPr/>
          <w:p>
            <w:r>
              <w:t>3</w:t>
            </w:r>
          </w:p>
        </w:tc>
        <w:tc>
          <w:tcPr/>
          <w:p>
            <w:r>
              <w:t>64</w:t>
            </w:r>
          </w:p>
        </w:tc>
      </w:tr>
      <w:tr>
        <w:tc>
          <w:tcPr/>
          <w:p>
            <w:r>
              <w:t>missed handover</w:t>
            </w:r>
          </w:p>
        </w:tc>
        <w:tc>
          <w:tcPr/>
          <w:p>
            <w:r>
              <w:t>13 Sept</w:t>
            </w:r>
          </w:p>
        </w:tc>
        <w:tc>
          <w:tcPr/>
          <w:p>
            <w:r>
              <w:t>0.03</w:t>
            </w:r>
          </w:p>
        </w:tc>
        <w:tc>
          <w:tcPr/>
          <w:p>
            <w:r>
              <w:t>0.04</w:t>
            </w:r>
          </w:p>
        </w:tc>
        <w:tc>
          <w:tcPr/>
          <w:p>
            <w:r>
              <w:t>-80</w:t>
            </w:r>
          </w:p>
        </w:tc>
        <w:tc>
          <w:tcPr/>
          <w:p>
            <w:r>
              <w:t>-3</w:t>
            </w:r>
          </w:p>
        </w:tc>
        <w:tc>
          <w:tcPr/>
          <w:p>
            <w:r>
              <w:t>34</w:t>
            </w:r>
          </w:p>
        </w:tc>
        <w:tc>
          <w:tcPr/>
          <w:p>
            <w:r>
              <w:t>41</w:t>
            </w:r>
          </w:p>
        </w:tc>
      </w:tr>
    </w:tbl>
    <w:p w:rsidR="0015244F" w:rsidRDefault="00A565B8">
      <w:pPr>
        <w:jc w:val="center"/>
      </w:pPr>
      <w:r>
        <w:drawing>
          <wp:inline xmlns:a="http://schemas.openxmlformats.org/drawingml/2006/main" xmlns:pic="http://schemas.openxmlformats.org/drawingml/2006/picture">
            <wp:extent cx="5577840" cy="3984171"/>
            <wp:docPr id="29" name="Picture 29"/>
            <wp:cNvGraphicFramePr>
              <a:graphicFrameLocks noChangeAspect="1"/>
            </wp:cNvGraphicFramePr>
            <a:graphic>
              <a:graphicData uri="http://schemas.openxmlformats.org/drawingml/2006/picture">
                <pic:pic>
                  <pic:nvPicPr>
                    <pic:cNvPr id="0" name="fig_c20_cases.png"/>
                    <pic:cNvPicPr/>
                  </pic:nvPicPr>
                  <pic:blipFill>
                    <a:blip r:embed="rId41"/>
                    <a:stretch>
                      <a:fillRect/>
                    </a:stretch>
                  </pic:blipFill>
                  <pic:spPr>
                    <a:xfrm>
                      <a:off x="0" y="0"/>
                      <a:ext cx="5577840" cy="3984171"/>
                    </a:xfrm>
                    <a:prstGeom prst="rect"/>
                  </pic:spPr>
                </pic:pic>
              </a:graphicData>
            </a:graphic>
          </wp:inline>
        </w:drawing>
      </w:r>
    </w:p>
    <w:p w:rsidR="0015244F" w:rsidRDefault="00A565B8">
      <w:pPr>
        <w:pStyle w:val="TableCaption"/>
        <w:spacing w:before="240" w:after="120" w:line="240" w:lineRule="auto"/>
        <w:jc w:val="center"/>
      </w:pPr>
      <w:r>
        <w:t>Figure 5.20 Nine cases drawn uniformly at random, with a fixed seed, from the out-of-fold predictions at the 5 % false-positive operating point. Blue is the serving cell's RSRP, red the best neighbour's, green the model's probability of a command within one second against the right axis, the dotted line the alarm threshold, black lines are handover commands and the orange line is the drawn row. Nothing here was selected for being illustrative.</w:t>
      </w:r>
    </w:p>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56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566300"/>
                    </a:xfrm>
                    <a:prstGeom prst="rect">
                      <a:avLst/>
                    </a:prstGeom>
                  </pic:spPr>
                </pic:pic>
              </a:graphicData>
            </a:graphic>
          </wp:inline>
        </w:drawing>
      </w:r>
    </w:p>
    <w:p w:rsidR="0015244F" w:rsidRDefault="00A565B8">
      <w:pPr>
        <w:pStyle w:val="FigureCaption"/>
        <w:spacing w:after="240" w:line="240" w:lineRule="auto"/>
        <w:jc w:val="center"/>
      </w:pPr>
      <w:r>
        <w:t>Figure 5.19 Feature-block, alignment and censoring ablations at one and five seconds, out of fold under leave-one-campaign-out, with the spread over three seeds.</w:t>
      </w:r>
    </w:p>
    <w:p w:rsidR="0015244F" w:rsidRDefault="00A565B8">
      <w:pPr>
        <w:ind w:firstLine="567"/>
        <w:jc w:val="both"/>
      </w:pPr>
      <w:r>
        <w:t>Table 5.15 lists them and Figure 5.19 sets each against the configuration that was retained. The dedicated ping-pong classifier is the most informative: ping-pong is highly structured at the population level, as Section 5.10 shows, and yet whether a particular transfer will be reversed is close to unpredictable from these inputs, which is consistent with it depending on the state of the target cell that the handset does not observe.</w:t>
      </w:r>
      <w:r/>
      <w:r/>
    </w:p>
    <w:p w:rsidR="0015244F" w:rsidRDefault="00A565B8">
      <w:pPr>
        <w:ind w:firstLine="567"/>
        <w:jc w:val="both"/>
      </w:pPr>
      <w:r>
        <w:t>The domain-adaptation null is consistent with published benchmarking rather than indicative of a faulty implementation. Ismail Fawaz et al. [27] benchmark nine unsupervised domain-adaptation algorithms over twelve time-series datasets and find several published methods performing worse than source-only training, with the adaptation technique rather than the backbone driving the outcome; the result here has the same shape. The same caution applies to the sequence-model arms: this is a four-session corpus, and the finding is that these architectures do not help on it, not that they cannot help on this task. Recent work is actively developing exactly those architectures for handover prediction on larger corpora [45], [46], and nothing measured here contradicts it.</w:t>
      </w:r>
      <w:proofErr w:type="spellStart"/>
      <w:r/>
      <w:proofErr w:type="spellEnd"/>
      <w:r/>
      <w:r/>
      <w:r/>
    </w:p>
    <w:p w:rsidR="0015244F" w:rsidRDefault="00A565B8">
      <w:pPr>
        <w:ind w:firstLine="567"/>
        <w:jc w:val="both"/>
      </w:pPr>
      <w:r>
        <w:t>Aggregate metrics can hide whether a model has learnt something or is exploiting an artefact, and this thesis reported none of the individual cases until a reviewer observed that the only trace it showed anywhere was the idealised schematic of Figure 1.1. Table 5.16 and Figure 5.20 correct that. Nine rows were drawn uniformly at random, under a fixed seed, from the out-of-fold predictions at the operating point of Section 5.5: three the model scored above threshold with a command following within one second, three it scored above threshold with no command following, and three it scored below threshold with a command following. Nothing was chosen for being illustrative, which is the point of showing them.</w:t>
      </w:r>
      <w:proofErr w:type="spellStart"/>
      <w:r/>
      <w:proofErr w:type="spellEnd"/>
      <w:r/>
      <w:r/>
      <w:r/>
    </w:p>
    <w:p w:rsidR="0015244F" w:rsidRDefault="00A565B8">
      <w:pPr>
        <w:ind w:firstLine="567"/>
        <w:jc w:val="both"/>
      </w:pPr>
      <w:r>
        <w:t>Three things are visible in them that no aggregate reports. The first is that real traces do not look like Figure 1.1: the serving and best-neighbour curves cross repeatedly within the window, dip several decibels between consecutive seconds, and recross without a command being issued, which is the measured counterpart of the finding in Section 5.9 that most A3 trigger episodes are declined. The schematic is a statement of the entry condition, not a picture of the data, and should be read as such. The second is that the false alarms are not arbitrary: in the drawn cases the model alarms where a neighbour has genuinely overtaken the serving cell and the network then does not hand over, so the errors sit on the decision the network itself declines to make rather than on noise. The third is that the misses are quiet-looking rows whose command arrives with no visible precursor in the radio trace at all, which is consistent with the modest ceiling reported throughout Chapter 5 rather than with a model that could be repaired by tuning.</w:t>
      </w:r>
      <w:proofErr w:type="spellStart"/>
      <w:r/>
      <w:proofErr w:type="spellEnd"/>
      <w:r/>
      <w:r/>
      <w:r/>
    </w:p>
    <w:p w:rsidR="0015244F" w:rsidRDefault="00A565B8">
      <w:pPr>
        <w:ind w:firstLine="567"/>
        <w:jc w:val="both"/>
      </w:pPr>
      <w:r>
        <w:t>These are nine cases and are offered as such. They cannot establish a rate and are not used to; the rates are in Table 5.3 and Appendix A. What they establish is that the model's errors have a structure a reader can inspect, which is a claim that could not be checked at all before they were shown.</w:t>
      </w:r>
      <w:proofErr w:type="spellStart"/>
      <w:r/>
      <w:proofErr w:type="spellEnd"/>
      <w:r/>
      <w:r/>
      <w:r/>
    </w:p>
    <w:p w:rsidR="0015244F" w:rsidRDefault="00A565B8">
      <w:pPr>
        <w:ind w:firstLine="567"/>
        <w:jc w:val="both"/>
      </w:pPr>
      <w:r>
        <w:t>The largest negative result in this thesis is the alignment audit of Section 5.1, and it is recorded here as such: the strongest configuration this project measured — AUPRC 0.600 at one second — was an artefact of a one-second misalignment between the measurement grid and the event clock, and the corrected figure is 0.179. Retaining that result would have produced a more impressive thesis and a false one.</w:t>
      </w:r>
      <w:proofErr w:type="spellStart"/>
      <w:r/>
      <w:proofErr w:type="spellEnd"/>
      <w:r/>
      <w:r/>
      <w:proofErr w:type="spellStart"/>
      <w:r/>
      <w:proofErr w:type="spellEnd"/>
      <w:r/>
      <w:proofErr w:type="spellStart"/>
      <w:r/>
      <w:proofErr w:type="spellEnd"/>
      <w:r/>
    </w:p>
    <w:p w:rsidR="0015244F" w:rsidRDefault="00A565B8">
      <w:pPr>
        <w:ind w:firstLine="567"/>
        <w:jc w:val="both"/>
      </w:pPr>
      <w:r>
        <w:t xml:space="preserve">Finally, removing the </w:t>
      </w:r>
      <w:proofErr w:type="spellStart"/>
      <w:r>
        <w:t>signalling</w:t>
      </w:r>
      <w:proofErr w:type="spellEnd"/>
      <w:r>
        <w:t xml:space="preserve"> leakage guard of Secti</w:t>
      </w:r>
      <w:r>
        <w:t xml:space="preserve">on 4.6 raises the apparent score substantially, which is the expected </w:t>
      </w:r>
      <w:proofErr w:type="spellStart"/>
      <w:r>
        <w:t>behaviour</w:t>
      </w:r>
      <w:proofErr w:type="spellEnd"/>
      <w:r>
        <w:t xml:space="preserve"> of a leak and is the reason the guard exists. That configuration is not reported as a result anywhere in this thesis.</w:t>
      </w:r>
    </w:p>
    <w:p w:rsidR="0015244F" w:rsidRDefault="00A565B8">
      <w:pPr>
        <w:pStyle w:val="Heading2"/>
        <w:spacing w:before="360" w:after="140"/>
      </w:pPr>
      <w:r>
        <w:t>5.12 Discussion against the objectives</w:t>
      </w:r>
    </w:p>
    <w:p w:rsidR="0015244F" w:rsidRDefault="00A565B8">
      <w:pPr>
        <w:ind w:firstLine="567"/>
        <w:jc w:val="both"/>
      </w:pPr>
      <w:r>
        <w:t>Objective O1 is met in a qualified form: the next handover command is predicted one second ahead at AUPRC 0.179 against a 6.8% floor (2.6x) and AUROC 0.777, from quantities a handset observes strictly before the prediction instant, against AUPRC 0.116 for the rule presently deployed. The qualification is that this is a modest signal, well short of what an uncorrected protocol reports on the same data.</w:t>
      </w:r>
      <w:r/>
    </w:p>
    <w:p w:rsidR="0015244F" w:rsidRDefault="00A565B8">
      <w:pPr>
        <w:ind w:firstLine="567"/>
        <w:jc w:val="both"/>
      </w:pPr>
      <w:r>
        <w:t>Objective O2 is met, and the answer is larger than the modelling differences the thesis reports. Between the leakiest and the soundest protocol the one-second AUPRC of the primary model moves by 48 %, and a one-row misalignment moves it by 236 % — both larger than the gap between the best and worst learner under a fixed protocol.</w:t>
      </w:r>
      <w:r/>
    </w:p>
    <w:p w:rsidR="0015244F" w:rsidRDefault="00A565B8">
      <w:pPr>
        <w:ind w:firstLine="567"/>
        <w:jc w:val="both"/>
      </w:pPr>
      <w:r>
        <w:t>Objective O3 is met in part. Coherence is exact by construction, and the guarantee is reported with the alarm rate it costs, the feasibility floor set by the number of calibration units, and the measured behaviour in the non-exchangeable regime. The part that is not met is the estimand: the bound certified here is over rows, and the per-handover bound the objective asks for cannot be certified at one second on a one-hertz grid at all, because 36.4% of commands have no usable row in their lead window. It becomes expressible at three seconds, at an alarm rate near one second in two. The second part that is not met is exchangeability itself: calibrating on one campaign and certifying another is the deployment regime, and there the bound holds in 83% of the 12 rotations rather than in all of them. Both failures are properties of the setting rather than of the procedure, and the objective is reported as partly met on that basis rather than restated to fit what was achieved.</w:t>
      </w:r>
      <w:r/>
    </w:p>
    <w:p w:rsidR="0015244F" w:rsidRDefault="00A565B8">
      <w:pPr>
        <w:ind w:firstLine="567"/>
        <w:jc w:val="both"/>
      </w:pPr>
      <w:r>
        <w:t>Objective O4 is met at two distances: leave-one-campaign-out AUROC between 0.765 and 0.805, including 0.769 on the highway corridor, and AUROC 0.760 on an independent collection on the same network.</w:t>
      </w:r>
    </w:p>
    <w:p w:rsidR="0015244F" w:rsidRDefault="00A565B8">
      <w:pPr>
        <w:ind w:firstLine="567"/>
        <w:jc w:val="both"/>
      </w:pPr>
      <w:r>
        <w:t>Objective O5 is met in corrected form. The single strongest lesson is methodological — the alignment audit — and the substantive one is that the quantity Event A3 thresholds on is a weak predictor of imminence (AUROC 0.618 alone), while no single available feature replaces it.</w:t>
      </w:r>
      <w:r/>
    </w:p>
    <w:p w:rsidR="0015244F" w:rsidRDefault="00A565B8">
      <w:pPr>
        <w:pStyle w:val="Heading2"/>
        <w:spacing w:before="360" w:after="140"/>
      </w:pPr>
      <w:r>
        <w:t>5.13 Threats to validity</w:t>
      </w:r>
    </w:p>
    <w:p w:rsidR="0015244F" w:rsidRDefault="00A565B8">
      <w:pPr>
        <w:ind w:firstLine="567"/>
        <w:jc w:val="both"/>
      </w:pPr>
      <w:r>
        <w:t>Six threats bear on the results above and are stated here rather than deferred.</w:t>
      </w:r>
      <w:r/>
    </w:p>
    <w:p w:rsidR="0015244F" w:rsidRDefault="00A565B8">
      <w:pPr>
        <w:ind w:firstLine="567"/>
        <w:jc w:val="both"/>
      </w:pPr>
      <w:r>
        <w:t>Post-hoc windows. Four windows in this thesis were chosen after the data were collected: the 180-second block that defines the grouped protocol, the 60-second purge around a blocked test fold, the ten-second cutoff separating quiet rows from rows inside a burst, and the two-second blank after a handover command. Each is a degree of freedom, and a result that turns on one of them is not a result. Table A.5 varies all four. The inflation from random-block splitting is positive at every block length from 60 to 300 seconds, ranging from 5.9 % to 17.6 %, so the conclusion of Section 5.3 holds while its exact magnitude does not. The quiet-over-burst ordering of Section 5.8 holds at every cutoff from five to twenty seconds. The lift is stable across the blank window, running from 2.1x to 2.6x as it widens from zero to five seconds, and rises slightly as the blank grows, so the two-second choice is conservative rather than favourable. The purge is the exception and is reported as one: the blocked protocol sits between -5.6 % and +3.7 % of leave-one-campaign-out depending on the purge, which straddles zero, so the small gap between blocked cross-validation and the campaign-level protocol is not established by this data in either direction. The two large inflations are robust; the small one is not, and Section 5.3 should be read accordingly.</w:t>
      </w:r>
      <w:r/>
    </w:p>
    <w:p w:rsidR="0015244F" w:rsidRDefault="00A565B8">
      <w:pPr>
        <w:ind w:firstLine="567"/>
        <w:jc w:val="both"/>
      </w:pPr>
      <w:r>
        <w:rPr>
          <w:b/>
          <w:bCs/>
        </w:rPr>
        <w:t xml:space="preserve">Scale and coverage. </w:t>
      </w:r>
      <w:r>
        <w:rPr>
          <w:b w:val="0"/>
        </w:rPr>
        <w:t>The evidence is four continuous sessions on one operator over four days. Four units bound what any paired test can say, and the block bootstrap intervals quoted alongside are conditional on those four sessions. A second operator would test what a second corridor cannot.</w:t>
      </w:r>
      <w:r/>
    </w:p>
    <w:p w:rsidR="0015244F" w:rsidRDefault="00A565B8">
      <w:pPr>
        <w:ind w:firstLine="567"/>
        <w:jc w:val="both"/>
      </w:pPr>
      <w:r>
        <w:rPr>
          <w:b/>
          <w:bCs/>
        </w:rPr>
        <w:t xml:space="preserve">Residual alignment risk. </w:t>
      </w:r>
      <w:r>
        <w:rPr>
          <w:b w:val="0"/>
        </w:rPr>
        <w:t>The audit of Section 5.1 establishes that a one-row lag is necessary and, on the evidence of the isolated-handover baseline, sufficient on this export. It does not establish the exact semantics of the XCAL row timestamp, which the vendor documentation does not state; a native-rate export would settle it. Every result here is therefore conservative by one sample period rather than exact. The mechanism of Section 5.1 narrows the residual risk but does not remove it: it accounts for the sign and the intra-second gradient of the effect, and for the 22% of handovers where the export refreshes its serving-cell field a row late, but a one-row lag remains a conservative repair chosen without vendor confirmation of the write rule.</w:t>
      </w:r>
      <w:r/>
    </w:p>
    <w:p w:rsidR="0015244F" w:rsidRDefault="00A565B8">
      <w:pPr>
        <w:ind w:firstLine="567"/>
        <w:jc w:val="both"/>
      </w:pPr>
      <w:r>
        <w:rPr>
          <w:b/>
          <w:bCs/>
        </w:rPr>
        <w:t xml:space="preserve">Instrument ceiling. </w:t>
      </w:r>
      <w:r>
        <w:rPr>
          <w:b w:val="0"/>
        </w:rPr>
        <w:t>The one-hertz export caps event-level detection at 64.6% at one second, which bounds every event-level figure in Section 5.2.</w:t>
      </w:r>
      <w:r/>
    </w:p>
    <w:p w:rsidR="0015244F" w:rsidRDefault="00A565B8">
      <w:pPr>
        <w:ind w:firstLine="567"/>
        <w:jc w:val="both"/>
      </w:pPr>
      <w:r>
        <w:rPr>
          <w:b/>
          <w:bCs/>
        </w:rPr>
        <w:t>Causal identification.</w:t>
      </w:r>
      <w:r>
        <w:t xml:space="preserve"> No causal claim is made about the benefit of acting on a warning, and this is a matter of identification rather than of effort. The logging policy is deterministic: given the r</w:t>
      </w:r>
      <w:r>
        <w:t>adio state and the configuration, Event A3 either fires or it does not, so the propensity of the observed action is zero or one and the inverse-propensity weights required for off-policy evaluation are undefined. Only a counting upper bound on benefit is t</w:t>
      </w:r>
      <w:r>
        <w:t xml:space="preserve">herefore reported, and it </w:t>
      </w:r>
      <w:r>
        <w:lastRenderedPageBreak/>
        <w:t>peaks at a five-percent alarm budget and turns negative by forty. Section 7.3 identifies the design that would make the causal question answerable on data already held.</w:t>
      </w:r>
    </w:p>
    <w:p w:rsidR="0015244F" w:rsidRDefault="00A565B8">
      <w:pPr>
        <w:ind w:firstLine="567"/>
        <w:jc w:val="both"/>
      </w:pPr>
      <w:r>
        <w:rPr>
          <w:b/>
          <w:bCs/>
        </w:rPr>
        <w:t xml:space="preserve">Comparator availability. </w:t>
      </w:r>
      <w:r>
        <w:rPr>
          <w:b w:val="0"/>
        </w:rPr>
        <w:t>The nearest comparator method on this network is a reinforcement-learning formulation of the handover decision [39] developed in the same department on the same operator and instrument, whose released dataset is the one used in Section 5.7. It was reimplemented from its method description and scored as a predictor, where it proved close to uninformative — which is expected, since it optimises a decision rather than forecasting an event. The comparison is reported in Section 5.11 rather than as a headline, and its provenance is stated here because the two works share an institution and a supervisor.</w:t>
      </w:r>
      <w:r/>
      <w:r>
        <w:rPr>
          <w:i/>
          <w:iCs/>
        </w:rPr>
      </w:r>
      <w:r/>
      <w:proofErr w:type="spellStart"/>
      <w:r/>
      <w:proofErr w:type="spellEnd"/>
      <w:r/>
      <w:r/>
      <w:r/>
    </w:p>
    <w:p w:rsidR="0015244F" w:rsidRDefault="00A565B8">
      <w:pPr>
        <w:pageBreakBefore/>
        <w:jc w:val="center"/>
      </w:pPr>
      <w:r>
        <w:rPr>
          <w:b/>
          <w:bCs/>
          <w:sz w:val="40"/>
          <w:szCs w:val="40"/>
        </w:rPr>
        <w:lastRenderedPageBreak/>
        <w:t>CHAPTER 6</w:t>
      </w:r>
    </w:p>
    <w:p w:rsidR="0015244F" w:rsidRDefault="0015244F"/>
    <w:p w:rsidR="0015244F" w:rsidRDefault="00A565B8">
      <w:pPr>
        <w:pStyle w:val="Heading1"/>
        <w:jc w:val="center"/>
      </w:pPr>
      <w:r>
        <w:t>DEMONSTRATION OF OUTCOME BASED EDUCATION</w:t>
      </w:r>
    </w:p>
    <w:p w:rsidR="0015244F" w:rsidRDefault="0015244F"/>
    <w:p w:rsidR="0015244F" w:rsidRDefault="0015244F"/>
    <w:p w:rsidR="0015244F" w:rsidRDefault="00A565B8">
      <w:pPr>
        <w:ind w:firstLine="567"/>
        <w:jc w:val="both"/>
      </w:pPr>
      <w:r>
        <w:t>This chapter demonstrates how the work reported in Chapters 1 to 5 addresses t</w:t>
      </w:r>
      <w:r>
        <w:t>he course outcomes, program outcomes, knowledge profiles and complex engineering problem and activity attributes required of a capstone project in EEE 4700/4800. Each claim made here refers to a specific section of the thesis rather than asserting an attri</w:t>
      </w:r>
      <w:r>
        <w:t>bute in the abstract, and attributes that the work does not genuinely address are marked as such rather than claimed.</w:t>
      </w:r>
    </w:p>
    <w:p w:rsidR="0015244F" w:rsidRDefault="00A565B8">
      <w:pPr>
        <w:pStyle w:val="Heading2"/>
        <w:spacing w:before="360" w:after="140"/>
      </w:pPr>
      <w:r>
        <w:t>6.1 Introduction</w:t>
      </w:r>
    </w:p>
    <w:p w:rsidR="0015244F" w:rsidRDefault="00A565B8">
      <w:pPr>
        <w:ind w:firstLine="567"/>
        <w:jc w:val="both"/>
      </w:pPr>
      <w:r>
        <w:t>Outcome Based Education requires that a capstone project be assessed against what the student is able to do at its conclu</w:t>
      </w:r>
      <w:r>
        <w:t>sion rather than against the volume of work performed. The sections that follow map the activities of this project onto the defined outcomes, in the order set out in the departmental thesis format: course outcomes in Section 6.2, aspects of program outcome</w:t>
      </w:r>
      <w:r>
        <w:t>s in Section 6.3, knowledge profiles in Section 6.4, the use of complex engineering problems in Section 6.5, the socio-cultural, environmental and ethical impact in Section 6.6, and the attributes of complex engineering problem solving and complex engineer</w:t>
      </w:r>
      <w:r>
        <w:t>ing activities in Sections 6.7 and 6.8.</w:t>
      </w:r>
    </w:p>
    <w:p w:rsidR="0015244F" w:rsidRDefault="00A565B8">
      <w:pPr>
        <w:pStyle w:val="Heading2"/>
        <w:spacing w:before="360" w:after="140"/>
      </w:pPr>
      <w:r>
        <w:t>6.2 Course outcomes addressed</w:t>
      </w:r>
    </w:p>
    <w:p w:rsidR="0015244F" w:rsidRDefault="00A565B8">
      <w:pPr>
        <w:ind w:firstLine="567"/>
        <w:jc w:val="both"/>
      </w:pPr>
      <w:r>
        <w:t>Table 6.1 lists the course outcomes defined for EEE 4700 and indicates those addressed by this project.</w:t>
      </w:r>
    </w:p>
    <w:p w:rsidR="0015244F" w:rsidRDefault="00A565B8">
      <w:pPr>
        <w:pStyle w:val="TableCaption"/>
        <w:spacing w:before="240" w:after="120" w:line="240" w:lineRule="auto"/>
        <w:jc w:val="center"/>
      </w:pPr>
      <w:r>
        <w:t>Table 6.1 Course outcomes addressed in this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w:t>
            </w:r>
            <w:r>
              <w:rPr>
                <w:sz w:val="22"/>
                <w:szCs w:val="22"/>
              </w:rPr>
              <w:t>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w:t>
            </w:r>
            <w:r>
              <w:rPr>
                <w:sz w:val="22"/>
                <w:szCs w:val="22"/>
              </w:rPr>
              <w: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pStyle w:val="Heading2"/>
        <w:spacing w:before="360" w:after="140"/>
      </w:pPr>
      <w:r>
        <w:t>6.3 Aspects of program outcomes addressed</w:t>
      </w:r>
    </w:p>
    <w:p w:rsidR="0015244F" w:rsidRDefault="00A565B8">
      <w:pPr>
        <w:ind w:firstLine="567"/>
        <w:jc w:val="both"/>
      </w:pPr>
      <w:r>
        <w:t>Table 6.2 identifies the specific aspects of the relevant program outcomes that the project addresses, and states where each is evidenced.</w:t>
      </w:r>
    </w:p>
    <w:p w:rsidR="0015244F" w:rsidRDefault="00A565B8">
      <w:pPr>
        <w:pStyle w:val="TableCaption"/>
        <w:spacing w:before="240" w:after="120" w:line="240" w:lineRule="auto"/>
        <w:jc w:val="center"/>
      </w:pPr>
      <w:r>
        <w:t>Table 6.2 Aspects of program outcomes addressed, with the evidencing section.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p>
    <w:p w:rsidR="0015244F" w:rsidRDefault="00A565B8">
      <w:pPr>
        <w:pStyle w:val="Heading2"/>
        <w:spacing w:before="360" w:after="140"/>
      </w:pPr>
      <w:r>
        <w:t>6.4 Knowledge profiles addressed</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t>
            </w:r>
            <w:r>
              <w:rPr>
                <w:sz w:val="22"/>
                <w:szCs w:val="22"/>
              </w:rPr>
              <w:t>wledge at the forefront of the discipline: the decoding of RRC measurement configuration under message-scoped identifiers, Section 3.3, and the recovery of deployed Event A3 parameters, Section 3.5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 xml:space="preserve">Knowledge of engineering practice and technology: the conduct </w:t>
            </w:r>
            <w:r>
              <w:rPr>
                <w:sz w:val="22"/>
                <w:szCs w:val="22"/>
              </w:rPr>
              <w:t>of four drive-test campaigns with commercial diagnostic instrumentation on a live operator network,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w:t>
            </w:r>
            <w:r>
              <w:rPr>
                <w:sz w:val="22"/>
                <w:szCs w:val="22"/>
              </w:rPr>
              <w:t xml:space="preserve"> the measurements do not support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w:t>
      </w:r>
      <w:r>
        <w:t xml:space="preserv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 xml:space="preserve">It cannot be resolved without deep, analytically based knowledge: the incoherence of independent multi-horizon classifiers is not visible without the survival formulation of Section 4.3, and the inadmissibility of class reweighting under that formulation, </w:t>
      </w:r>
      <w:r>
        <w:t>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r/>
    </w:p>
    <w:p w:rsidR="0015244F" w:rsidRDefault="00A565B8">
      <w:pPr>
        <w:ind w:firstLine="567"/>
        <w:jc w:val="both"/>
      </w:pPr>
      <w:r>
        <w:t>It spans several sub</w:t>
      </w:r>
      <w:r>
        <w:t>-disciplines: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w:t>
      </w:r>
      <w:r>
        <w:t>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w:t>
      </w:r>
      <w:r>
        <w:t>but an infrastructure on which financial services, transport and emergency communication depend. A warning one to two seconds ahead of a handover gives the network the opportunity to prepare the target cell before an interruption occurs rather than to reco</w:t>
      </w:r>
      <w:r>
        <w:t>ver after it, which bears directly on the continuity of those services.</w:t>
      </w:r>
    </w:p>
    <w:p w:rsidR="0015244F" w:rsidRDefault="00A565B8">
      <w:pPr>
        <w:ind w:firstLine="567"/>
        <w:jc w:val="both"/>
      </w:pPr>
      <w:r>
        <w:rPr>
          <w:b/>
          <w:bCs/>
        </w:rPr>
        <w:t xml:space="preserve">Environmental and sustainability. </w:t>
      </w:r>
      <w:r>
        <w:rPr>
          <w:b w:val="0"/>
        </w:rPr>
        <w:t>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r/>
      <w:proofErr w:type="spellStart"/>
      <w:r/>
      <w:proofErr w:type="spellEnd"/>
      <w:r/>
      <w:r/>
      <w:r>
        <w:rPr>
          <w:b/>
          <w:bCs/>
        </w:rPr>
      </w:r>
      <w:r/>
    </w:p>
    <w:p w:rsidR="0015244F" w:rsidRDefault="00A565B8">
      <w:pPr>
        <w:ind w:firstLine="567"/>
        <w:jc w:val="both"/>
      </w:pPr>
      <w:r>
        <w:rPr>
          <w:b/>
          <w:bCs/>
        </w:rPr>
        <w:t>Heal</w:t>
      </w:r>
      <w:r>
        <w:rPr>
          <w:b/>
          <w:bCs/>
        </w:rPr>
        <w:t>th.</w:t>
      </w:r>
      <w:r>
        <w:t xml:space="preserve"> No health claim of any kind is made. This project involved no human subjects, took no exposure measurements and conducted no experiment bearing on health. Stating that plainly is itself the ethical position: the temptation in a thesis that touches radi</w:t>
      </w:r>
      <w:r>
        <w:t>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 xml:space="preserve">Ethical and legal. </w:t>
      </w:r>
      <w:r>
        <w:rPr>
          <w:b w:val="0"/>
        </w:rPr>
        <w:t>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r/>
      <w:proofErr w:type="spellStart"/>
      <w:r/>
      <w:proofErr w:type="spellEnd"/>
      <w:r/>
      <w:r/>
      <w:proofErr w:type="gramStart"/>
      <w:r/>
      <w:proofErr w:type="gramEnd"/>
      <w:r/>
    </w:p>
    <w:p w:rsidR="0015244F" w:rsidRDefault="00A565B8">
      <w:pPr>
        <w:ind w:firstLine="567"/>
        <w:jc w:val="both"/>
      </w:pPr>
      <w:r>
        <w:rPr>
          <w:b/>
          <w:bCs/>
        </w:rPr>
        <w:t xml:space="preserve">Declaration of competing interests. </w:t>
      </w:r>
      <w:r>
        <w:rPr>
          <w:b w:val="0"/>
        </w:rPr>
        <w:t>The supervisor of this thesis is a co-author of the publicly released dataset used for the independent check of Section 5.7 [38] and of the comparator method reimplemented in Section 5.11 [39]. Neither the dataset nor the comparator was modified for this work; both were taken as released, and the results involving them are reported in the same form as every other result. The relationship is declared here because the word independent, applied to a collection produced by an overlapping group on the same operator with the same instrument, would otherwise carry more weight than the evidence supports. The authors declare no other competing interest.</w:t>
      </w:r>
      <w:r/>
      <w:proofErr w:type="spellStart"/>
      <w:r/>
      <w:proofErr w:type="spellEnd"/>
      <w:r/>
      <w:r/>
      <w:proofErr w:type="gramStart"/>
      <w:r/>
      <w:proofErr w:type="gramEnd"/>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w:t>
      </w:r>
      <w:r>
        <w:t>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w:t>
      </w:r>
      <w:r>
        <w:t>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w:t>
            </w:r>
            <w:r>
              <w:rPr>
                <w:sz w:val="22"/>
                <w:szCs w:val="22"/>
              </w:rPr>
              <w:t>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Six sub-problems — decoding, labelling, feature design, formulation, evaluation and risk </w:t>
            </w:r>
            <w:r>
              <w:rPr>
                <w:sz w:val="22"/>
                <w:szCs w:val="22"/>
              </w:rPr>
              <w:t>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w:t>
            </w:r>
            <w:r>
              <w:rPr>
                <w:sz w:val="22"/>
                <w:szCs w:val="22"/>
              </w:rPr>
              <w:t>, neither of which appears in the audited literature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r/>
      <w:r/>
    </w:p>
    <w:p w:rsidR="0015244F" w:rsidRDefault="00A565B8">
      <w:pPr>
        <w:pStyle w:val="TableCaption"/>
        <w:spacing w:before="240" w:after="120" w:line="240" w:lineRule="auto"/>
        <w:jc w:val="center"/>
      </w:pPr>
      <w:r>
        <w:t>Ta</w:t>
      </w:r>
      <w:r>
        <w:t>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blPrEx>
          <w:tblCellMar>
            <w:top w:w="0" w:type="dxa"/>
            <w:bottom w:w="0" w:type="dxa"/>
          </w:tblCellMar>
        </w:tblPrEx>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w:t>
      </w:r>
      <w:r>
        <w:t>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r/>
      <w:proofErr w:type="spellStart"/>
      <w:r/>
      <w:proofErr w:type="spellEnd"/>
      <w:r/>
      <w:r/>
      <w:proofErr w:type="spellStart"/>
      <w:r/>
      <w:proofErr w:type="spellEnd"/>
      <w:r/>
    </w:p>
    <w:p w:rsidR="0015244F" w:rsidRDefault="00A565B8">
      <w:pPr>
        <w:ind w:firstLine="567"/>
        <w:jc w:val="both"/>
      </w:pPr>
      <w:r>
        <w:rPr>
          <w:b w:val="0"/>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r/>
      <w:r/>
    </w:p>
    <w:p w:rsidR="0015244F" w:rsidRDefault="00A565B8">
      <w:pPr>
        <w:ind w:firstLine="567"/>
        <w:jc w:val="both"/>
      </w:pPr>
      <w:r>
        <w:rPr>
          <w:b/>
          <w:bCs/>
        </w:rPr>
        <w:t xml:space="preserve">The next handover is predictable, modestly. </w:t>
      </w:r>
      <w:r>
        <w:rPr>
          <w:b w:val="0"/>
        </w:rPr>
        <w:t>Gradient-boosted trees under a discrete-time hazard formulation reach AUPRC 0.179 at one second against a 6.8% floor (2.6x, AUROC 0.777) and AUPRC 0.475 at five seconds (1.8x), against AUPRC 0.116 for the deployed Event A3 rule scored as a predictor.</w:t>
      </w:r>
      <w:r/>
      <w:r/>
    </w:p>
    <w:p w:rsidR="0015244F" w:rsidRDefault="00A565B8">
      <w:pPr>
        <w:ind w:firstLine="567"/>
        <w:jc w:val="both"/>
      </w:pPr>
      <w:r>
        <w:rPr>
          <w:b/>
          <w:bCs/>
        </w:rPr>
        <w:t xml:space="preserve">The unit of splitting is worth more than the model. </w:t>
      </w:r>
      <w:r>
        <w:rPr>
          <w:b w:val="0"/>
        </w:rPr>
        <w:t>Against leave-one-campaign-out, random-row splitting inflates the one-second AUPRC by 48 % and random 180-second blocks of the same session by 13 %; the inflation is architecture-dependent, so a careless protocol reorders the leaderboard rather than merely raising it.</w:t>
      </w:r>
      <w:r/>
      <w:r/>
    </w:p>
    <w:p w:rsidR="0015244F" w:rsidRDefault="00A565B8">
      <w:pPr>
        <w:ind w:firstLine="567"/>
        <w:jc w:val="both"/>
      </w:pPr>
      <w:r>
        <w:rPr>
          <w:b w:val="0"/>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r/>
      <w:r/>
    </w:p>
    <w:p w:rsidR="0015244F" w:rsidRDefault="00A565B8">
      <w:pPr>
        <w:ind w:firstLine="567"/>
        <w:jc w:val="both"/>
      </w:pPr>
      <w:r>
        <w:rPr>
          <w:b w:val="0"/>
          <w:bCs/>
        </w:rPr>
        <w:t>The warning carries a guarantee whose assumption is testable, and was tested — and whose estimand turns out to be the binding question. Over rows, with calibration and test units drawn from the same pool of 180-second blocks, the realised per-unit miss rate sits at or below the target (0.168 at α = 0.20, at a 47% alarm rate); calibrating on one campaign and deploying on another it holds in 83% of rotations. Over handovers, which is what the objective promised, it cannot be certified at one second at any useful level, because 36.4% of commands have no usable row in their lead window and are missed whatever the threshold. The sampling rate of the instrument, not the model, is the binding constraint on what a study like this may promise.</w:t>
      </w:r>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and a third quantity was shown to have no unit-free value at all. The A3 conversion rate reads 63% declined per transmitted report, 30% per trigger episode when overlapping episodes may claim the same command, and 73% once each command is matched to exactly one episode; what survives every unit is the separation between the mobility configuration and the monitoring configurations (37% declined against 95%). Weighted by handovers rather than by configurations, 75% of A3-triggered handovers fire under a positive offset. And the ping-pong rate on one fixed set of 957 handover commands moves from 26.3% to 43.8% depending on three definitional choices that published work routinely leaves unstated.</w:t>
      </w:r>
      <w:proofErr w:type="spellStart"/>
      <w:r/>
      <w:proofErr w:type="spellEnd"/>
      <w:r/>
      <w:r/>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
        <w:rPr>
          <w:b/>
          <w:bCs/>
        </w:rPr>
      </w:r>
      <w:r/>
      <w:proofErr w:type="spellStart"/>
      <w:r/>
      <w:proofErr w:type="spellEnd"/>
      <w:r/>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r/>
    </w:p>
    <w:p w:rsidR="0015244F" w:rsidRDefault="00A565B8">
      <w:pPr>
        <w:ind w:firstLine="567"/>
        <w:jc w:val="both"/>
      </w:pPr>
      <w:r>
        <w:t>No causal claim is made about the benefit of ac</w:t>
      </w:r>
      <w:r>
        <w:t xml:space="preserve">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w:t>
      </w:r>
      <w:r>
        <w:t>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7.3 Re</w:t>
      </w:r>
      <w:r>
        <w:t>commendations for future work</w:t>
      </w:r>
    </w:p>
    <w:p w:rsidR="0015244F" w:rsidRDefault="00A565B8">
      <w:pPr>
        <w:ind w:firstLine="567"/>
        <w:jc w:val="both"/>
      </w:pPr>
      <w:r>
        <w:t>Six items follow from those limits, in the order the limits dictate.</w:t>
      </w:r>
    </w:p>
    <w:p w:rsidR="0015244F" w:rsidRDefault="00A565B8">
      <w:pPr>
        <w:ind w:firstLine="567"/>
        <w:jc w:val="both"/>
      </w:pPr>
      <w:r>
        <w:rPr>
          <w:b/>
          <w:bCs/>
        </w:rPr>
        <w:t xml:space="preserve">A native-rate export and a published alignment statement. </w:t>
      </w:r>
      <w:r>
        <w:rPr>
          <w:b w:val="0"/>
        </w:rPr>
        <w:t>The single most valuable follow-up is a re-export of the same captures at the message rate rather than at one hertz. Section 5.1 infers the write rule from its consequences and confirms the inference on a native-rate corpus collected elsewhere; a native-rate export of these captures would replace inference with observation and would allow horizons below one second to be modelled rather than approximated.</w:t>
      </w:r>
      <w:r/>
      <w:r/>
    </w:p>
    <w:p w:rsidR="0015244F" w:rsidRDefault="00A565B8">
      <w:pPr>
        <w:ind w:firstLine="567"/>
        <w:jc w:val="both"/>
      </w:pPr>
      <w:r>
        <w:rPr>
          <w:b/>
          <w:bCs/>
        </w:rPr>
        <w:t xml:space="preserve">More sessions, not more blocks. </w:t>
      </w:r>
      <w:r>
        <w:rPr>
          <w:b w:val="0"/>
        </w:rPr>
        <w:t>Eight to ten independent sessions across days, times and routes would make a paired test over units informative, tighten the conformal feasibility floor and give the block bootstrap something to be conditional on.</w:t>
      </w:r>
      <w:r/>
      <w:r/>
    </w:p>
    <w:p w:rsidR="0015244F" w:rsidRDefault="00A565B8">
      <w:pPr>
        <w:ind w:firstLine="567"/>
        <w:jc w:val="both"/>
      </w:pPr>
      <w:r>
        <w:rPr>
          <w:b/>
          <w:bCs/>
        </w:rPr>
        <w:t xml:space="preserve">A second operator. </w:t>
      </w:r>
      <w:r>
        <w:rPr>
          <w:b w:val="0"/>
        </w:rPr>
        <w:t>Four days on one network is sufficient for a careful study and insufficient to claim generality; a second operator would also break the single-configuration limitation, since the offsets reported in Section 3.5 are one operator's choice rather than a property of LTE.</w:t>
      </w:r>
      <w:r/>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t>
      </w:r>
      <w:r>
        <w:t>would convert that bound into an estimate.</w:t>
      </w:r>
    </w:p>
    <w:p w:rsidR="0015244F" w:rsidRDefault="00A565B8">
      <w:pPr>
        <w:ind w:firstLine="567"/>
        <w:jc w:val="both"/>
      </w:pPr>
      <w:r>
        <w:rPr>
          <w:b/>
          <w:bCs/>
        </w:rPr>
        <w:t xml:space="preserve">An experimental test of the time-to-trigger. </w:t>
      </w:r>
      <w:r>
        <w:rPr>
          <w:b w:val="0"/>
        </w:rPr>
        <w:t>Section 5.10 withdraws the claim that the time-to-trigger is the lever governing ping-pong, because the configuration set does not vary anywhere in this data and the claim is therefore unsupported rather than merely uncertain. It remains the most plausible lever on theoretical grounds, and varying it under controlled conditions while measuring the resulting return rate is the direct test. Such an experiment would also supply the treatment variation that the causal design above requires, and would break the confounding between speed, route and cell density that four campaigns cannot.</w:t>
      </w:r>
      <w:r/>
    </w:p>
    <w:p w:rsidR="0015244F" w:rsidRDefault="00A565B8">
      <w:pPr>
        <w:ind w:firstLine="567"/>
        <w:jc w:val="both"/>
      </w:pPr>
      <w:r>
        <w:rPr>
          <w:b/>
          <w:bCs/>
        </w:rPr>
        <w:t xml:space="preserve">Release of code and data. </w:t>
      </w:r>
      <w:r>
        <w:rPr>
          <w:b w:val="0"/>
        </w:rPr>
        <w:t>The protocol and alignment arguments of Sections 5.1 and 5.3 are claims about how results in this field should be produced, and such claims are only worth making if others can reproduce and contest them — Table 2.1 grades 22 published models on exactly that property, so this work's own two rows in it have to say something specific. On acceptance, the alignment audit, the four evaluation protocols, the feature construction and the table-generation pipeline are released as a versioned archive, together with the derived row-level frames and the decoded event streams. The raw vendor logs are not redistributable, which is stated rather than elided; the derived frames are sufficient to reproduce every number in Chapter 5.</w:t>
      </w:r>
      <w:r/>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r/>
      <w:proofErr w:type="spellStart"/>
      <w:r/>
      <w:proofErr w:type="spellEnd"/>
      <w:r/>
      <w:r/>
      <w:r/>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specification," 3GPP TS 36.331, Release 17, 2022.</w:t>
      </w:r>
      <w:r/>
      <w:r>
        <w:rPr>
          <w:i/>
          <w:iCs/>
        </w:rPr>
      </w:r>
      <w:r/>
    </w:p>
    <w:p w:rsidR="0015244F" w:rsidRDefault="00A565B8">
      <w:pPr>
        <w:spacing w:after="120" w:line="240" w:lineRule="auto"/>
        <w:ind w:left="284" w:hanging="284"/>
        <w:jc w:val="both"/>
      </w:pPr>
      <w:r>
        <w:t>[2] 3GPP, "Evolved Universal Terrestrial Radio Access (E-UTRA) and Evolved Universal Terrestrial Radio Access Network (E-UTRAN); Overall description; Stage 2," 3GPP TS 36.300, Release 17, 2022.</w:t>
      </w:r>
      <w:r>
        <w:rPr>
          <w:i/>
          <w:iCs/>
        </w:rPr>
      </w:r>
      <w:r/>
    </w:p>
    <w:p w:rsidR="0015244F" w:rsidRDefault="00A565B8">
      <w:pPr>
        <w:spacing w:after="120" w:line="240" w:lineRule="auto"/>
        <w:ind w:left="284" w:hanging="284"/>
        <w:jc w:val="both"/>
      </w:pPr>
      <w:r>
        <w:t>[3] H. Deng, C. Peng, A. Fida, J. Meng, and Y. C. Hu, "Mobility support in cellular networks: a measurement study on its configurations and implications," in Proc. ACM Internet Measurement Conference (IMC), 2018, doi:10.1145/3278532.3278546.</w:t>
      </w:r>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 M. Ghoshal, I. Khan, P. Dinh, Z. J. Kong, O. Basit, S. Wang, Y. Feng, Y. C. Hu, and D. Koutsonikolas, "Handover configurations in operational 5G networks: diversity, evolution, and impact on performance," arXiv:2511.03116, 2025.</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
        <w:rPr>
          <w:i/>
          <w:iCs/>
        </w:rPr>
      </w:r>
      <w:r/>
    </w:p>
    <w:p w:rsidR="0015244F" w:rsidRDefault="00A565B8">
      <w:pPr>
        <w:spacing w:after="120" w:line="240" w:lineRule="auto"/>
        <w:ind w:left="284" w:hanging="284"/>
        <w:jc w:val="both"/>
      </w:pPr>
      <w:r>
        <w:t>[6] "M2HO: Mitigating the adverse effects of 5G handovers on TCP," in Proc. ACM MobiCom, 2024, doi:10.1145/3636534.3690680. [Author list to be completed from the ACM record before submission.]</w:t>
      </w:r>
      <w:r/>
      <w:r>
        <w:rPr>
          <w:i/>
          <w:iCs/>
        </w:rPr>
      </w:r>
      <w:proofErr w:type="spellStart"/>
      <w:r>
        <w:rPr>
          <w:i/>
          <w:iCs/>
        </w:rPr>
      </w:r>
      <w:proofErr w:type="spellEnd"/>
      <w:r>
        <w:rPr>
          <w:i/>
          <w:iCs/>
        </w:rPr>
      </w:r>
      <w:r/>
    </w:p>
    <w:p w:rsidR="0015244F" w:rsidRDefault="00A565B8">
      <w:pPr>
        <w:spacing w:after="120" w:line="240" w:lineRule="auto"/>
        <w:ind w:left="284" w:hanging="284"/>
        <w:jc w:val="both"/>
      </w:pPr>
      <w:r>
        <w:t>[7] T. Ankome and E. Hanada, "Reactive to predictive mobility management: a systematic review of ML-driven handover optimization in 5G and beyond," Machine Learning and Knowledge Extraction, vol. 8, no. 5, art. 133, 2026, doi:10.3390/make8050133.</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[8] B. Saoud, I. Shayea, M. A. Alnakhli, and H. Mohamad, "Mobility and handover management in 5G/6G networks: challenges, innovations, and sustainable solutions," Technologies, vol. 13, no. 8, art. 352, 2025, doi:10.3390/technologies13080352.</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[10] K. Nguyen Dang Dinh, P. Fazio, and M. Voznak, "A proposed mobility and resource prediction method for seamless handover and service continuity in 5G small cell networks," PLOS ONE, vol. 21, no. 8, art. e0355372, 2026, doi:10.1371/journal.pone.0355372.</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[12] N. Mehregan and R. E. De Grande, "GCN-based throughput-oriented handover management in dense 5G vehicular networks," arXiv:2505.04894, IEEE DCOSS-IoT, 2025.</w:t>
      </w:r>
      <w:proofErr w:type="spellStart"/>
      <w:r/>
      <w:proofErr w:type="spellEnd"/>
      <w:r/>
      <w:proofErr w:type="spellStart"/>
      <w:r/>
      <w:proofErr w:type="spellEnd"/>
      <w:r/>
      <w:proofErr w:type="spellStart"/>
      <w:r>
        <w:rPr>
          <w:i/>
          <w:iCs/>
        </w:rPr>
      </w:r>
      <w:proofErr w:type="spellEnd"/>
      <w:r>
        <w:rPr>
          <w:i/>
          <w:iCs/>
        </w:rPr>
      </w:r>
      <w:proofErr w:type="gramStart"/>
      <w:r>
        <w:rPr>
          <w:i/>
          <w:iCs/>
        </w:rPr>
      </w:r>
      <w:r>
        <w:rPr>
          <w:i/>
          <w:iCs/>
        </w:rPr>
      </w:r>
      <w:proofErr w:type="gramEnd"/>
      <w:r/>
      <w:proofErr w:type="spellStart"/>
      <w:r/>
      <w:proofErr w:type="spellEnd"/>
      <w:r/>
    </w:p>
    <w:p w:rsidR="0015244F" w:rsidRDefault="00A565B8">
      <w:pPr>
        <w:spacing w:after="120" w:line="240" w:lineRule="auto"/>
        <w:ind w:left="284" w:hanging="284"/>
        <w:jc w:val="both"/>
      </w:pPr>
      <w:r>
        <w:t>[13] A. Graser, A. Jalali, J. Lampert, A. Weißenfeld, and K. Janowicz, "MobilityDL: a review of deep learning from trajectory data," GeoInformatica, vol. 29, no. 1, pp. 115–147, 2025, doi:10.1007/s10707-024-00518-8.</w:t>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p>
    <w:p w:rsidR="0015244F" w:rsidRDefault="00A565B8">
      <w:pPr>
        <w:spacing w:after="120" w:line="240" w:lineRule="auto"/>
        <w:ind w:left="284" w:hanging="284"/>
        <w:jc w:val="both"/>
      </w:pPr>
      <w:r>
        <w:t>[14] D. Zidic, T. Mastelic, I. Nizetic Kosovic, M. Cagalj, and J. Lorincz, "Analyses of ping-pong handovers in real 4G telecommunication networks," Computer Networks, vol. 227, art. 109699, 2023.</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proofErr w:type="spellStart"/>
      <w:r/>
      <w:proofErr w:type="spellEnd"/>
      <w:r/>
      <w:proofErr w:type="spellStart"/>
      <w:r/>
      <w:proofErr w:type="spellEnd"/>
      <w:r/>
      <w:proofErr w:type="spellStart"/>
      <w:r/>
      <w:proofErr w:type="spellEnd"/>
      <w:r/>
      <w:proofErr w:type="spellStart"/>
      <w:r/>
      <w:r/>
      <w:proofErr w:type="spellEnd"/>
      <w:r/>
      <w:r>
        <w:rPr>
          <w:i/>
          <w:iCs/>
        </w:rPr>
      </w:r>
      <w:r/>
    </w:p>
    <w:p w:rsidR="0015244F" w:rsidRDefault="00A565B8">
      <w:pPr>
        <w:spacing w:after="120" w:line="240" w:lineRule="auto"/>
        <w:ind w:left="284" w:hanging="284"/>
        <w:jc w:val="both"/>
      </w:pPr>
      <w:r>
        <w:t>[16] S. Wiegrebe, P. Kopper, R. Sonabend, B. Bischl, and A. Bender, "Deep learning for survival analysis: a review," Artificial Intelligence Review, vol. 57, no. 3, art. 65, 2024, doi:10.1007/s10462-023-10681-3.</w:t>
      </w:r>
      <w:proofErr w:type="spellStart"/>
      <w:r/>
      <w:proofErr w:type="spellEnd"/>
      <w:r/>
      <w:proofErr w:type="spellStart"/>
      <w:r/>
      <w:proofErr w:type="spellEnd"/>
      <w:r/>
      <w:proofErr w:type="spellStart"/>
      <w:r/>
      <w:proofErr w:type="spellEnd"/>
      <w:r/>
      <w:proofErr w:type="spellStart"/>
      <w:r/>
      <w:proofErr w:type="spellEnd"/>
      <w:r/>
      <w:r>
        <w:rPr>
          <w:i/>
          <w:iCs/>
        </w:rPr>
      </w:r>
      <w:r/>
      <w:r/>
    </w:p>
    <w:p w:rsidR="0015244F" w:rsidRDefault="00A565B8">
      <w:pPr>
        <w:spacing w:after="120" w:line="240" w:lineRule="auto"/>
        <w:ind w:left="284" w:hanging="284"/>
        <w:jc w:val="both"/>
      </w:pPr>
      <w:r>
        <w:t>[17] H.-C. Thorsen-Meyer, D. Placido, B. S. Kaas-Hansen, et al., "Discrete-time survival analysis in the critically ill: a deep learning approach using heterogeneous data," npj Digital Medicine, vol. 5, art. 142, 2022, doi:10.1038/s41746-022-00679-6.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rPr>
          <w:i/>
          <w:iCs/>
        </w:rPr>
      </w:r>
      <w:r>
        <w:rPr>
          <w:i/>
          <w:iCs/>
        </w:rPr>
      </w:r>
      <w:r/>
    </w:p>
    <w:p w:rsidR="0015244F" w:rsidRDefault="00A565B8">
      <w:pPr>
        <w:spacing w:after="120" w:line="240" w:lineRule="auto"/>
        <w:ind w:left="284" w:hanging="284"/>
        <w:jc w:val="both"/>
      </w:pPr>
      <w:r>
        <w:t>[18] E. J. Candès, L. Lei, and Z. Ren, "Conformalized survival analysis," Journal of the Royal Statistical Society Series B, vol. 85, no. 1, pp. 24–45, 2023, doi:10.1093/jrsssb/qkac004.</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[19] K. M. Cohen, S. Park, O. Simeone, and S. Shamai (Shitz), "Calibrating AI models for wireless communications via conformal prediction," arXiv:2212.07775,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[20] O. Simeone, S. Park, and M. Zecchin, "Conformal calibration: ensuring the reliability of black-box AI in wireless systems," arXiv:2504.09310, 2025.</w:t>
      </w:r>
      <w:proofErr w:type="spellStart"/>
      <w:r/>
      <w:proofErr w:type="spellEnd"/>
      <w:r/>
      <w:r>
        <w:rPr>
          <w:i/>
          <w:iCs/>
        </w:rPr>
      </w:r>
      <w:r>
        <w:rPr>
          <w:i/>
          <w:iCs/>
        </w:rPr>
      </w:r>
      <w:r/>
    </w:p>
    <w:p w:rsidR="0015244F" w:rsidRDefault="00A565B8">
      <w:pPr>
        <w:spacing w:after="120" w:line="240" w:lineRule="auto"/>
        <w:ind w:left="284" w:hanging="284"/>
        <w:jc w:val="both"/>
      </w:pPr>
      <w:r>
        <w:t>[21] A. N. Angelopoulos, S. Bates, A. Fisch, L. Lei, and T. Schuster, "Conformal risk control," in Proc. International Conference on Learning Representations (ICLR), 2024.</w:t>
      </w:r>
      <w:proofErr w:type="spellStart"/>
      <w:r>
        <w:rPr>
          <w:i/>
          <w:iCs/>
        </w:rPr>
      </w:r>
      <w:proofErr w:type="spellEnd"/>
      <w:r/>
    </w:p>
    <w:p w:rsidR="0015244F" w:rsidRDefault="00A565B8">
      <w:pPr>
        <w:spacing w:after="120" w:line="240" w:lineRule="auto"/>
        <w:ind w:left="284" w:hanging="284"/>
        <w:jc w:val="both"/>
      </w:pPr>
      <w:r>
        <w:t>[22] S. Bates, A. Angelopoulos, L. Lei, J. Malik, and M. I. Jordan, "Distribution-free, risk-controlling prediction sets," Journal of the ACM, vol. 68, no. 6, 2021, doi:10.1145/3478535.</w:t>
      </w:r>
      <w:proofErr w:type="spellStart"/>
      <w:r/>
      <w:proofErr w:type="spellEnd"/>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[23] A. G. Hawkes, "Spectra of some self-exciting and mutually exciting point processes," Biometrika, vol. 58, no. 1, pp. 83–90, 1971.</w:t>
      </w:r>
      <w:r>
        <w:rPr>
          <w:i/>
          <w:iCs/>
        </w:rPr>
      </w:r>
      <w:r/>
      <w:r/>
    </w:p>
    <w:p w:rsidR="0015244F" w:rsidRDefault="00A565B8">
      <w:pPr>
        <w:spacing w:after="120" w:line="240" w:lineRule="auto"/>
        <w:ind w:left="284" w:hanging="284"/>
        <w:jc w:val="both"/>
      </w:pPr>
      <w:r>
        <w:t>[24] P. J. Laub, Y. Lee, P. K. Pollett, and T. Taimre, "Hawkes models and their applications," Annual Review of Statistics and Its Application, vol. 12, pp. 233–258, 2025.</w:t>
      </w:r>
      <w:r>
        <w:rPr>
          <w:i/>
          <w:iCs/>
        </w:rPr>
      </w:r>
      <w:r/>
    </w:p>
    <w:p w:rsidR="0015244F" w:rsidRDefault="00A565B8">
      <w:pPr>
        <w:spacing w:after="120" w:line="240" w:lineRule="auto"/>
        <w:ind w:left="284" w:hanging="284"/>
        <w:jc w:val="both"/>
      </w:pPr>
      <w:r>
        <w:t>[25] Y. Ogata, "Statistical models for earthquake occurrences and residual analysis for point processes," Journal of the American Statistical Association, vol. 83, no. 401, pp. 9–27, 1988.</w:t>
      </w:r>
      <w:proofErr w:type="spellStart"/>
      <w:r/>
      <w:proofErr w:type="spellEnd"/>
      <w:r/>
      <w:proofErr w:type="spellStart"/>
      <w:r/>
      <w:proofErr w:type="spellEnd"/>
      <w:r/>
      <w:proofErr w:type="spellStart"/>
      <w:r/>
      <w:proofErr w:type="spellEnd"/>
      <w:r/>
      <w:proofErr w:type="spellStart"/>
      <w:r/>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[26] M. Price-Williams and N. A. Heard, "Nonparametric self-exciting models for computer network traffic," Statistics and Computing, vol. 30, no. 2, pp. 209–220, 2020.</w:t>
      </w:r>
      <w:proofErr w:type="spellStart"/>
      <w:r/>
      <w:proofErr w:type="spellEnd"/>
      <w:r/>
      <w:r>
        <w:rPr>
          <w:i/>
          <w:iCs/>
        </w:rPr>
      </w:r>
      <w:r>
        <w:rPr>
          <w:i/>
          <w:iCs/>
        </w:rPr>
      </w:r>
      <w:r/>
    </w:p>
    <w:p w:rsidR="0015244F" w:rsidRDefault="00A565B8">
      <w:pPr>
        <w:spacing w:after="120" w:line="240" w:lineRule="auto"/>
        <w:ind w:left="284" w:hanging="284"/>
        <w:jc w:val="both"/>
      </w:pPr>
      <w:r>
        <w:t>[27] H. Ismail Fawaz, G. Del Grosso, T. Kerdoncuff, A. Boisbunon, and I. Saffar, "Deep unsupervised domain adaptation for time series classification: a benchmark," arXiv:2312.09857, 2023.</w:t>
      </w:r>
      <w:r>
        <w:rPr>
          <w:i/>
          <w:iCs/>
        </w:rPr>
      </w:r>
      <w:r/>
    </w:p>
    <w:p w:rsidR="0015244F" w:rsidRDefault="00A565B8">
      <w:pPr>
        <w:spacing w:after="120" w:line="240" w:lineRule="auto"/>
        <w:ind w:left="284" w:hanging="284"/>
        <w:jc w:val="both"/>
      </w:pPr>
      <w:r>
        <w:t>[28] B. Sun and K. Saenko, "Deep CORAL: correlation alignment for deep domain adaptation," in Computer Vision – ECCV 2016 Workshops, LNCS vol. 9915, pp. 443–450, 2016.</w:t>
      </w:r>
      <w:proofErr w:type="spellStart"/>
      <w:r/>
      <w:proofErr w:type="spellEnd"/>
      <w:r/>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[29] Y. Shi, X. Ying, and J. Yang, "Deep unsupervised domain adaptation with time series sensor data: a survey," Sensors, vol. 22, no. 15, art. 5507,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[30] D. Wagner, A. Nair, B. J. Franks, et al., "Formally exploring time-series anomaly detection evaluation metrics," arXiv:2510.17562, 2025.</w:t>
      </w:r>
      <w:proofErr w:type="spellStart"/>
      <w:r/>
      <w:proofErr w:type="spellEnd"/>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[31] S. Deb, M. Rathod, R. Balamurugan, S. K. Ghosh, R. K. Singh, and S. Sanyal, "Performance evaluation of conditional handover in 5G systems under fading scenario," arXiv:2403.04379, 2024.</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[32] G. Ke, Q. Meng, T. Finley, T. Wang, W. Chen, W. Ma, Q. Ye, and T.-Y. Liu, "LightGBM: a highly efficient gradient boosting decision tree," in Advances in Neural Information Processing Systems 30, 2017, pp. 3146–3154.</w:t>
      </w:r>
      <w:proofErr w:type="spellStart"/>
      <w:r/>
      <w:proofErr w:type="spellEnd"/>
      <w:r/>
      <w:r>
        <w:rPr>
          <w:i/>
          <w:iCs/>
        </w:rPr>
      </w:r>
      <w:r/>
    </w:p>
    <w:p w:rsidR="0015244F" w:rsidRDefault="00A565B8">
      <w:pPr>
        <w:spacing w:after="120" w:line="240" w:lineRule="auto"/>
        <w:ind w:left="284" w:hanging="284"/>
        <w:jc w:val="both"/>
      </w:pPr>
      <w:r>
        <w:t>[33] C. Guo, G. Pleiss, Y. Sun, and K. Q. Weinberger, "On calibration of modern neural networks," in Proc. ICML, 2017, pp. 1321–1330.</w:t>
      </w:r>
      <w:r/>
      <w:proofErr w:type="spellStart"/>
      <w:r/>
      <w:proofErr w:type="spellEnd"/>
      <w:r/>
      <w:proofErr w:type="spellStart"/>
      <w:r>
        <w:rPr>
          <w:i/>
          <w:iCs/>
        </w:rPr>
      </w:r>
      <w:proofErr w:type="spellEnd"/>
      <w:r>
        <w:rPr>
          <w:i/>
          <w:iCs/>
        </w:rPr>
      </w:r>
      <w:r/>
    </w:p>
    <w:p w:rsidR="0015244F" w:rsidRDefault="00A565B8">
      <w:pPr>
        <w:spacing w:after="120" w:line="240" w:lineRule="auto"/>
        <w:ind w:left="284" w:hanging="284"/>
        <w:jc w:val="both"/>
      </w:pPr>
      <w:r>
        <w:t>[34] B. Zadrozny and C. Elkan, "Transforming classifier scores into accurate multiclass probability estimates," in Proc. ACM SIGKDD, 2002, pp. 694–699.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[35] D. R. Roberts et al., "Cross-validation strategies for data with temporal, spatial, hierarchical, or phylogenetic structure," Ecography, vol. 40, no. 8, pp. 913–929, 2017, doi:10.1111/ecog.02881.</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[36] S. Kaufman, S. Rosset, C. Perlich, and O. Stitelman, "Leakage in data mining: formulation, detection, and avoidance," ACM Transactions on Knowledge Discovery from Data, vol. 6, no. 4, art. 15, 2012, doi:10.1145/2382577.2382579.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[37] D. Raca, D. Leahy, C. J. Sreenan, and J. J. Quinlan, "Beyond throughput, the next generation: a 5G dataset with channel and context metrics," in Proc. ACM Multimedia Systems Conference (MMSys), 2020, pp. 303–308, doi:10.1145/3339825.3394938. Dataset: github.com/uccmisl/5Gdataset (GPL-3.0).</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[38]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[39] M. M. S. Shafi, K. M. Istiaque, S. S. Sowad, and M. T. Kawser, "Handover optimization in LTE networks using contextual bandit reinforcement learning and real-world data," manuscript, Islamic University of Technology, 2025. [Venue to be confirmed; a ResearchGate record exists.]</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[40] F. Chen, M. Ghoshal, E. Nan, P. Dinh, I. Khan, Z. J. Kong, Y. C. Hu, and D. Koutsonikolas, "A large-scale study of the potential of multi-carrier access in the 5G era," in Passive and Active Measurement (PAM), LNCS vol. 15567, 2025, pp. 469–484, doi:10.1007/978-3-031-85960-1_19. Dataset: github.com/NUWiNS/pam2025-multi-carrier-dataset.</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[41] M. Ghoshal, I. Khan, Z. J. Kong, P. Dinh, J. Meng, Y. C. Hu, and D. Koutsonikolas, "Performance of cellular networks on the wheels," in Proc. ACM Internet Measurement Conference (IMC), 2023, doi:10.1145/3618257.3624814.</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[42] D. Hong and S. S. Rappaport, "Traffic model and performance analysis for cellular mobile radio telephone systems with prioritized and nonprioritized handoff procedures," IEEE Transactions on Vehicular Technology, vol. 35, no. 3, pp. 77–92, 1986.</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[43] X. Lin, R. K. Ganti, P. J. Fleming, and J. G. Andrews, "Towards understanding the fundamentals of mobility in cellular networks," IEEE Transactions on Wireless Communications, vol. 12, no. 4, pp. 1686–1698, 2013, arXiv:1204.3447. [Volume, issue and page range to be confirmed against the IEEE record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[44] S. Sadr and R. S. Adve, "Handoff rate and coverage analysis in multi-tier heterogeneous networks," IEEE Transactions on Wireless Communications, vol. 14, no. 5, pp. 2626–2638, 2015, arXiv:1501.01668. [Volume, issue and page range to be confirmed against the IEEE record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[45] M. Kabeer, R. Nordin, M. Behjati, and S. L. Lau, "Sequence-based deep learning for handover optimization in dense urban cellular network," arXiv:2510.02958, 2025. [Preprint; not part of the screened set of Section 2.3.]</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[46] S. V. R. Mandapati, "Meta-continual mobility forecasting for proactive handover prediction," arXiv:2512.11841, 2025. [Preprint; not part of the screened set of Section 2.3.]</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[47] A. Qchohi, J. Moysen Cortes, and M. Zecchin, "Confounding-valid conformal inference for counterfactual KPIs in wireless networks," arXiv:2609.05073, 2026. [Preprint.]</w:t>
      </w:r>
      <w:proofErr w:type="spellStart"/>
      <w:r/>
      <w:proofErr w:type="spellEnd"/>
      <w:r/>
      <w:proofErr w:type="spellStart"/>
      <w:r/>
      <w:proofErr w:type="spellEnd"/>
      <w:r/>
      <w:r/>
      <w:r>
        <w:rPr>
          <w:i/>
          <w:iCs/>
        </w:rPr>
      </w:r>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w:t>
      </w:r>
      <w:r>
        <w:t>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blPrEx>
          <w:tblCellMar>
            <w:top w:w="0" w:type="dxa"/>
            <w:bottom w:w="0" w:type="dxa"/>
          </w:tblCellMar>
        </w:tblPrEx>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blPrEx>
          <w:tblCellMar>
            <w:top w:w="0" w:type="dxa"/>
            <w:bottom w:w="0" w:type="dxa"/>
          </w:tblCellMar>
        </w:tblPrEx>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blPrEx>
          <w:tblCellMar>
            <w:top w:w="0" w:type="dxa"/>
            <w:bottom w:w="0" w:type="dxa"/>
          </w:tblCellMar>
        </w:tblPrEx>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blPrEx>
          <w:tblCellMar>
            <w:top w:w="0" w:type="dxa"/>
            <w:bottom w:w="0" w:type="dxa"/>
          </w:tblCellMar>
        </w:tblPrEx>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blPrEx>
          <w:tblCellMar>
            <w:top w:w="0" w:type="dxa"/>
            <w:bottom w:w="0" w:type="dxa"/>
          </w:tblCellMar>
        </w:tblPrEx>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blPrEx>
          <w:tblCellMar>
            <w:top w:w="0" w:type="dxa"/>
            <w:bottom w:w="0" w:type="dxa"/>
          </w:tblCellMar>
        </w:tblPrEx>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blPrEx>
          <w:tblCellMar>
            <w:top w:w="0" w:type="dxa"/>
            <w:bottom w:w="0" w:type="dxa"/>
          </w:tblCellMar>
        </w:tblPrEx>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A565B8">
      <w:pPr>
        <w:pStyle w:val="TableCaption"/>
        <w:spacing w:before="240" w:after="120" w:line="240" w:lineRule="auto"/>
        <w:jc w:val="center"/>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Property</w:t>
            </w:r>
          </w:p>
        </w:tc>
        <w:tc>
          <w:tcPr/>
          <w:p>
            <w:r>
              <w:t>This work</w:t>
            </w:r>
          </w:p>
        </w:tc>
        <w:tc>
          <w:tcPr/>
          <w:p>
            <w:r>
              <w:t>Irish 4G/5G (MMSys 2020)</w:t>
            </w:r>
          </w:p>
        </w:tc>
        <w:tc>
          <w:tcPr/>
          <w:p>
            <w:r>
              <w:t>US tier-1 (NUWiNS PAM 2025)</w:t>
            </w:r>
          </w:p>
        </w:tc>
      </w:tr>
      <w:tr>
        <w:tc>
          <w:tcPr/>
          <w:p>
            <w:r>
              <w:t>Instrument</w:t>
            </w:r>
          </w:p>
        </w:tc>
        <w:tc>
          <w:tcPr/>
          <w:p>
            <w:r>
              <w:t>XCAL, 1 Hz export produced by the tool</w:t>
            </w:r>
          </w:p>
        </w:tc>
        <w:tc>
          <w:tcPr/>
          <w:p>
            <w:r>
              <w:t>G-NetTrack Pro, ~1 Hz application log</w:t>
            </w:r>
          </w:p>
        </w:tc>
        <w:tc>
          <w:tcPr/>
          <w:p>
            <w:r>
              <w:t>XCAL, native 10 Hz export downsampled here</w:t>
            </w:r>
          </w:p>
        </w:tc>
      </w:tr>
      <w:tr>
        <w:tc>
          <w:tcPr/>
          <w:p>
            <w:r>
              <w:t>Network and region</w:t>
            </w:r>
          </w:p>
        </w:tc>
        <w:tc>
          <w:tcPr/>
          <w:p>
            <w:r>
              <w:t>One operator, Dhaka and Gazipur</w:t>
            </w:r>
          </w:p>
        </w:tc>
        <w:tc>
          <w:tcPr/>
          <w:p>
            <w:r>
              <w:t>One operator, Ireland (Raca et al., MMSys 2020)</w:t>
            </w:r>
          </w:p>
        </w:tc>
        <w:tc>
          <w:tcPr/>
          <w:p>
            <w:r>
              <w:t>3 tier-1 operators, two cross-US routes (NUWiNS, PAM 2025)</w:t>
            </w:r>
          </w:p>
        </w:tc>
      </w:tr>
      <w:tr>
        <w:tc>
          <w:tcPr/>
          <w:p>
            <w:r>
              <w:t>Event clock</w:t>
            </w:r>
          </w:p>
        </w:tc>
        <w:tc>
          <w:tcPr/>
          <w:p>
            <w:r>
              <w:t>RRC signalling: command and complete</w:t>
            </w:r>
          </w:p>
        </w:tc>
        <w:tc>
          <w:tcPr/>
          <w:p>
            <w:r>
              <w:t>serving-cell identifier changes only</w:t>
            </w:r>
          </w:p>
        </w:tc>
        <w:tc>
          <w:tcPr/>
          <w:p>
            <w:r>
              <w:t>XCAL handover event column</w:t>
            </w:r>
          </w:p>
        </w:tc>
      </w:tr>
      <w:tr>
        <w:tc>
          <w:tcPr/>
          <w:p>
            <w:r>
              <w:t>Row semantics</w:t>
            </w:r>
          </w:p>
        </w:tc>
        <w:tc>
          <w:tcPr/>
          <w:p>
            <w:r>
              <w:t>aggregate over the second, written at its end</w:t>
            </w:r>
          </w:p>
        </w:tc>
        <w:tc>
          <w:tcPr/>
          <w:p>
            <w:r>
              <w:t>instantaneous sample</w:t>
            </w:r>
          </w:p>
        </w:tc>
        <w:tc>
          <w:tcPr/>
          <w:p>
            <w:r>
              <w:t>set by us: last, or first, sample of the second</w:t>
            </w:r>
          </w:p>
        </w:tc>
      </w:tr>
      <w:tr>
        <w:tc>
          <w:tcPr/>
          <w:p>
            <w:r>
              <w:t>Handovers audited</w:t>
            </w:r>
          </w:p>
        </w:tc>
        <w:tc>
          <w:tcPr/>
          <w:p>
            <w:r>
              <w:t>938</w:t>
            </w:r>
          </w:p>
        </w:tc>
        <w:tc>
          <w:tcPr/>
          <w:p>
            <w:r>
              <w:t>1,175 cell changes</w:t>
            </w:r>
          </w:p>
        </w:tc>
        <w:tc>
          <w:tcPr/>
          <w:p>
            <w:r>
              <w:t>4,712 in 12 files</w:t>
            </w:r>
          </w:p>
        </w:tc>
      </w:tr>
      <w:tr>
        <w:tc>
          <w:tcPr/>
          <w:p>
            <w:r>
              <w:t>Row t shows the target cell</w:t>
            </w:r>
          </w:p>
        </w:tc>
        <w:tc>
          <w:tcPr/>
          <w:p>
            <w:r>
              <w:t>75.9 %</w:t>
            </w:r>
          </w:p>
        </w:tc>
        <w:tc>
          <w:tcPr/>
          <w:p>
            <w:r>
              <w:t>29.4 %</w:t>
            </w:r>
          </w:p>
        </w:tc>
        <w:tc>
          <w:tcPr/>
          <w:p>
            <w:r>
              <w:t>93.2 %</w:t>
            </w:r>
          </w:p>
        </w:tc>
      </w:tr>
      <w:tr>
        <w:tc>
          <w:tcPr/>
          <w:p>
            <w:r>
              <w:t>Isolated handovers only</w:t>
            </w:r>
          </w:p>
        </w:tc>
        <w:tc>
          <w:tcPr/>
          <w:p>
            <w:r>
              <w:t>74.6 % (n = 291)</w:t>
            </w:r>
          </w:p>
        </w:tc>
        <w:tc>
          <w:tcPr/>
          <w:p>
            <w:r>
              <w:t>not separable (no signalling clock)</w:t>
            </w:r>
          </w:p>
        </w:tc>
        <w:tc>
          <w:tcPr/>
          <w:p>
            <w:r>
              <w:t>92.8 % (n = 3,160)</w:t>
            </w:r>
          </w:p>
        </w:tc>
      </w:tr>
      <w:tr>
        <w:tc>
          <w:tcPr/>
          <w:p>
            <w:r>
              <w:t>Row t-1 shows the target cell</w:t>
            </w:r>
          </w:p>
        </w:tc>
        <w:tc>
          <w:tcPr/>
          <w:p>
            <w:r>
              <w:t>15.6 %</w:t>
            </w:r>
          </w:p>
        </w:tc>
        <w:tc>
          <w:tcPr/>
          <w:p>
            <w:r>
              <w:t>no step across the integer boundary</w:t>
            </w:r>
          </w:p>
        </w:tc>
        <w:tc>
          <w:tcPr/>
          <w:p>
            <w:r>
              <w:t>0.1 %</w:t>
            </w:r>
          </w:p>
        </w:tc>
      </w:tr>
      <w:tr>
        <w:tc>
          <w:tcPr/>
          <w:p>
            <w:r>
              <w:t>Same rows, start-of-second rule</w:t>
            </w:r>
          </w:p>
        </w:tc>
        <w:tc>
          <w:tcPr/>
          <w:p>
            <w:r>
              <w:t>not available (the tool aggregates)</w:t>
            </w:r>
          </w:p>
        </w:tc>
        <w:tc>
          <w:tcPr/>
          <w:p>
            <w:r>
              <w:t>not applicable (rows are samples)</w:t>
            </w:r>
          </w:p>
        </w:tc>
        <w:tc>
          <w:tcPr/>
          <w:p>
            <w:r>
              <w:t>4.1 %</w:t>
            </w:r>
          </w:p>
        </w:tc>
      </w:tr>
      <w:tr>
        <w:tc>
          <w:tcPr/>
          <w:p>
            <w:r>
              <w:t>Update delay observed</w:t>
            </w:r>
          </w:p>
        </w:tc>
        <w:tc>
          <w:tcPr/>
          <w:p>
            <w:r>
              <w:t>p90 99 ms from RRC complete messages</w:t>
            </w:r>
          </w:p>
        </w:tc>
        <w:tc>
          <w:tcPr/>
          <w:p>
            <w:r>
              <w:t>not observable on a 1 Hz grid</w:t>
            </w:r>
          </w:p>
        </w:tc>
        <w:tc>
          <w:tcPr/>
          <w:p>
            <w:r>
              <w:t>50-75 ms, recovered from the contamination cliff (98 % at 75-100 ms left, 44 % at 50-75 ms, 0 % below 50 ms)</w:t>
            </w:r>
          </w:p>
        </w:tc>
      </w:tr>
      <w:tr>
        <w:tc>
          <w:tcPr/>
          <w:p>
            <w:r>
              <w:t>Verdict</w:t>
            </w:r>
          </w:p>
        </w:tc>
        <w:tc>
          <w:tcPr/>
          <w:p>
            <w:r>
              <w:t>defect present, attenuated by a one-row KPI refresh lag</w:t>
            </w:r>
          </w:p>
        </w:tc>
        <w:tc>
          <w:tcPr/>
          <w:p>
            <w:r>
              <w:t>no defect: sampled rows are not aggregates</w:t>
            </w:r>
          </w:p>
        </w:tc>
        <w:tc>
          <w:tcPr/>
          <w:p>
            <w:r>
              <w:t>defect present under end-of-second, absent under start-of-second</w:t>
            </w:r>
          </w:p>
        </w:tc>
      </w:tr>
    </w:tbl>
    <w:p w:rsidR="0015244F" w:rsidRDefault="00A565B8">
      <w:pPr>
        <w:pStyle w:val="TableCaption"/>
        <w:spacing w:before="240" w:after="120" w:line="240" w:lineRule="auto"/>
        <w:jc w:val="center"/>
      </w:pPr>
      <w:r>
        <w:t>Table A.4 Per-campaign calibration at the one-second horizon for every coherence arm, on the row set and hyper-parameters of Table 5.6 (arm C). Section 5.4 refers to these numbers; an earlier draft promised them here and printed a per-campaign count taken from the tuned arm instead, which is a different experiment.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Arm</w:t>
            </w:r>
          </w:p>
        </w:tc>
        <w:tc>
          <w:tcPr/>
          <w:p>
            <w:r>
              <w:t>10 Sept (urban arterial) ECE / Brier</w:t>
            </w:r>
          </w:p>
        </w:tc>
        <w:tc>
          <w:tcPr/>
          <w:p>
            <w:r>
              <w:t>12 Sept (urban loop) ECE / Brier</w:t>
            </w:r>
          </w:p>
        </w:tc>
        <w:tc>
          <w:tcPr/>
          <w:p>
            <w:r>
              <w:t>13 Sept (dense urban) ECE / Brier</w:t>
            </w:r>
          </w:p>
        </w:tc>
        <w:tc>
          <w:tcPr/>
          <w:p>
            <w:r>
              <w:t>15 Sept (highway) ECE / Brier</w:t>
            </w:r>
          </w:p>
        </w:tc>
      </w:tr>
      <w:tr>
        <w:tc>
          <w:tcPr/>
          <w:p>
            <w:r>
              <w:t>independent</w:t>
            </w:r>
          </w:p>
        </w:tc>
        <w:tc>
          <w:tcPr/>
          <w:p>
            <w:r>
              <w:t>0.056 / 0.078</w:t>
            </w:r>
          </w:p>
        </w:tc>
        <w:tc>
          <w:tcPr/>
          <w:p>
            <w:r>
              <w:t>0.049 / 0.071</w:t>
            </w:r>
          </w:p>
        </w:tc>
        <w:tc>
          <w:tcPr/>
          <w:p>
            <w:r>
              <w:t>0.049 / 0.061</w:t>
            </w:r>
          </w:p>
        </w:tc>
        <w:tc>
          <w:tcPr/>
          <w:p>
            <w:r>
              <w:t>0.036 / 0.050</w:t>
            </w:r>
          </w:p>
        </w:tc>
      </w:tr>
      <w:tr>
        <w:tc>
          <w:tcPr/>
          <w:p>
            <w:r>
              <w:t>independent + cumulative max</w:t>
            </w:r>
          </w:p>
        </w:tc>
        <w:tc>
          <w:tcPr/>
          <w:p>
            <w:r>
              <w:t>0.055 / 0.078</w:t>
            </w:r>
          </w:p>
        </w:tc>
        <w:tc>
          <w:tcPr/>
          <w:p>
            <w:r>
              <w:t>0.049 / 0.071</w:t>
            </w:r>
          </w:p>
        </w:tc>
        <w:tc>
          <w:tcPr/>
          <w:p>
            <w:r>
              <w:t>0.049 / 0.061</w:t>
            </w:r>
          </w:p>
        </w:tc>
        <w:tc>
          <w:tcPr/>
          <w:p>
            <w:r>
              <w:t>0.036 / 0.050</w:t>
            </w:r>
          </w:p>
        </w:tc>
      </w:tr>
      <w:tr>
        <w:tc>
          <w:tcPr/>
          <w:p>
            <w:r>
              <w:t>independent + PAV</w:t>
            </w:r>
          </w:p>
        </w:tc>
        <w:tc>
          <w:tcPr/>
          <w:p>
            <w:r>
              <w:t>0.056 / 0.078</w:t>
            </w:r>
          </w:p>
        </w:tc>
        <w:tc>
          <w:tcPr/>
          <w:p>
            <w:r>
              <w:t>0.049 / 0.071</w:t>
            </w:r>
          </w:p>
        </w:tc>
        <w:tc>
          <w:tcPr/>
          <w:p>
            <w:r>
              <w:t>0.050 / 0.061</w:t>
            </w:r>
          </w:p>
        </w:tc>
        <w:tc>
          <w:tcPr/>
          <w:p>
            <w:r>
              <w:t>0.036 / 0.050</w:t>
            </w:r>
          </w:p>
        </w:tc>
      </w:tr>
      <w:tr>
        <w:tc>
          <w:tcPr/>
          <w:p>
            <w:r>
              <w:t>independent + isotonic</w:t>
            </w:r>
          </w:p>
        </w:tc>
        <w:tc>
          <w:tcPr/>
          <w:p>
            <w:r>
              <w:t>0.030 / 0.074</w:t>
            </w:r>
          </w:p>
        </w:tc>
        <w:tc>
          <w:tcPr/>
          <w:p>
            <w:r>
              <w:t>0.019 / 0.067</w:t>
            </w:r>
          </w:p>
        </w:tc>
        <w:tc>
          <w:tcPr/>
          <w:p>
            <w:r>
              <w:t>0.013 / 0.057</w:t>
            </w:r>
          </w:p>
        </w:tc>
        <w:tc>
          <w:tcPr/>
          <w:p>
            <w:r>
              <w:t>0.044 / 0.051</w:t>
            </w:r>
          </w:p>
        </w:tc>
      </w:tr>
      <w:tr>
        <w:tc>
          <w:tcPr/>
          <w:p>
            <w:r>
              <w:t>independent + isotonic + PAV</w:t>
            </w:r>
          </w:p>
        </w:tc>
        <w:tc>
          <w:tcPr/>
          <w:p>
            <w:r>
              <w:t>0.027 / 0.074</w:t>
            </w:r>
          </w:p>
        </w:tc>
        <w:tc>
          <w:tcPr/>
          <w:p>
            <w:r>
              <w:t>0.018 / 0.067</w:t>
            </w:r>
          </w:p>
        </w:tc>
        <w:tc>
          <w:tcPr/>
          <w:p>
            <w:r>
              <w:t>0.013 / 0.057</w:t>
            </w:r>
          </w:p>
        </w:tc>
        <w:tc>
          <w:tcPr/>
          <w:p>
            <w:r>
              <w:t>0.042 / 0.051</w:t>
            </w:r>
          </w:p>
        </w:tc>
      </w:tr>
      <w:tr>
        <w:tc>
          <w:tcPr/>
          <w:p>
            <w:r>
              <w:t>hazard</w:t>
            </w:r>
          </w:p>
        </w:tc>
        <w:tc>
          <w:tcPr/>
          <w:p>
            <w:r>
              <w:t>0.044 / 0.075</w:t>
            </w:r>
          </w:p>
        </w:tc>
        <w:tc>
          <w:tcPr/>
          <w:p>
            <w:r>
              <w:t>0.027 / 0.068</w:t>
            </w:r>
          </w:p>
        </w:tc>
        <w:tc>
          <w:tcPr/>
          <w:p>
            <w:r>
              <w:t>0.044 / 0.060</w:t>
            </w:r>
          </w:p>
        </w:tc>
        <w:tc>
          <w:tcPr/>
          <w:p>
            <w:r>
              <w:t>0.026 / 0.051</w:t>
            </w:r>
          </w:p>
        </w:tc>
      </w:tr>
    </w:tbl>
    <w:p w:rsidR="0015244F" w:rsidRDefault="00A565B8">
      <w:pPr>
        <w:pStyle w:val="TableCaption"/>
        <w:spacing w:before="240" w:after="120" w:line="240" w:lineRule="auto"/>
        <w:jc w:val="center"/>
      </w:pPr>
      <w:r>
        <w:t>Table A.5 Sensitivity of every window chosen after the data were collected. Each is varied over a range bracketing the value used in Chapter 5, with everything else held fixed. The block-length and purge rows use fixed hyper-parameters (arm B), so their levels are comparable with each other and with Table 5.5, not with Table 5.3.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Window varied</w:t>
            </w:r>
          </w:p>
        </w:tc>
        <w:tc>
          <w:tcPr/>
          <w:p>
            <w:r>
              <w:t>Value</w:t>
            </w:r>
          </w:p>
        </w:tc>
        <w:tc>
          <w:tcPr/>
          <w:p>
            <w:r>
              <w:t>Quantity it governs</w:t>
            </w:r>
          </w:p>
        </w:tc>
        <w:tc>
          <w:tcPr/>
          <w:p>
            <w:r>
              <w:t>Result</w:t>
            </w:r>
          </w:p>
        </w:tc>
      </w:tr>
      <w:tr>
        <w:tc>
          <w:tcPr/>
          <w:p>
            <w:r>
              <w:t>Random-block length</w:t>
            </w:r>
          </w:p>
        </w:tc>
        <w:tc>
          <w:tcPr/>
          <w:p>
            <w:r>
              <w:t>60 s</w:t>
            </w:r>
          </w:p>
        </w:tc>
        <w:tc>
          <w:tcPr/>
          <w:p>
            <w:r>
              <w:t>1 s AUPRC vs LOCO</w:t>
            </w:r>
          </w:p>
        </w:tc>
        <w:tc>
          <w:tcPr/>
          <w:p>
            <w:r>
              <w:t>+17.6 %</w:t>
            </w:r>
          </w:p>
        </w:tc>
      </w:tr>
      <w:tr>
        <w:tc>
          <w:tcPr/>
          <w:p>
            <w:r>
              <w:t>Random-block length</w:t>
            </w:r>
          </w:p>
        </w:tc>
        <w:tc>
          <w:tcPr/>
          <w:p>
            <w:r>
              <w:t>120 s</w:t>
            </w:r>
          </w:p>
        </w:tc>
        <w:tc>
          <w:tcPr/>
          <w:p>
            <w:r>
              <w:t>1 s AUPRC vs LOCO</w:t>
            </w:r>
          </w:p>
        </w:tc>
        <w:tc>
          <w:tcPr/>
          <w:p>
            <w:r>
              <w:t>+8.1 %</w:t>
            </w:r>
          </w:p>
        </w:tc>
      </w:tr>
      <w:tr>
        <w:tc>
          <w:tcPr/>
          <w:p>
            <w:r>
              <w:t>Random-block length</w:t>
            </w:r>
          </w:p>
        </w:tc>
        <w:tc>
          <w:tcPr/>
          <w:p>
            <w:r>
              <w:t>180 s</w:t>
            </w:r>
          </w:p>
        </w:tc>
        <w:tc>
          <w:tcPr/>
          <w:p>
            <w:r>
              <w:t>1 s AUPRC vs LOCO</w:t>
            </w:r>
          </w:p>
        </w:tc>
        <w:tc>
          <w:tcPr/>
          <w:p>
            <w:r>
              <w:t>+15.6 %</w:t>
            </w:r>
          </w:p>
        </w:tc>
      </w:tr>
      <w:tr>
        <w:tc>
          <w:tcPr/>
          <w:p>
            <w:r>
              <w:t>Random-block length</w:t>
            </w:r>
          </w:p>
        </w:tc>
        <w:tc>
          <w:tcPr/>
          <w:p>
            <w:r>
              <w:t>240 s</w:t>
            </w:r>
          </w:p>
        </w:tc>
        <w:tc>
          <w:tcPr/>
          <w:p>
            <w:r>
              <w:t>1 s AUPRC vs LOCO</w:t>
            </w:r>
          </w:p>
        </w:tc>
        <w:tc>
          <w:tcPr/>
          <w:p>
            <w:r>
              <w:t>+5.9 %</w:t>
            </w:r>
          </w:p>
        </w:tc>
      </w:tr>
      <w:tr>
        <w:tc>
          <w:tcPr/>
          <w:p>
            <w:r>
              <w:t>Random-block length</w:t>
            </w:r>
          </w:p>
        </w:tc>
        <w:tc>
          <w:tcPr/>
          <w:p>
            <w:r>
              <w:t>300 s</w:t>
            </w:r>
          </w:p>
        </w:tc>
        <w:tc>
          <w:tcPr/>
          <w:p>
            <w:r>
              <w:t>1 s AUPRC vs LOCO</w:t>
            </w:r>
          </w:p>
        </w:tc>
        <w:tc>
          <w:tcPr/>
          <w:p>
            <w:r>
              <w:t>+7.2 %</w:t>
            </w:r>
          </w:p>
        </w:tc>
      </w:tr>
      <w:tr>
        <w:tc>
          <w:tcPr/>
          <w:p>
            <w:r>
              <w:t>Purge between blocked train and test</w:t>
            </w:r>
          </w:p>
        </w:tc>
        <w:tc>
          <w:tcPr/>
          <w:p>
            <w:r>
              <w:t>0 s</w:t>
            </w:r>
          </w:p>
        </w:tc>
        <w:tc>
          <w:tcPr/>
          <w:p>
            <w:r>
              <w:t>1 s AUPRC vs LOCO</w:t>
            </w:r>
          </w:p>
        </w:tc>
        <w:tc>
          <w:tcPr/>
          <w:p>
            <w:r>
              <w:t>+3.7 %</w:t>
            </w:r>
          </w:p>
        </w:tc>
      </w:tr>
      <w:tr>
        <w:tc>
          <w:tcPr/>
          <w:p>
            <w:r>
              <w:t>Purge between blocked train and test</w:t>
            </w:r>
          </w:p>
        </w:tc>
        <w:tc>
          <w:tcPr/>
          <w:p>
            <w:r>
              <w:t>30 s</w:t>
            </w:r>
          </w:p>
        </w:tc>
        <w:tc>
          <w:tcPr/>
          <w:p>
            <w:r>
              <w:t>1 s AUPRC vs LOCO</w:t>
            </w:r>
          </w:p>
        </w:tc>
        <w:tc>
          <w:tcPr/>
          <w:p>
            <w:r>
              <w:t>+3.1 %</w:t>
            </w:r>
          </w:p>
        </w:tc>
      </w:tr>
      <w:tr>
        <w:tc>
          <w:tcPr/>
          <w:p>
            <w:r>
              <w:t>Purge between blocked train and test</w:t>
            </w:r>
          </w:p>
        </w:tc>
        <w:tc>
          <w:tcPr/>
          <w:p>
            <w:r>
              <w:t>60 s</w:t>
            </w:r>
          </w:p>
        </w:tc>
        <w:tc>
          <w:tcPr/>
          <w:p>
            <w:r>
              <w:t>1 s AUPRC vs LOCO</w:t>
            </w:r>
          </w:p>
        </w:tc>
        <w:tc>
          <w:tcPr/>
          <w:p>
            <w:r>
              <w:t>+1.6 %</w:t>
            </w:r>
          </w:p>
        </w:tc>
      </w:tr>
      <w:tr>
        <w:tc>
          <w:tcPr/>
          <w:p>
            <w:r>
              <w:t>Purge between blocked train and test</w:t>
            </w:r>
          </w:p>
        </w:tc>
        <w:tc>
          <w:tcPr/>
          <w:p>
            <w:r>
              <w:t>90 s</w:t>
            </w:r>
          </w:p>
        </w:tc>
        <w:tc>
          <w:tcPr/>
          <w:p>
            <w:r>
              <w:t>1 s AUPRC vs LOCO</w:t>
            </w:r>
          </w:p>
        </w:tc>
        <w:tc>
          <w:tcPr/>
          <w:p>
            <w:r>
              <w:t>-4.1 %</w:t>
            </w:r>
          </w:p>
        </w:tc>
      </w:tr>
      <w:tr>
        <w:tc>
          <w:tcPr/>
          <w:p>
            <w:r>
              <w:t>Purge between blocked train and test</w:t>
            </w:r>
          </w:p>
        </w:tc>
        <w:tc>
          <w:tcPr/>
          <w:p>
            <w:r>
              <w:t>120 s</w:t>
            </w:r>
          </w:p>
        </w:tc>
        <w:tc>
          <w:tcPr/>
          <w:p>
            <w:r>
              <w:t>1 s AUPRC vs LOCO</w:t>
            </w:r>
          </w:p>
        </w:tc>
        <w:tc>
          <w:tcPr/>
          <w:p>
            <w:r>
              <w:t>-2.1 %</w:t>
            </w:r>
          </w:p>
        </w:tc>
      </w:tr>
      <w:tr>
        <w:tc>
          <w:tcPr/>
          <w:p>
            <w:r>
              <w:t>Purge between blocked train and test</w:t>
            </w:r>
          </w:p>
        </w:tc>
        <w:tc>
          <w:tcPr/>
          <w:p>
            <w:r>
              <w:t>180 s</w:t>
            </w:r>
          </w:p>
        </w:tc>
        <w:tc>
          <w:tcPr/>
          <w:p>
            <w:r>
              <w:t>1 s AUPRC vs LOCO</w:t>
            </w:r>
          </w:p>
        </w:tc>
        <w:tc>
          <w:tcPr/>
          <w:p>
            <w:r>
              <w:t>-5.6 %</w:t>
            </w:r>
          </w:p>
        </w:tc>
      </w:tr>
      <w:tr>
        <w:tc>
          <w:tcPr/>
          <w:p>
            <w:r>
              <w:t>Quiet / in-burst cutoff</w:t>
            </w:r>
          </w:p>
        </w:tc>
        <w:tc>
          <w:tcPr/>
          <w:p>
            <w:r>
              <w:t>5 s</w:t>
            </w:r>
          </w:p>
        </w:tc>
        <w:tc>
          <w:tcPr/>
          <w:p>
            <w:r>
              <w:t>1 s lift by stratum</w:t>
            </w:r>
          </w:p>
        </w:tc>
        <w:tc>
          <w:tcPr/>
          <w:p>
            <w:r>
              <w:t>2.57x vs 1.48x</w:t>
            </w:r>
          </w:p>
        </w:tc>
      </w:tr>
      <w:tr>
        <w:tc>
          <w:tcPr/>
          <w:p>
            <w:r>
              <w:t>Quiet / in-burst cutoff</w:t>
            </w:r>
          </w:p>
        </w:tc>
        <w:tc>
          <w:tcPr/>
          <w:p>
            <w:r>
              <w:t>10 s</w:t>
            </w:r>
          </w:p>
        </w:tc>
        <w:tc>
          <w:tcPr/>
          <w:p>
            <w:r>
              <w:t>1 s lift by stratum</w:t>
            </w:r>
          </w:p>
        </w:tc>
        <w:tc>
          <w:tcPr/>
          <w:p>
            <w:r>
              <w:t>2.62x vs 1.72x</w:t>
            </w:r>
          </w:p>
        </w:tc>
      </w:tr>
      <w:tr>
        <w:tc>
          <w:tcPr/>
          <w:p>
            <w:r>
              <w:t>Quiet / in-burst cutoff</w:t>
            </w:r>
          </w:p>
        </w:tc>
        <w:tc>
          <w:tcPr/>
          <w:p>
            <w:r>
              <w:t>15 s</w:t>
            </w:r>
          </w:p>
        </w:tc>
        <w:tc>
          <w:tcPr/>
          <w:p>
            <w:r>
              <w:t>1 s lift by stratum</w:t>
            </w:r>
          </w:p>
        </w:tc>
        <w:tc>
          <w:tcPr/>
          <w:p>
            <w:r>
              <w:t>2.80x vs 1.84x</w:t>
            </w:r>
          </w:p>
        </w:tc>
      </w:tr>
      <w:tr>
        <w:tc>
          <w:tcPr/>
          <w:p>
            <w:r>
              <w:t>Quiet / in-burst cutoff</w:t>
            </w:r>
          </w:p>
        </w:tc>
        <w:tc>
          <w:tcPr/>
          <w:p>
            <w:r>
              <w:t>20 s</w:t>
            </w:r>
          </w:p>
        </w:tc>
        <w:tc>
          <w:tcPr/>
          <w:p>
            <w:r>
              <w:t>1 s lift by stratum</w:t>
            </w:r>
          </w:p>
        </w:tc>
        <w:tc>
          <w:tcPr/>
          <w:p>
            <w:r>
              <w:t>3.19x vs 1.86x</w:t>
            </w:r>
          </w:p>
        </w:tc>
      </w:tr>
      <w:tr>
        <w:tc>
          <w:tcPr/>
          <w:p>
            <w:r>
              <w:t>Post-handover blank</w:t>
            </w:r>
          </w:p>
        </w:tc>
        <w:tc>
          <w:tcPr/>
          <w:p>
            <w:r>
              <w:t>0 s</w:t>
            </w:r>
          </w:p>
        </w:tc>
        <w:tc>
          <w:tcPr/>
          <w:p>
            <w:r>
              <w:t>1 s lift on the row set</w:t>
            </w:r>
          </w:p>
        </w:tc>
        <w:tc>
          <w:tcPr/>
          <w:p>
            <w:r>
              <w:t>2.10x on 10,236 rows</w:t>
            </w:r>
          </w:p>
        </w:tc>
      </w:tr>
      <w:tr>
        <w:tc>
          <w:tcPr/>
          <w:p>
            <w:r>
              <w:t>Post-handover blank</w:t>
            </w:r>
          </w:p>
        </w:tc>
        <w:tc>
          <w:tcPr/>
          <w:p>
            <w:r>
              <w:t>1 s</w:t>
            </w:r>
          </w:p>
        </w:tc>
        <w:tc>
          <w:tcPr/>
          <w:p>
            <w:r>
              <w:t>1 s lift on the row set</w:t>
            </w:r>
          </w:p>
        </w:tc>
        <w:tc>
          <w:tcPr/>
          <w:p>
            <w:r>
              <w:t>2.28x on 9,333 rows</w:t>
            </w:r>
          </w:p>
        </w:tc>
      </w:tr>
      <w:tr>
        <w:tc>
          <w:tcPr/>
          <w:p>
            <w:r>
              <w:t>Post-handover blank</w:t>
            </w:r>
          </w:p>
        </w:tc>
        <w:tc>
          <w:tcPr/>
          <w:p>
            <w:r>
              <w:t>2 s</w:t>
            </w:r>
          </w:p>
        </w:tc>
        <w:tc>
          <w:tcPr/>
          <w:p>
            <w:r>
              <w:t>1 s lift on the row set</w:t>
            </w:r>
          </w:p>
        </w:tc>
        <w:tc>
          <w:tcPr/>
          <w:p>
            <w:r>
              <w:t>2.31x on 8,586 rows</w:t>
            </w:r>
          </w:p>
        </w:tc>
      </w:tr>
      <w:tr>
        <w:tc>
          <w:tcPr/>
          <w:p>
            <w:r>
              <w:t>Post-handover blank</w:t>
            </w:r>
          </w:p>
        </w:tc>
        <w:tc>
          <w:tcPr/>
          <w:p>
            <w:r>
              <w:t>3 s</w:t>
            </w:r>
          </w:p>
        </w:tc>
        <w:tc>
          <w:tcPr/>
          <w:p>
            <w:r>
              <w:t>1 s lift on the row set</w:t>
            </w:r>
          </w:p>
        </w:tc>
        <w:tc>
          <w:tcPr/>
          <w:p>
            <w:r>
              <w:t>2.41x on 8,004 rows</w:t>
            </w:r>
          </w:p>
        </w:tc>
      </w:tr>
      <w:tr>
        <w:tc>
          <w:tcPr/>
          <w:p>
            <w:r>
              <w:t>Post-handover blank</w:t>
            </w:r>
          </w:p>
        </w:tc>
        <w:tc>
          <w:tcPr/>
          <w:p>
            <w:r>
              <w:t>5 s</w:t>
            </w:r>
          </w:p>
        </w:tc>
        <w:tc>
          <w:tcPr/>
          <w:p>
            <w:r>
              <w:t>1 s lift on the row set</w:t>
            </w:r>
          </w:p>
        </w:tc>
        <w:tc>
          <w:tcPr/>
          <w:p>
            <w:r>
              <w:t>2.55x on 7,074 rows</w:t>
            </w:r>
          </w:p>
        </w:tc>
      </w:tr>
    </w:tbl>
    <w:p w:rsidR="0015244F" w:rsidRDefault="00A565B8">
      <w:pPr>
        <w:pStyle w:val="TableCaption"/>
        <w:spacing w:before="240" w:after="120" w:line="240" w:lineRule="auto"/>
        <w:jc w:val="center"/>
      </w:pPr>
      <w:r>
        <w:t>Table A.6 Per-handover evidence for the delayed-refresh explanation of the alignment residual in Section 5.1. The explanation is a claim about individual handovers, so it is settled one handover at a time rather than asserted.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tblGrid>
      <w:tr>
        <w:tc>
          <w:tcPr/>
          <w:p>
            <w:r>
              <w:t>Quantity</w:t>
            </w:r>
          </w:p>
        </w:tc>
        <w:tc>
          <w:tcPr/>
          <w:p>
            <w:r>
              <w:t>Value</w:t>
            </w:r>
          </w:p>
        </w:tc>
      </w:tr>
      <w:tr>
        <w:tc>
          <w:tcPr/>
          <w:p>
            <w:r>
              <w:t>Handovers with a positive margin (row t predicted contaminated)</w:t>
            </w:r>
          </w:p>
        </w:tc>
        <w:tc>
          <w:tcPr/>
          <w:p>
            <w:r>
              <w:t>923</w:t>
            </w:r>
          </w:p>
        </w:tc>
      </w:tr>
      <w:tr>
        <w:tc>
          <w:tcPr/>
          <w:p>
            <w:r>
              <w:t>of which row t does carry the target</w:t>
            </w:r>
          </w:p>
        </w:tc>
        <w:tc>
          <w:tcPr/>
          <w:p>
            <w:r>
              <w:t>712</w:t>
            </w:r>
          </w:p>
        </w:tc>
      </w:tr>
      <w:tr>
        <w:tc>
          <w:tcPr/>
          <w:p>
            <w:r>
              <w:t>Residual: row t carries the source instead</w:t>
            </w:r>
          </w:p>
        </w:tc>
        <w:tc>
          <w:tcPr/>
          <w:p>
            <w:r>
              <w:t>211</w:t>
            </w:r>
          </w:p>
        </w:tc>
      </w:tr>
      <w:tr>
        <w:tc>
          <w:tcPr/>
          <w:p>
            <w:r>
              <w:t>of the residual, row t+1 carries the target</w:t>
            </w:r>
          </w:p>
        </w:tc>
        <w:tc>
          <w:tcPr/>
          <w:p>
            <w:r>
              <w:t>178 (84%)</w:t>
            </w:r>
          </w:p>
        </w:tc>
      </w:tr>
      <w:tr>
        <w:tc>
          <w:tcPr/>
          <w:p>
            <w:r>
              <w:t>Median margin, residual handovers</w:t>
            </w:r>
          </w:p>
        </w:tc>
        <w:tc>
          <w:tcPr/>
          <w:p>
            <w:r>
              <w:t>0.477 s</w:t>
            </w:r>
          </w:p>
        </w:tc>
      </w:tr>
      <w:tr>
        <w:tc>
          <w:tcPr/>
          <w:p>
            <w:r>
              <w:t>Median margin, contaminated handovers</w:t>
            </w:r>
          </w:p>
        </w:tc>
        <w:tc>
          <w:tcPr/>
          <w:p>
            <w:r>
              <w:t>0.522 s</w:t>
            </w:r>
          </w:p>
        </w:tc>
      </w:tr>
      <w:tr>
        <w:tc>
          <w:tcPr/>
          <w:p>
            <w:r/>
          </w:p>
        </w:tc>
        <w:tc>
          <w:tcPr/>
          <w:p>
            <w:r/>
          </w:p>
        </w:tc>
      </w:tr>
      <w:tr>
        <w:tc>
          <w:tcPr/>
          <w:p>
            <w:r>
              <w:t>Ten residual handovers, smallest margin first</w:t>
            </w:r>
          </w:p>
        </w:tc>
        <w:tc>
          <w:tcPr/>
          <w:p>
            <w:r/>
          </w:p>
        </w:tc>
      </w:tr>
      <w:tr>
        <w:tc>
          <w:tcPr/>
          <w:p>
            <w:r>
              <w:t>XCAL10Sept, δ = 0.999 s, margin 0.000 s</w:t>
            </w:r>
          </w:p>
        </w:tc>
        <w:tc>
          <w:tcPr/>
          <w:p>
            <w:r>
              <w:t>row t shows PCI 489, row t+1 shows PCI 380, target is PCI 380</w:t>
            </w:r>
          </w:p>
        </w:tc>
      </w:tr>
      <w:tr>
        <w:tc>
          <w:tcPr/>
          <w:p>
            <w:r>
              <w:t>XCAL10Sept, δ = 0.998 s, margin 0.001 s</w:t>
            </w:r>
          </w:p>
        </w:tc>
        <w:tc>
          <w:tcPr/>
          <w:p>
            <w:r>
              <w:t>row t shows PCI 27, row t+1 shows PCI 91, target is PCI 91</w:t>
            </w:r>
          </w:p>
        </w:tc>
      </w:tr>
      <w:tr>
        <w:tc>
          <w:tcPr/>
          <w:p>
            <w:r>
              <w:t>XCAL12Sept, δ = 0.998 s, margin 0.002 s</w:t>
            </w:r>
          </w:p>
        </w:tc>
        <w:tc>
          <w:tcPr/>
          <w:p>
            <w:r>
              <w:t>row t shows PCI 346, row t+1 shows PCI 38, target is PCI 38</w:t>
            </w:r>
          </w:p>
        </w:tc>
      </w:tr>
      <w:tr>
        <w:tc>
          <w:tcPr/>
          <w:p>
            <w:r>
              <w:t>XCAL10Sept, δ = 0.995 s, margin 0.004 s</w:t>
            </w:r>
          </w:p>
        </w:tc>
        <w:tc>
          <w:tcPr/>
          <w:p>
            <w:r>
              <w:t>row t shows PCI 13, row t+1 shows PCI 256, target is PCI 147</w:t>
            </w:r>
          </w:p>
        </w:tc>
      </w:tr>
      <w:tr>
        <w:tc>
          <w:tcPr/>
          <w:p>
            <w:r>
              <w:t>XCAL13Sept, δ = 0.995 s, margin 0.005 s</w:t>
            </w:r>
          </w:p>
        </w:tc>
        <w:tc>
          <w:tcPr/>
          <w:p>
            <w:r>
              <w:t>row t shows PCI 435, row t+1 shows PCI 303, target is PCI 303</w:t>
            </w:r>
          </w:p>
        </w:tc>
      </w:tr>
      <w:tr>
        <w:tc>
          <w:tcPr/>
          <w:p>
            <w:r>
              <w:t>XCAL13Sept, δ = 0.984 s, margin 0.015 s</w:t>
            </w:r>
          </w:p>
        </w:tc>
        <w:tc>
          <w:tcPr/>
          <w:p>
            <w:r>
              <w:t>row t shows PCI 30, row t+1 shows PCI 348, target is PCI 348</w:t>
            </w:r>
          </w:p>
        </w:tc>
      </w:tr>
      <w:tr>
        <w:tc>
          <w:tcPr/>
          <w:p>
            <w:r>
              <w:t>XCAL10Sept, δ = 0.980 s, margin 0.019 s</w:t>
            </w:r>
          </w:p>
        </w:tc>
        <w:tc>
          <w:tcPr/>
          <w:p>
            <w:r>
              <w:t>row t shows PCI 270, row t+1 shows PCI 280, target is PCI 280</w:t>
            </w:r>
          </w:p>
        </w:tc>
      </w:tr>
      <w:tr>
        <w:tc>
          <w:tcPr/>
          <w:p>
            <w:r>
              <w:t>XCAL15Sept, δ = 0.978 s, margin 0.022 s</w:t>
            </w:r>
          </w:p>
        </w:tc>
        <w:tc>
          <w:tcPr/>
          <w:p>
            <w:r>
              <w:t>row t shows PCI 39, row t+1 shows PCI 88, target is PCI 88</w:t>
            </w:r>
          </w:p>
        </w:tc>
      </w:tr>
      <w:tr>
        <w:tc>
          <w:tcPr/>
          <w:p>
            <w:r>
              <w:t>XCAL15Sept, δ = 0.975 s, margin 0.024 s</w:t>
            </w:r>
          </w:p>
        </w:tc>
        <w:tc>
          <w:tcPr/>
          <w:p>
            <w:r>
              <w:t>row t shows PCI 193, row t+1 shows PCI 292, target is PCI 292</w:t>
            </w:r>
          </w:p>
        </w:tc>
      </w:tr>
      <w:tr>
        <w:tc>
          <w:tcPr/>
          <w:p>
            <w:r>
              <w:t>XCAL10Sept, δ = 0.876 s, margin 0.026 s</w:t>
            </w:r>
          </w:p>
        </w:tc>
        <w:tc>
          <w:tcPr/>
          <w:p>
            <w:r>
              <w:t>row t shows PCI 280, row t+1 shows PCI 33, target is PCI 33</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The 112 features of the main set defined in Section 4.6 are organised as follows. No feature is filtered out: three of them (the missingness indicators for serving RSRP, RSRQ and SINR) are constant on this corpus, because those fields are never missing here, and a tree or a regularised linear model ignores a constant column without being told to. They are retained so that the feature set is defined by its construction rule rather than by this dataset. All rolling statistics are computed per drive over backward-looking windows closing at the prediction instant.</w:t>
      </w:r>
      <w:proofErr w:type="spellStart"/>
      <w:r/>
      <w:proofErr w:type="spellEnd"/>
      <w:r/>
    </w:p>
    <w:p w:rsidR="0015244F" w:rsidRDefault="00A565B8">
      <w:pPr>
        <w:ind w:firstLine="567"/>
        <w:jc w:val="both"/>
      </w:pPr>
      <w:r>
        <w:rPr>
          <w:b/>
          <w:bCs/>
        </w:rPr>
        <w:t>Radio block (83 features).</w:t>
      </w:r>
      <w:r>
        <w:t xml:space="preserve"> For each of ser</w:t>
      </w:r>
      <w:r>
        <w:t>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w:t>
      </w:r>
      <w:r>
        <w: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w:t>
      </w:r>
      <w:r>
        <w:t xml:space="preserve">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w:t>
      </w:r>
      <w:r>
        <w:t>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w:t>
      </w:r>
      <w:r>
        <w:t>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w:t>
      </w:r>
      <w:r>
        <w:t xml:space="preserve">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w:t>
      </w:r>
      <w:r>
        <w:t>y control; feature construction; long-format expansion for the hazard formulation; model fitting under the grouped rotation; calibration; conformal threshold certification; event-level scoring; transfer and external validation; and point-process fitting wi</w:t>
      </w:r>
      <w:r>
        <w:t>th residual testing.</w:t>
      </w:r>
    </w:p>
    <w:p w:rsidR="0015244F" w:rsidRDefault="00A565B8">
      <w:pPr>
        <w:ind w:firstLine="567"/>
        <w:jc w:val="both"/>
      </w:pPr>
      <w:r>
        <w:t xml:space="preserve">Two conventions are enforced throughout and are worth recording because they are the source of most reproduction failures in work of this kind. First, no stage may read a file written by a later stage, which makes the dependency order </w:t>
      </w:r>
      <w:r>
        <w:t xml:space="preserve">a directed acyclic graph that can be verified mechanically. Second, every table reported in Chapters 4 and 5 is regenerated from the stage outputs rather than transcribed, so that a change in an upstream stage propagates to the report rather than silently </w:t>
      </w:r>
      <w:r>
        <w:t>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w:t>
      </w:r>
      <w:r>
        <w:t>status of the highway result in Section 5.6 rests on that manifest.</w:t>
      </w:r>
    </w:p>
    <w:p w:rsidR="0015244F" w:rsidRDefault="00A565B8">
      <w:pPr>
        <w:ind w:firstLine="567"/>
        <w:jc w:val="both"/>
      </w:pPr>
      <w:r>
        <w:t>APPENDIX D</w:t>
      </w:r>
      <w:proofErr w:type="spellStart"/>
      <w:r/>
      <w:proofErr w:type="spellEnd"/>
      <w:r/>
      <w:r/>
    </w:p>
    <w:p w:rsidR="0015244F" w:rsidRDefault="00A565B8">
      <w:pPr>
        <w:pStyle w:val="Heading1"/>
        <w:ind w:firstLine="567"/>
        <w:jc w:val="both"/>
      </w:pPr>
      <w:r>
        <w:t>THE 22 AUDITED MODELS</w:t>
      </w:r>
      <w:proofErr w:type="spellStart"/>
      <w:r/>
      <w:proofErr w:type="spellEnd"/>
      <w:r/>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r/>
    </w:p>
    <w:p w:rsidR="0015244F" w:rsidRDefault="00A565B8">
      <w:pPr>
        <w:pStyle w:val="TableCaption"/>
        <w:ind w:firstLine="567"/>
        <w:jc w:val="both"/>
      </w:pPr>
      <w:r>
        <w:t>Table D.1 The 22 audited prediction models.</w:t>
      </w:r>
      <w:proofErr w:type="spellStart"/>
      <w:r/>
      <w:proofErr w:type="spellEnd"/>
      <w:r/>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5B8" w:rsidRDefault="00A565B8">
      <w:pPr>
        <w:spacing w:line="240" w:lineRule="auto"/>
      </w:pPr>
      <w:r>
        <w:separator/>
      </w:r>
    </w:p>
  </w:endnote>
  <w:endnote w:type="continuationSeparator" w:id="0">
    <w:p w:rsidR="00A565B8" w:rsidRDefault="00A5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15244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5B8" w:rsidRDefault="00A565B8">
      <w:pPr>
        <w:spacing w:line="240" w:lineRule="auto"/>
      </w:pPr>
      <w:r>
        <w:separator/>
      </w:r>
    </w:p>
  </w:footnote>
  <w:footnote w:type="continuationSeparator" w:id="0">
    <w:p w:rsidR="00A565B8" w:rsidRDefault="00A5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7722DA"/>
    <w:rsid w:val="00A5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846C"/>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95</Pages>
  <Words>22473</Words>
  <Characters>128098</Characters>
  <Application>Microsoft Office Word</Application>
  <DocSecurity>0</DocSecurity>
  <Lines>1067</Lines>
  <Paragraphs>300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2</cp:revision>
  <dcterms:created xsi:type="dcterms:W3CDTF">2026-09-16T10:52:00Z</dcterms:created>
  <dcterms:modified xsi:type="dcterms:W3CDTF">2026-09-17T08:10:00Z</dcterms:modified>
</cp:coreProperties>
</file>