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 xml:space="preserve">Islamic University of </w:t>
      </w:r>
      <w:r>
        <w:rPr>
          <w:sz w:val="28"/>
          <w:szCs w:val="28"/>
        </w:rPr>
        <w:t>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r/>
      <w:proofErr w:type="spellStart"/>
      <w:r/>
      <w:proofErr w:type="spellEnd"/>
      <w:r/>
    </w:p>
    <w:p w:rsidR="0015244F" w:rsidRDefault="00A565B8">
      <w:pPr>
        <w:ind w:firstLine="567"/>
        <w:jc w:val="both"/>
      </w:pPr>
      <w:r>
        <w:t xml:space="preserve">I further declare that neither this thesis nor any part </w:t>
      </w:r>
      <w:r>
        <w:t>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bookmarkStart w:id="0" w:name="_GoBack"/>
      <w:bookmarkEnd w:id="0"/>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w:t>
      </w:r>
      <w:r>
        <w:t>Student ID:</w:t>
      </w:r>
      <w:r>
        <w:t xml:space="preserve"> 210021308)</w:t>
      </w:r>
    </w:p>
    <w:p w:rsidR="007722DA" w:rsidRDefault="007722DA">
      <w:pPr>
        <w:jc w:val="center"/>
      </w:pPr>
      <w:r>
        <w:t xml:space="preserve">Evan </w:t>
      </w:r>
      <w:proofErr w:type="spellStart"/>
      <w:r>
        <w:t>Ashfaque</w:t>
      </w:r>
      <w:proofErr w:type="spellEnd"/>
      <w:r>
        <w:t xml:space="preserve"> (</w:t>
      </w:r>
      <w:r>
        <w:t>Student ID:</w:t>
      </w:r>
      <w:r>
        <w:t xml:space="preserve">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 xml:space="preserve">All praise is due to Allah, the Most Gracious and the Most </w:t>
      </w:r>
      <w:r>
        <w:t>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r/>
    </w:p>
    <w:p w:rsidR="0015244F" w:rsidRDefault="00A565B8">
      <w:pPr>
        <w:ind w:firstLine="567"/>
        <w:jc w:val="both"/>
      </w:pPr>
      <w:r>
        <w:t>I thank the Departm</w:t>
      </w:r>
      <w:r>
        <w:t>ent of Electrical and Electronic Engineering for providing access to the drive-test instrumentation without which none of the measurement campaigns reported here could have been conducted, and the faculty members whose questions during the progress present</w:t>
      </w:r>
      <w:r>
        <w: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r/>
      <w:proofErr w:type="spellStart"/>
      <w:r/>
      <w:proofErr w:type="spellEnd"/>
      <w:r/>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The task is posed as discrete-time survival: one model estimates per-interval hazards and horizon probabilities are products of hazards, so ordering holds by construction for any learner.</w:t>
      </w:r>
      <w:proofErr w:type="spellStart"/>
      <w:r/>
      <w:proofErr w:type="spellEnd"/>
      <w:r/>
      <w:r/>
      <w:proofErr w:type="spellStart"/>
      <w:r/>
      <w:proofErr w:type="spellEnd"/>
      <w:r/>
      <w:r/>
      <w:r/>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deployed A3 rule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w:t>
      </w:r>
      <w:r/>
      <w:r/>
      <w:r/>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Counted per trigger episode rather than per transmitted report, 30% of A3 episodes are not followed by a handover within two seconds, against 63% per report; the dominant mobility profile is declined on only 2.3% of its episodes.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r/>
      <w:proofErr w:type="spellStart"/>
      <w:r/>
      <w:proofErr w:type="spellEnd"/>
      <w:r/>
      <w:r/>
    </w:p>
    <w:p w:rsidR="0015244F" w:rsidRDefault="00A565B8">
      <w:pPr>
        <w:ind w:firstLine="567"/>
        <w:jc w:val="both"/>
      </w:pPr>
      <w:r>
        <w:rPr>
          <w:b/>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w:t>
      </w:r>
      <w:r>
        <w:rPr>
          <w:b/>
          <w:bCs/>
        </w:rPr>
        <w:t>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w:t>
      </w:r>
      <w:r>
        <w:t>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w:t>
      </w:r>
      <w:r>
        <w:t>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w:t>
      </w:r>
      <w:r>
        <w: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w:t>
      </w:r>
      <w:r>
        <w:t>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Risk control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per episode</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w:t>
      </w:r>
      <w:r>
        <w:tab/>
        <w:t>54</w:t>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w:t>
      </w:r>
      <w:r>
        <w:t>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r>
      <w:r>
        <w:rPr>
          <w:b/>
          <w:bCs/>
        </w:rPr>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r/>
      <w:proofErr w:type="spellStart"/>
      <w:r/>
      <w:proofErr w:type="spellEnd"/>
      <w:r/>
      <w:proofErr w:type="spellStart"/>
      <w:r/>
      <w:proofErr w:type="spellEnd"/>
      <w:r/>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r/>
    </w:p>
    <w:p w:rsidR="0015244F" w:rsidRDefault="00A565B8">
      <w:pPr>
        <w:tabs>
          <w:tab w:val="right" w:leader="dot" w:pos="9008"/>
        </w:tabs>
        <w:spacing w:after="80" w:line="240" w:lineRule="auto"/>
        <w:ind w:right="113"/>
      </w:pPr>
      <w:r>
        <w:t>Figure 5.1 The alignment audit. Share of handovers whose target cell is already the serving cell in the export row three, two and one seconds before the row whose second contains the handover command (t), and one second after it.</w:t>
      </w:r>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r/>
    </w:p>
    <w:p w:rsidR="0015244F" w:rsidRDefault="00A565B8">
      <w:pPr>
        <w:tabs>
          <w:tab w:val="right" w:leader="dot" w:pos="9008"/>
        </w:tabs>
        <w:spacing w:after="80" w:line="240" w:lineRule="auto"/>
        <w:ind w:right="113"/>
      </w:pPr>
      <w:r>
        <w:t>Figure 5.14 A3 report conversion under two units. Counting transmitted reports counts periodic re-reports of one trigger; counting trigger episodes does not.</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r/>
    </w:p>
    <w:p w:rsidR="0015244F" w:rsidRDefault="00A565B8">
      <w:pPr>
        <w:tabs>
          <w:tab w:val="right" w:leader="dot" w:pos="9008"/>
        </w:tabs>
        <w:spacing w:after="80" w:line="240" w:lineRule="auto"/>
        <w:ind w:right="113"/>
      </w:pPr>
      <w:r>
        <w:t>Table 4.3 Feature blocks, their source and their alignment.</w:t>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proofErr w:type="spellStart"/>
      <w:r/>
      <w:proofErr w:type="spellEnd"/>
      <w:r/>
      <w:r/>
      <w:r/>
    </w:p>
    <w:p w:rsidR="0015244F" w:rsidRDefault="00A565B8">
      <w:pPr>
        <w:tabs>
          <w:tab w:val="right" w:leader="dot" w:pos="9008"/>
        </w:tabs>
        <w:spacing w:after="80" w:line="240" w:lineRule="auto"/>
        <w:ind w:right="113"/>
      </w:pPr>
      <w:r>
        <w:t>Table 5.2 What the one-row lag costs, with everything else held fixed.</w:t>
      </w:r>
      <w:r/>
    </w:p>
    <w:p w:rsidR="0015244F" w:rsidRDefault="00A565B8">
      <w:pPr>
        <w:tabs>
          <w:tab w:val="right" w:leader="dot" w:pos="9008"/>
        </w:tabs>
        <w:spacing w:after="80" w:line="240" w:lineRule="auto"/>
        <w:ind w:right="113"/>
      </w:pPr>
      <w:r>
        <w:t>Table 5.3 Out-of-fold performance of LightGBM under the hazard formulation, leave-one-campaign-out. Intervals are block-bootstrapped over 180 s blocks and are conditional on these four sessions.</w:t>
      </w:r>
      <w:r/>
      <w:r/>
    </w:p>
    <w:p w:rsidR="0015244F" w:rsidRDefault="00A565B8">
      <w:pPr>
        <w:tabs>
          <w:tab w:val="right" w:leader="dot" w:pos="9008"/>
        </w:tabs>
        <w:spacing w:after="80" w:line="240" w:lineRule="auto"/>
        <w:ind w:right="113"/>
      </w:pPr>
      <w:r>
        <w:t>Table 5.4 Every learner under identical folds, features, formulation and tuning budget.</w:t>
      </w:r>
      <w:r/>
    </w:p>
    <w:p w:rsidR="0015244F" w:rsidRDefault="00A565B8">
      <w:pPr>
        <w:tabs>
          <w:tab w:val="right" w:leader="dot" w:pos="9008"/>
        </w:tabs>
        <w:spacing w:after="80" w:line="240" w:lineRule="auto"/>
        <w:ind w:right="113"/>
      </w:pPr>
      <w:r>
        <w:t>Table 5.5 One-second AUPRC under four splitting protocols, with all else held fixed.</w:t>
      </w:r>
      <w:r/>
    </w:p>
    <w:p w:rsidR="0015244F" w:rsidRDefault="00A565B8">
      <w:pPr>
        <w:tabs>
          <w:tab w:val="right" w:leader="dot" w:pos="9008"/>
        </w:tabs>
        <w:spacing w:after="80" w:line="240" w:lineRule="auto"/>
        <w:ind w:right="113"/>
      </w:pPr>
      <w:r>
        <w:t>Table 5.6 Horizon coherence and calibration for the hazard formulation and its four controls.</w:t>
      </w:r>
      <w:r/>
    </w:p>
    <w:p w:rsidR="0015244F" w:rsidRDefault="00A565B8">
      <w:pPr>
        <w:tabs>
          <w:tab w:val="right" w:leader="dot" w:pos="9008"/>
        </w:tabs>
        <w:spacing w:after="80" w:line="240" w:lineRule="auto"/>
        <w:ind w:right="113"/>
      </w:pPr>
      <w:r>
        <w:t>Table 5.7 Conformal risk control at the one-second horizon, in the exchangeable regime and across campaigns.</w:t>
      </w:r>
      <w:r/>
    </w:p>
    <w:p w:rsidR="0015244F" w:rsidRDefault="00A565B8">
      <w:pPr>
        <w:tabs>
          <w:tab w:val="right" w:leader="dot" w:pos="9008"/>
        </w:tabs>
        <w:spacing w:after="80" w:line="240" w:lineRule="auto"/>
        <w:ind w:right="113"/>
      </w:pPr>
      <w:r>
        <w:t>Table 5.8 Leave-one-campaign-out performance at the one-second horizon.</w:t>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w:t>
      </w:r>
      <w:r/>
    </w:p>
    <w:p w:rsidR="0015244F" w:rsidRDefault="00A565B8">
      <w:pPr>
        <w:tabs>
          <w:tab w:val="right" w:leader="dot" w:pos="9008"/>
        </w:tabs>
        <w:spacing w:after="80" w:line="240" w:lineRule="auto"/>
        <w:ind w:right="113"/>
      </w:pPr>
      <w:r>
        <w:t>Table 5.11 Performance inside and outside handover bursts.</w:t>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four definitions.</w:t>
      </w:r>
      <w:r/>
    </w:p>
    <w:p w:rsidR="0015244F" w:rsidRDefault="00A565B8">
      <w:pPr>
        <w:tabs>
          <w:tab w:val="right" w:leader="dot" w:pos="9008"/>
        </w:tabs>
        <w:spacing w:after="80" w:line="240" w:lineRule="auto"/>
        <w:ind w:right="113"/>
      </w:pPr>
      <w:r>
        <w:t>Table 5.14 Ping-pong rate by carrier relationship and mobility regime.</w:t>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5.5 Conformal risk-control frontier. The certified target is the bound on the expected per-drive miss rate; the alar</w:t>
      </w:r>
      <w:r>
        <w:t xml:space="preserve">m rate and </w:t>
      </w:r>
      <w:proofErr w:type="spellStart"/>
      <w:r>
        <w:t>realised</w:t>
      </w:r>
      <w:proofErr w:type="spellEnd"/>
      <w:r>
        <w:t xml:space="preserve"> miss rate are measured on held-out drives.</w:t>
      </w:r>
      <w:r>
        <w:tab/>
        <w:t>43</w:t>
      </w:r>
    </w:p>
    <w:p w:rsidR="0015244F" w:rsidRDefault="00A565B8">
      <w:pPr>
        <w:tabs>
          <w:tab w:val="right" w:leader="dot" w:pos="9008"/>
        </w:tabs>
        <w:spacing w:after="80" w:line="240" w:lineRule="auto"/>
        <w:ind w:right="113"/>
      </w:pPr>
      <w:r>
        <w:t>Table 5.6 Leave-one-campaign-out performance at the one-second horizon. Each row is trained on the other three campaigns and tested on the campaign named.</w:t>
      </w:r>
      <w:r>
        <w:tab/>
        <w:t>44</w:t>
      </w:r>
    </w:p>
    <w:p w:rsidR="0015244F" w:rsidRDefault="00A565B8">
      <w:pPr>
        <w:tabs>
          <w:tab w:val="right" w:leader="dot" w:pos="9008"/>
        </w:tabs>
        <w:spacing w:after="80" w:line="240" w:lineRule="auto"/>
        <w:ind w:right="113"/>
      </w:pPr>
      <w:r>
        <w:t>Table 5.7 External validation at</w:t>
      </w:r>
      <w:r>
        <w:t xml:space="preserve"> the one-second horizon on an independently collected public drive-test dataset.</w:t>
      </w:r>
      <w:r>
        <w:tab/>
        <w:t>45</w:t>
      </w:r>
    </w:p>
    <w:p w:rsidR="0015244F" w:rsidRDefault="00A565B8">
      <w:pPr>
        <w:tabs>
          <w:tab w:val="right" w:leader="dot" w:pos="9008"/>
        </w:tabs>
        <w:spacing w:after="80" w:line="240" w:lineRule="auto"/>
        <w:ind w:right="113"/>
      </w:pPr>
      <w:r>
        <w:t>Table 5.8 Single-feature AUROC at the one-second horizon. Each feature is evaluated on its own.</w:t>
      </w:r>
      <w:r>
        <w:tab/>
        <w:t>46</w:t>
      </w:r>
    </w:p>
    <w:p w:rsidR="0015244F" w:rsidRDefault="00A565B8">
      <w:pPr>
        <w:tabs>
          <w:tab w:val="right" w:leader="dot" w:pos="9008"/>
        </w:tabs>
        <w:spacing w:after="80" w:line="240" w:lineRule="auto"/>
        <w:ind w:right="113"/>
      </w:pPr>
      <w:r>
        <w:t>Table 5.9 Event A3 report-conversion rate by campaign. The figure reported is the fraction of A3 reports not followed by a handover command within two seconds.</w:t>
      </w:r>
      <w:r>
        <w:tab/>
        <w:t>48</w:t>
      </w:r>
    </w:p>
    <w:p w:rsidR="0015244F" w:rsidRDefault="00A565B8">
      <w:pPr>
        <w:tabs>
          <w:tab w:val="right" w:leader="dot" w:pos="9008"/>
        </w:tabs>
        <w:spacing w:after="80" w:line="240" w:lineRule="auto"/>
        <w:ind w:right="113"/>
      </w:pPr>
      <w:r>
        <w:t xml:space="preserve">Table 5.10 </w:t>
      </w:r>
      <w:proofErr w:type="gramStart"/>
      <w:r>
        <w:t>The</w:t>
      </w:r>
      <w:proofErr w:type="gramEnd"/>
      <w:r>
        <w:t xml:space="preserve"> ping-pong rate on one fixed set of handovers under four definitions.</w:t>
      </w:r>
      <w:r>
        <w:tab/>
        <w:t>50</w:t>
      </w:r>
    </w:p>
    <w:p w:rsidR="0015244F" w:rsidRDefault="00A565B8">
      <w:pPr>
        <w:tabs>
          <w:tab w:val="right" w:leader="dot" w:pos="9008"/>
        </w:tabs>
        <w:spacing w:after="80" w:line="240" w:lineRule="auto"/>
        <w:ind w:right="113"/>
      </w:pPr>
      <w:r>
        <w:t xml:space="preserve">Table </w:t>
      </w:r>
      <w:r>
        <w:t>5.11 Ping-pong rate by carrier relationship, configuration profile and mobility regime.</w:t>
      </w:r>
      <w:r>
        <w:tab/>
        <w:t>51</w:t>
      </w:r>
    </w:p>
    <w:p w:rsidR="0015244F" w:rsidRDefault="00A565B8">
      <w:pPr>
        <w:tabs>
          <w:tab w:val="right" w:leader="dot" w:pos="9008"/>
        </w:tabs>
        <w:spacing w:after="80" w:line="240" w:lineRule="auto"/>
        <w:ind w:right="113"/>
      </w:pPr>
      <w:r>
        <w:t>Table 5.12 Approaches implemented and measured that produced no improvement.</w:t>
      </w:r>
      <w:r>
        <w:tab/>
        <w:t>54</w:t>
      </w:r>
    </w:p>
    <w:p w:rsidR="0015244F" w:rsidRDefault="00A565B8">
      <w:pPr>
        <w:tabs>
          <w:tab w:val="right" w:leader="dot" w:pos="9008"/>
        </w:tabs>
        <w:spacing w:after="80" w:line="240" w:lineRule="auto"/>
        <w:ind w:right="113"/>
      </w:pPr>
      <w:r>
        <w:t>Table 6.1 Course outcomes addressed in this project.</w:t>
      </w:r>
      <w:r>
        <w:tab/>
        <w:t>58</w:t>
      </w:r>
    </w:p>
    <w:p w:rsidR="0015244F" w:rsidRDefault="00A565B8">
      <w:pPr>
        <w:tabs>
          <w:tab w:val="right" w:leader="dot" w:pos="9008"/>
        </w:tabs>
        <w:spacing w:after="80" w:line="240" w:lineRule="auto"/>
        <w:ind w:right="113"/>
      </w:pPr>
      <w:r>
        <w:t xml:space="preserve">Table 6.2 Aspects of program </w:t>
      </w:r>
      <w:r>
        <w:t>outcomes addressed, with the evidencing section.</w:t>
      </w:r>
      <w:r>
        <w:tab/>
        <w:t>59</w:t>
      </w:r>
    </w:p>
    <w:p w:rsidR="0015244F" w:rsidRDefault="00A565B8">
      <w:pPr>
        <w:tabs>
          <w:tab w:val="right" w:leader="dot" w:pos="9008"/>
        </w:tabs>
        <w:spacing w:after="80" w:line="240" w:lineRule="auto"/>
        <w:ind w:right="113"/>
      </w:pPr>
      <w:r>
        <w:t>Table 6.3 Knowledge profiles addressed, with justification.</w:t>
      </w:r>
      <w:r>
        <w:tab/>
        <w:t>60</w:t>
      </w:r>
    </w:p>
    <w:p w:rsidR="0015244F" w:rsidRDefault="00A565B8">
      <w:pPr>
        <w:tabs>
          <w:tab w:val="right" w:leader="dot" w:pos="9008"/>
        </w:tabs>
        <w:spacing w:after="80" w:line="240" w:lineRule="auto"/>
        <w:ind w:right="113"/>
      </w:pPr>
      <w:r>
        <w:t xml:space="preserve">Table 6.4 </w:t>
      </w:r>
      <w:proofErr w:type="gramStart"/>
      <w:r>
        <w:t>Attributes</w:t>
      </w:r>
      <w:proofErr w:type="gramEnd"/>
      <w:r>
        <w:t xml:space="preserve"> of complex engineering problem solving addressed.</w:t>
      </w:r>
      <w:r>
        <w:tab/>
        <w:t>62</w:t>
      </w:r>
    </w:p>
    <w:p w:rsidR="0015244F" w:rsidRDefault="00A565B8">
      <w:pPr>
        <w:tabs>
          <w:tab w:val="right" w:leader="dot" w:pos="9008"/>
        </w:tabs>
        <w:spacing w:after="80" w:line="240" w:lineRule="auto"/>
        <w:ind w:right="113"/>
      </w:pPr>
      <w:r>
        <w:t xml:space="preserve">Table 6.5 </w:t>
      </w:r>
      <w:proofErr w:type="gramStart"/>
      <w:r>
        <w:t>Attributes</w:t>
      </w:r>
      <w:proofErr w:type="gramEnd"/>
      <w:r>
        <w:t xml:space="preserve"> of complex engineering activities addressed.</w:t>
      </w:r>
      <w:r>
        <w:tab/>
        <w:t>6</w:t>
      </w:r>
      <w:r>
        <w:t>3</w:t>
      </w:r>
    </w:p>
    <w:p w:rsidR="0015244F" w:rsidRDefault="00A565B8">
      <w:pPr>
        <w:tabs>
          <w:tab w:val="right" w:leader="dot" w:pos="9008"/>
        </w:tabs>
        <w:spacing w:after="80" w:line="240" w:lineRule="auto"/>
        <w:ind w:right="113"/>
      </w:pPr>
      <w:r>
        <w:t>Table 6.6 Resource and cost summary for the project.</w:t>
      </w:r>
      <w:r>
        <w:tab/>
        <w:t>64</w:t>
      </w:r>
    </w:p>
    <w:p w:rsidR="0015244F" w:rsidRDefault="00A565B8">
      <w:pPr>
        <w:tabs>
          <w:tab w:val="right" w:leader="dot" w:pos="9008"/>
        </w:tabs>
        <w:spacing w:after="80" w:line="240" w:lineRule="auto"/>
        <w:ind w:right="113"/>
      </w:pPr>
      <w:r>
        <w:lastRenderedPageBreak/>
        <w:t>Table A.1 Complete per-horizon results for all seven learners under the grouped-drive rotation. AUPRC is reported with its prevalence floor; lift is AUPRC divided by prevalence.</w:t>
      </w:r>
      <w:r>
        <w:tab/>
        <w:t>71</w:t>
      </w:r>
    </w:p>
    <w:p w:rsidR="0015244F" w:rsidRDefault="00A565B8">
      <w:pPr>
        <w:tabs>
          <w:tab w:val="right" w:leader="dot" w:pos="9008"/>
        </w:tabs>
        <w:spacing w:after="80" w:line="240" w:lineRule="auto"/>
        <w:ind w:right="113"/>
      </w:pPr>
      <w:r>
        <w:t>Table A.2 Event-l</w:t>
      </w:r>
      <w:r>
        <w:t>evel operating characteristics of the primary model at the certified operating point of Section 5.5.</w:t>
      </w:r>
      <w:r>
        <w:tab/>
        <w:t>71</w:t>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r/>
      <w:proofErr w:type="spellStart"/>
      <w:r/>
      <w:proofErr w:type="spellEnd"/>
      <w:r/>
      <w:r/>
    </w:p>
    <w:p w:rsidR="0015244F" w:rsidRDefault="00A565B8">
      <w:pPr>
        <w:ind w:firstLine="567"/>
        <w:jc w:val="both"/>
      </w:pPr>
      <w:r>
        <w:t>This chapter states the problem the thesis addresses, the reason it is worth addressing, and the objectives against whic</w:t>
      </w:r>
      <w:r>
        <w:t>h the work should be judged. Section 1.1 describes how handover is triggered in Long Term Evolution (LTE) and why the triggering rule is structurally incapable of providing advance warning. Section 1.2 quantifies the cost of that limitation on measured dat</w:t>
      </w:r>
      <w:r>
        <w:t xml:space="preserve">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In an LTE networ</w:t>
      </w:r>
      <w:r>
        <w:t xml:space="preserve">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w:t>
      </w:r>
      <w:r>
        <w:t xml:space="preserve">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w:t>
      </w:r>
      <w:r>
        <w:t>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w:t>
      </w:r>
      <w:r>
        <w:rPr>
          <w:i/>
          <w:iCs/>
        </w:rPr>
        <w:t>ecome</w:t>
      </w:r>
      <w:r>
        <w:t xml:space="preserve"> better before anything </w:t>
      </w:r>
      <w:r>
        <w:lastRenderedPageBreak/>
        <w:t>happens. Second, the TTT imposes an additional delay whose purpose is to suppress spurious triggering caused by fast fading. Together they guarantee that by the time a measurement report leaves the handset, the radio environmen</w:t>
      </w:r>
      <w:r>
        <w:t xml:space="preserve">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Figure 1.1 draws that sequence against a measured</w:t>
      </w:r>
      <w:r>
        <w:t xml:space="preserve">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w:t>
      </w:r>
      <w:r>
        <w:t xml:space="preserve"> does not provide, and what an increasingly latency-sensitive service mix increasingly wants, is advance notice: an indication, one or two seconds before the fact, that a handover is imminent, so that the target cell can be prepared, the transmission sched</w:t>
      </w:r>
      <w:r>
        <w:t>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and 30% of those episodes are not followed by a handover command within two seconds.</w:t>
      </w:r>
      <w:proofErr w:type="spellStart"/>
      <w:r/>
      <w:proofErr w:type="spellEnd"/>
      <w:r/>
      <w:proofErr w:type="spellStart"/>
      <w:r/>
      <w:proofErr w:type="spellEnd"/>
      <w:r/>
      <w:r/>
      <w:proofErr w:type="spellStart"/>
      <w:r/>
      <w:proofErr w:type="spellEnd"/>
      <w:r/>
      <w:r/>
      <w:r/>
    </w:p>
    <w:p w:rsidR="0015244F" w:rsidRDefault="00A565B8">
      <w:pPr>
        <w:ind w:firstLine="567"/>
        <w:jc w:val="both"/>
      </w:pPr>
      <w:r>
        <w:t xml:space="preserve">These are not pathological numbers for a dense urban deployment; they are what the deployed configuration produces. They do, however, establish </w:t>
      </w:r>
      <w:r>
        <w:t>that even a short prediction horizon has something to act on. A warning one second ahead of a handover command is sufficient time for the network to complete target-cell preparation, and a warning that a handover is likely to be reversed within fifteen sec</w:t>
      </w:r>
      <w:r>
        <w:t>onds is sufficient information to consider not performing it.</w:t>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r/>
      <w:proofErr w:type="spellStart"/>
      <w:r/>
      <w:proofErr w:type="spellEnd"/>
      <w:r/>
      <w:r/>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w:t>
      </w:r>
      <w:r>
        <w:t>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w:t>
      </w:r>
      <w:r>
        <w:t xml:space="preserve">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of handovers it will miss on future units;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w:t>
      </w:r>
      <w:r>
        <w:t>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w:t>
      </w:r>
      <w:r>
        <w:t>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w:t>
      </w:r>
      <w:r>
        <w:t>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w:t>
      </w:r>
      <w:r>
        <w:t>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w:t>
      </w:r>
      <w:r>
        <w:t>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 xml:space="preserve">The study covers one commercial LTE operator, four measurement days, two mobility regimes and 57 drives. It does not </w:t>
      </w:r>
      <w:r>
        <w:t>claim that the numerical results transfer to another operator or another radio access technology, although Chapter 5 reports an external validation that bears on that question. The measurement export is sampled at one hertz, which caps the fraction of hand</w:t>
      </w:r>
      <w:r>
        <w:t>over events that can in principle be resolved at 90.5 %; this is a property of the instrument and not of the models.</w:t>
      </w:r>
    </w:p>
    <w:p w:rsidR="0015244F" w:rsidRDefault="00A565B8">
      <w:pPr>
        <w:ind w:firstLine="567"/>
        <w:jc w:val="both"/>
      </w:pPr>
      <w:r>
        <w:t>The system developed here is an offline predictor evaluated on recorded data. It is not integrated into a network, and no claim is made tha</w:t>
      </w:r>
      <w:r>
        <w:t xml:space="preserve">t deploying it would improve any network key performance indicator. In particular, no causal claim is made about the benefit of acting on the warning, for the reason given in Chapter 5: the logging policy is deterministic, so the propensities required for </w:t>
      </w:r>
      <w:r>
        <w:t xml:space="preserve">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w:t>
      </w:r>
      <w:r>
        <w:t>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five,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and a measurement of what it is worth.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audit is three lines of code and is reproducible on any export that carries a serving-cell column.</w:t>
      </w:r>
      <w:r>
        <w:rPr>
          <w:b/>
          <w:bCs/>
        </w:rPr>
      </w:r>
      <w:r>
        <w:rPr>
          <w:b/>
          <w:bCs/>
        </w:rPr>
      </w:r>
      <w:r/>
      <w:r/>
    </w:p>
    <w:p w:rsidR="0015244F" w:rsidRDefault="00A565B8">
      <w:pPr>
        <w:ind w:firstLine="567"/>
        <w:jc w:val="both"/>
      </w:pPr>
      <w:r>
        <w:t>2.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r/>
    </w:p>
    <w:p w:rsidR="0015244F" w:rsidRDefault="00A565B8">
      <w:pPr>
        <w:ind w:firstLine="567"/>
        <w:jc w:val="both"/>
      </w:pPr>
      <w:r>
        <w:t>3.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comparison is reported against the repairs a reviewer would ask for — a cumulative-maximum projection, and isotonic calibration composed with it — which also reach zero violations, so the argument for the formulation rests on reaching coherence and competitive calibration from one fit and with no held-out calibration split.</w:t>
      </w:r>
      <w:r>
        <w:rPr>
          <w:b/>
          <w:bCs/>
        </w:rPr>
      </w:r>
      <w:r/>
    </w:p>
    <w:p w:rsidR="0015244F" w:rsidRDefault="00A565B8">
      <w:pPr>
        <w:ind w:firstLine="567"/>
        <w:jc w:val="both"/>
      </w:pPr>
      <w:r>
        <w:t>4. A distribution-free risk guarantee whose exchangeable unit is stated and tested in both the regime where it holds and the regime where it does not: calibration and test units drawn from the same pool of chunks, and calibration on one campaign with the guarantee claimed for another. The campaign-design floor that follows — the number of calibration units bounds the tightest expressible miss rate — is a direct corollary of the conformal risk control bound [21] rather than a new result, and is reported as such.</w:t>
      </w:r>
      <w:r>
        <w:rPr>
          <w:b/>
          <w:bCs/>
        </w:rPr>
      </w:r>
      <w:proofErr w:type="spellStart"/>
      <w:r>
        <w:rPr>
          <w:b/>
          <w:bCs/>
        </w:rPr>
      </w:r>
      <w:proofErr w:type="spellEnd"/>
      <w:r>
        <w:rPr>
          <w:b/>
          <w:bCs/>
        </w:rPr>
      </w:r>
      <w:r/>
      <w:r/>
    </w:p>
    <w:p w:rsidR="0015244F" w:rsidRDefault="00A565B8">
      <w:pPr>
        <w:ind w:firstLine="567"/>
        <w:jc w:val="both"/>
      </w:pPr>
      <w:r>
        <w:t>5. Two corrected characterisations of the deployed network that the prediction literature has not modelled: the A3 report-conversion rate measured per trigger episode (30% declined within two seconds, against 63% when periodic re-reports are counted individually), and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The r</w:t>
      </w:r>
      <w:r>
        <w:t xml:space="preserve">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w:t>
      </w:r>
      <w:r>
        <w:t xml:space="preserve">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w:t>
      </w:r>
      <w:r>
        <w:t xml:space="preserve"> dataset. Chapter 4 develops the predictive formulation, the feature construction, the models compared, the evaluation protocol and the risk-control procedure. Chapter 5 reports and discusses the results against the objectives of Section 1.4. Chapter 6 dem</w:t>
      </w:r>
      <w:r>
        <w:t>onstrates how the work addresses the course outcomes, program outcomes, knowledge profiles and complex engineering problem and activity attributes required of a capstone project. Chapter 7 concludes and identifies the work that follows from the limits of t</w:t>
      </w:r>
      <w:r>
        <w: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w:t>
      </w:r>
      <w:r>
        <w:t>iterature builds predictors, but predominantly on simulated data and predominantly without an evaluation protocol that would survive scrutiny. The survival-analysis and point-process literatures supply exactly the right mathematical objects — a discrete-ti</w:t>
      </w:r>
      <w:r>
        <w:t xml:space="preserve">me hazard and a self-exciting process validated by time rescaling — but have not been directed at mobility data. The distribution-free uncertainty literature supplies guarantees, but for signal-processing tasks whose exchangeability structure differs from </w:t>
      </w:r>
      <w:r>
        <w:t>that of an event stream recorded along a drive.</w:t>
      </w:r>
    </w:p>
    <w:p w:rsidR="0015244F" w:rsidRDefault="00A565B8">
      <w:pPr>
        <w:ind w:firstLine="567"/>
        <w:jc w:val="both"/>
      </w:pPr>
      <w:r>
        <w:t xml:space="preserve">This chapter reviews each in turn, then presents a quantitative audit of the 22 most comparable prediction models, states the research gap that the audit establishes, and describes the methodology adopted in </w:t>
      </w:r>
      <w:r>
        <w:t>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The mobility procedure in E-UTRAN is specified in 3GPP TS 36.331 [1] and described at system level in TS 36.300 [2]. The network configures th</w:t>
      </w:r>
      <w:r>
        <w:t xml:space="preserve">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w:t>
      </w:r>
      <w:r>
        <w:t>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w:t>
      </w:r>
      <w:r>
        <w:t>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w:t>
      </w:r>
      <w:r>
        <w:t xml:space="preserv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w:t>
      </w:r>
      <w:r>
        <w:t xml:space="preser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w:t>
      </w:r>
      <w:r>
        <w:t>book values is therefore assuming something it has not checked. Third, because the condition is defined on a state that must already obtain and must then persist, the earliest instant at which Event A3 can produce any output is strictly after the radio env</w:t>
      </w:r>
      <w:r>
        <w:t>ironment has changed.</w:t>
      </w:r>
    </w:p>
    <w:p w:rsidR="0015244F" w:rsidRDefault="00A565B8">
      <w:pPr>
        <w:pStyle w:val="Heading2"/>
        <w:spacing w:before="360" w:after="140"/>
      </w:pPr>
      <w:r>
        <w:t>2.2 The measurement literature</w:t>
      </w:r>
    </w:p>
    <w:p w:rsidR="0015244F"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r/>
      <w:proofErr w:type="spellStart"/>
      <w:r/>
      <w:proofErr w:type="spellEnd"/>
      <w:r/>
      <w:r/>
      <w:proofErr w:type="spellStart"/>
      <w:r/>
      <w:r/>
      <w:proofErr w:type="spellEnd"/>
      <w:r/>
    </w:p>
    <w:p w:rsidR="0015244F" w:rsidRDefault="00A565B8">
      <w:pPr>
        <w:ind w:firstLine="567"/>
        <w:jc w:val="both"/>
      </w:pPr>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the +1 dB profile, so the two findings are less far apart than a table of configurations suggests.</w:t>
      </w:r>
      <w:proofErr w:type="spellStart"/>
      <w:r/>
      <w:proofErr w:type="spellEnd"/>
      <w:r/>
      <w:r/>
      <w:proofErr w:type="spellStart"/>
      <w:r/>
      <w:proofErr w:type="spellEnd"/>
      <w:r/>
      <w:proofErr w:type="spellStart"/>
      <w:r/>
      <w:proofErr w:type="spellEnd"/>
      <w:r/>
      <w:r/>
      <w:proofErr w:type="spellStart"/>
      <w:r/>
      <w:proofErr w:type="spellEnd"/>
      <w:r/>
      <w:proofErr w:type="spellStart"/>
      <w:r/>
      <w:proofErr w:type="spellEnd"/>
    </w:p>
    <w:p w:rsidR="0015244F" w:rsidRDefault="00A565B8">
      <w:pPr>
        <w:ind w:firstLine="567"/>
        <w:jc w:val="both"/>
      </w:pPr>
      <w:r>
        <w:t xml:space="preserve">What this literature does not do </w:t>
      </w:r>
      <w:r>
        <w:t xml:space="preserve">is predict. </w:t>
      </w:r>
      <w:proofErr w:type="spellStart"/>
      <w:r>
        <w:t>Ghoshal</w:t>
      </w:r>
      <w:proofErr w:type="spellEnd"/>
      <w:r>
        <w:t xml:space="preserve"> et al. state explicitly that they perform no machine-learned prediction, no off-policy evaluation and no counterfactual analysis; the </w:t>
      </w:r>
      <w:r>
        <w:lastRenderedPageBreak/>
        <w:t>work is descriptive by design. The ping-pong rates these studies report are likewise descriptive, and,</w:t>
      </w:r>
      <w:r>
        <w:t xml:space="preserve">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work predicts handover, radio-link failure or next-cell occupancy using</w:t>
      </w:r>
      <w:r>
        <w:t xml:space="preserve">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w:t>
      </w:r>
      <w:r>
        <w:t>erform a meta-analysis because simulators and outcome definitions were too heterogeneous, they observe that most studies report percentage improvements over baselines of their own choosing rather than absolute performance, and they report that data splitti</w:t>
      </w:r>
      <w:r>
        <w:t xml:space="preserve">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w:t>
      </w:r>
      <w:r>
        <w:t>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blPrEx>
          <w:tblCellMar>
            <w:top w:w="0" w:type="dxa"/>
            <w:bottom w:w="0" w:type="dxa"/>
          </w:tblCellMar>
        </w:tblPrEx>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blPrEx>
          <w:tblCellMar>
            <w:top w:w="0" w:type="dxa"/>
            <w:bottom w:w="0" w:type="dxa"/>
          </w:tblCellMar>
        </w:tblPrEx>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blPrEx>
          <w:tblCellMar>
            <w:top w:w="0" w:type="dxa"/>
            <w:bottom w:w="0" w:type="dxa"/>
          </w:tblCellMar>
        </w:tblPrEx>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with the code released</w:t>
            </w:r>
          </w:p>
        </w:tc>
      </w:tr>
      <w:tr w:rsidR="0015244F">
        <w:tblPrEx>
          <w:tblCellMar>
            <w:top w:w="0" w:type="dxa"/>
            <w:bottom w:w="0" w:type="dxa"/>
          </w:tblCellMar>
        </w:tblPrEx>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blPrEx>
          <w:tblCellMar>
            <w:top w:w="0" w:type="dxa"/>
            <w:bottom w:w="0" w:type="dxa"/>
          </w:tblCellMar>
        </w:tblPrEx>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blPrEx>
          <w:tblCellMar>
            <w:top w:w="0" w:type="dxa"/>
            <w:bottom w:w="0" w:type="dxa"/>
          </w:tblCellMar>
        </w:tblPrEx>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blPrEx>
          <w:tblCellMar>
            <w:top w:w="0" w:type="dxa"/>
            <w:bottom w:w="0" w:type="dxa"/>
          </w:tblCellMar>
        </w:tblPrEx>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blPrEx>
          <w:tblCellMar>
            <w:top w:w="0" w:type="dxa"/>
            <w:bottom w:w="0" w:type="dxa"/>
          </w:tblCellMar>
        </w:tblPrEx>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blPrEx>
          <w:tblCellMar>
            <w:top w:w="0" w:type="dxa"/>
            <w:bottom w:w="0" w:type="dxa"/>
          </w:tblCellMar>
        </w:tblPrEx>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Planned</w:t>
            </w:r>
          </w:p>
        </w:tc>
      </w:tr>
      <w:tr w:rsidR="0015244F">
        <w:tblPrEx>
          <w:tblCellMar>
            <w:top w:w="0" w:type="dxa"/>
            <w:bottom w:w="0" w:type="dxa"/>
          </w:tblCellMar>
        </w:tblPrEx>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Planned</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 xml:space="preserve">The first concerns metrics. Seven of the 22 report accuracy on tasks whose positive prevalence lies between 0.86 % and 11 %, at which a constant negative prediction scores between 89 % and 99 %; three of the headline figures so reported are 98.03 %, 99.84 </w:t>
      </w:r>
      <w:r>
        <w:t>% and 94.83 %. A related failure appears in a railway radio-link-failure study that reports area under the ROC curve above 0.95 for all six architectures it compares, on a task with approximately one positive per five hundred samples, and consequently sepa</w:t>
      </w:r>
      <w:r>
        <w:t>rates none of them.</w:t>
      </w:r>
    </w:p>
    <w:p w:rsidR="0015244F" w:rsidRDefault="00A565B8">
      <w:pPr>
        <w:ind w:firstLine="567"/>
        <w:jc w:val="both"/>
      </w:pPr>
      <w:r>
        <w:t xml:space="preserve">The second concerns splitting, and the exceptions are named rather than rounded away. Five of the 22 do split on something coarser than a random row: by spatial zone, by device, by time under a rolling-origin protocol on operator data, </w:t>
      </w:r>
      <w:r>
        <w:t>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w:t>
      </w:r>
      <w:r>
        <w:t>e strongest protocol in the set addresses next-day cell-level radio-link failure rather than a per-sample mobility forecast.</w:t>
      </w:r>
    </w:p>
    <w:p w:rsidR="0015244F" w:rsidRDefault="00A565B8">
      <w:pPr>
        <w:ind w:firstLine="567"/>
        <w:jc w:val="both"/>
      </w:pPr>
      <w:r>
        <w:t>A structural feature of this literature explains the pattern. Protocol quality and measurement quality are anti-correlated within i</w:t>
      </w:r>
      <w:r>
        <w:t>t. The studies with the cleanest splits operate on ray-traced or SUMO-simulated trajectories [10], on aggregated operator key performance indicators, or at cell-and-day granularity [11]; the studies carrying real per-sample drive-test radio, whose data mos</w:t>
      </w:r>
      <w:r>
        <w:t>t resembles that used here, are precisely those whose split protocol is unstated. Recent graph-based models illustrate both halves: TH-GCN [12] builds a dynamic UE–cell graph for dense vehicular scenarios but is simulated, states no split protocol and repo</w:t>
      </w:r>
      <w:r>
        <w:t>rts relative deltas against baselines of its own choosing, while GRIMCELL [11] applies graph learning to radio-planning, configuration-management and performance-management data from a commercial LTE-A Pro network across 55 real deployment events, but pred</w:t>
      </w:r>
      <w:r>
        <w:t xml:space="preserve">icts post-deployment key performance indicators per cell per day and is therefore a planning tool rather </w:t>
      </w:r>
      <w:r>
        <w:lastRenderedPageBreak/>
        <w:t xml:space="preserve">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w:t>
      </w:r>
      <w:r>
        <w:t>trace regime, in which one-hertz drive data sits, is where the literature is thinnest for event prediction as opposed to location prediction.</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it reports F1 on a per-event task and, like the audited set, neither calibration nor an alignment statement.</w:t>
      </w:r>
      <w:r/>
      <w:proofErr w:type="spellStart"/>
      <w:r/>
      <w:proofErr w:type="spellEnd"/>
      <w:r/>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w:t>
      </w:r>
      <w:r>
        <w:t xml:space="preserve">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w:t>
      </w:r>
      <w:r>
        <w:t>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w:t>
      </w:r>
      <w:r>
        <w:t xml:space="preserve">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w:t>
      </w:r>
      <w:r>
        <w:t>.13 %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survival model </w:t>
      </w:r>
      <w:r>
        <w:t xml:space="preserve">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w:t>
      </w:r>
      <w:r>
        <w:t xml:space="preserve">stream. </w:t>
      </w:r>
      <w:proofErr w:type="spellStart"/>
      <w:r>
        <w:t>Thorsen</w:t>
      </w:r>
      <w:proofErr w:type="spellEnd"/>
      <w:r>
        <w:t>-</w:t>
      </w:r>
      <w:r>
        <w:lastRenderedPageBreak/>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This literature is used here without any claim of novelty attaching to the formulation itself, and stating that plainly removes an obvious reviewer objection. Conformal prediction has also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new here is narrower: the application of the discrete-time hazard formulation to mobility events, and a risk bound on an operational miss rate whose exchangeable unit is a driving unit rather than a sample.</w:t>
      </w:r>
      <w:r/>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samples is not deployable whatever its concordance index. Chapter 4 therefore evaluates horizon-wise, reporting AUPRC at each horizon together with a coherence-violation rate.</w:t>
      </w:r>
      <w:r/>
      <w:r/>
    </w:p>
    <w:p w:rsidR="0015244F" w:rsidRDefault="00A565B8">
      <w:pPr>
        <w:pStyle w:val="Heading2"/>
        <w:spacing w:before="360" w:after="140"/>
      </w:pPr>
      <w:r>
        <w:t>2.6 Distribution-free uncertainty quantification</w:t>
      </w:r>
    </w:p>
    <w:p w:rsidR="0015244F" w:rsidRDefault="00A565B8">
      <w:pPr>
        <w:ind w:firstLine="567"/>
        <w:jc w:val="both"/>
      </w:pPr>
      <w:r>
        <w:t>Conformal prediction supplies finite-sample, distribution-free guarantees under an exchangea</w:t>
      </w:r>
      <w:r>
        <w:t xml:space="preserve">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w:t>
      </w:r>
      <w:r>
        <w:t xml:space="preserve">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w:t>
      </w:r>
      <w:r>
        <w:t>, which extends the guarantee from coverage of a prediction set to the expectation of a bounded monotone risk, is due to Angelopoulos et al. [20].</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r/>
      <w:r>
        <w:rPr>
          <w:i/>
          <w:iCs/>
        </w:rPr>
      </w:r>
      <w:r/>
      <w:r/>
      <w:proofErr w:type="spellStart"/>
      <w:r/>
      <w:proofErr w:type="spellEnd"/>
      <w:r/>
      <w:r/>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[21] is the standard model</w:t>
      </w:r>
      <w:r>
        <w:t xml:space="preserve"> for arrival streams in which each event raises the intensity of subsequent events, and </w:t>
      </w:r>
      <w:proofErr w:type="spellStart"/>
      <w:r>
        <w:t>Laub</w:t>
      </w:r>
      <w:proofErr w:type="spellEnd"/>
      <w:r>
        <w:t xml:space="preserve"> et al. [22] provide the contemporary reference treatment, including the branching-ratio interpretation used in Chapter 5. Fitting such a process is not, by itself,</w:t>
      </w:r>
      <w:r>
        <w:t xml:space="preserve"> evidence that the process is self-exciting; the fit must be checked. The residual analysis of Ogata [23], in which the time axis is rescaled by the fitted compensator and the transformed arrivals tested against a unit-rate Poisson process, is the standard</w:t>
      </w:r>
      <w:r>
        <w:t xml:space="preserve"> check, and Price-Williams and Heard [24] establish the precedent for its use in a networking context, validating a self-exciting fit to campus and laboratory network traffic by time rescaling with Kolmogorov–Smirnov tests on held-out data. Chapter 5 follo</w:t>
      </w:r>
      <w:r>
        <w:t>ws that precedent and reports the test outcome, including where it rejects the fitted kernel.</w:t>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w:t>
      </w:r>
      <w:r>
        <w:t xml:space="preserve">ake the negative results of Chapter 5 interpretable rather than embarrassing. Ismail </w:t>
      </w:r>
      <w:proofErr w:type="spellStart"/>
      <w:r>
        <w:t>Fawaz</w:t>
      </w:r>
      <w:proofErr w:type="spellEnd"/>
      <w:r>
        <w:t xml:space="preserve"> et al. [25] benchmark nine unsupervised domain-adaptation algorithms across twelve time-series datasets and find that several published methods perform worse than so</w:t>
      </w:r>
      <w:r>
        <w:t>urce-only training with no adaptation at all, and that the adaptation technique rather than the backbone drives the outcome; the null result reported for Deep CORAL [26] in Chapter 5 is therefore consistent with a published benchmark rather than evidence o</w:t>
      </w:r>
      <w:r>
        <w:t>f faulty implementation. Shi et al. [27] supply the shift taxonomy that names the shift encountered here as a device-and-day shift rather than a sensor-modality shift. Wagner et al. [28] show formally that the commonly used point-adjusted metrics for time-</w:t>
      </w:r>
      <w:r>
        <w:t xml:space="preserve">series event detection each satisfy only a subset of the desirable properties and that none satisfies all of them, which is the justification for reporting event-level detection rate, lead time and false alarms per hour </w:t>
      </w:r>
      <w:r>
        <w:rPr>
          <w:i/>
          <w:iCs/>
        </w:rPr>
        <w:t>alongside</w:t>
      </w:r>
      <w:r>
        <w:t xml:space="preserve"> row-level AUPRC rather tha</w:t>
      </w:r>
      <w:r>
        <w:t>n in place of it.</w:t>
      </w:r>
    </w:p>
    <w:p w:rsidR="0015244F" w:rsidRDefault="00A565B8">
      <w:pPr>
        <w:ind w:firstLine="567"/>
        <w:jc w:val="both"/>
      </w:pPr>
      <w:r>
        <w:lastRenderedPageBreak/>
        <w:t xml:space="preserve">Finally, the standards track bears on the choice of horizon. Deb et al. [29] model conditional handover as a discrete-time Markov chain over preparation and execution offsets and timers, and their analysis makes explicit that conditional </w:t>
      </w:r>
      <w:r>
        <w:t>handover consumes a lead time rather than a label: a model that identifies the correct target cell two hundred milliseconds before the event buys nothing, because the preparation message must be sent, acknowledged and stored. This is the analytical justifi</w:t>
      </w:r>
      <w:r>
        <w:t>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 xml:space="preserve">Collecting the preceding </w:t>
      </w:r>
      <w:r>
        <w:t xml:space="preserve">sections, the gap this thesis occupies can be stated precisely. Measurement-grade ground truth exists, but is not joined to prediction. Prediction models exist, but not under an evaluation protocol that holds out the mobility unit, and not with calibrated </w:t>
      </w:r>
      <w:r>
        <w:t>outputs or event-level costs. The correct formulation exists in the survival literature, but has not been applied to mobility events. Distribution-free guarantees exist in wireless, but for a different exchangeability structure and not for any mobility-man</w:t>
      </w:r>
      <w:r>
        <w:t>agement task.</w:t>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w:t>
      </w:r>
      <w:r>
        <w:t>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w:t>
      </w:r>
      <w:r>
        <w:t xml:space="preserve"> 2.1, and each stage is developed in detail in Chapters 3 and 4.</w:t>
      </w:r>
    </w:p>
    <w:p w:rsidR="0015244F" w:rsidRDefault="00A565B8">
      <w:pPr>
        <w:keepNext/>
        <w:spacing w:before="240" w:after="120" w:line="240" w:lineRule="auto"/>
        <w:jc w:val="center"/>
      </w:pPr>
      <w:r>
        <w:rPr>
          <w:noProof/>
        </w:rPr>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lastRenderedPageBreak/>
        <w:t>Stage 1 — Collection.</w:t>
      </w:r>
      <w:r>
        <w:t xml:space="preserve"> Four drive-test campaigns are condu</w:t>
      </w:r>
      <w:r>
        <w:t xml:space="preserve">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w:t>
      </w:r>
      <w:r>
        <w:t>ce at its own timestamp.</w:t>
      </w:r>
    </w:p>
    <w:p w:rsidR="0015244F" w:rsidRDefault="00A565B8">
      <w:pPr>
        <w:ind w:firstLine="567"/>
        <w:jc w:val="both"/>
      </w:pPr>
      <w:r>
        <w:rPr>
          <w:b/>
          <w:bCs/>
        </w:rPr>
        <w:t>Stage 3 — Feature construction.</w:t>
      </w:r>
      <w:r>
        <w:t xml:space="preserve"> One hundred and fifty-two candidate features are constructed from radio, mobility, history and </w:t>
      </w:r>
      <w:proofErr w:type="spellStart"/>
      <w:r>
        <w:t>signalling</w:t>
      </w:r>
      <w:proofErr w:type="spellEnd"/>
      <w:r>
        <w:t xml:space="preserve"> sources; all are strictly causal, closing at the prediction instant, and none crosses a drive</w:t>
      </w:r>
      <w:r>
        <w:t xml:space="preserve"> boundary.</w:t>
      </w:r>
    </w:p>
    <w:p w:rsidR="0015244F" w:rsidRDefault="00A565B8">
      <w:pPr>
        <w:ind w:firstLine="567"/>
        <w:jc w:val="both"/>
      </w:pPr>
      <w:r>
        <w:rPr>
          <w:b/>
          <w:bCs/>
        </w:rPr>
        <w:t>Stage 4 — Formulation and modelling.</w:t>
      </w:r>
      <w:r>
        <w:t xml:space="preserve"> The task is posed as discrete-time survival. A single model estimates the per-interval hazard and horizon probabilities are recovered by the product-limit identity, which guarantees ordering. Seven learners a</w:t>
      </w:r>
      <w:r>
        <w:t>re compared under identical conditions.</w:t>
      </w:r>
    </w:p>
    <w:p w:rsidR="0015244F" w:rsidRDefault="00A565B8">
      <w:pPr>
        <w:ind w:firstLine="567"/>
        <w:jc w:val="both"/>
      </w:pPr>
      <w:r>
        <w:rPr>
          <w:b/>
          <w:bCs/>
        </w:rPr>
        <w:t>Stage 5 — Evaluation and risk control.</w:t>
      </w:r>
      <w:r>
        <w:t xml:space="preserve"> Splits are grouped by whole drive under a four-fold rotation repeated over five seeds; confidence intervals are bootstrapped over drives; and a warning threshold is certified by</w:t>
      </w:r>
      <w:r>
        <w:t xml:space="preserve"> conformal risk control whose exchangeable unit is the drive.</w:t>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w:t>
      </w:r>
      <w:r>
        <w:t>radictory outputs 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w:t>
      </w:r>
      <w:r>
        <w:t xml:space="preserve">the comparator literature was implemented solely to measure what it is worth. It is rejected because adjacent one-second samples within a drive are near-duplicates, so a random split places nearly </w:t>
      </w:r>
      <w:r>
        <w:lastRenderedPageBreak/>
        <w:t>identical rows on both sides of it; Chapter 5 shows that th</w:t>
      </w:r>
      <w:r>
        <w:t>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w:t>
      </w:r>
      <w:r>
        <w:t xml:space="preserve">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w:t>
      </w:r>
      <w:r>
        <w: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w:t>
      </w:r>
      <w:r>
        <w:t xml:space="preserve">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w:t>
      </w:r>
      <w:r>
        <w:t xml:space="preserve">describes the four campaigns and the routes they cover. Section 3.3 describes the </w:t>
      </w:r>
      <w:proofErr w:type="spellStart"/>
      <w:r>
        <w:t>signalling</w:t>
      </w:r>
      <w:proofErr w:type="spellEnd"/>
      <w:r>
        <w:t>-decoding procedure and the configuration-timeline correction that it required. Section 3.4 describes how continuous driving is segmented into drives and quality co</w:t>
      </w:r>
      <w:r>
        <w:t xml:space="preserve">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w:t>
      </w:r>
      <w:r>
        <w:t xml:space="preserve">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w:t>
      </w:r>
      <w:r>
        <w:t>of this class of instrumentation for RRC extraction on live networks follows established practice in the measurement literature [5], [4].</w:t>
      </w:r>
    </w:p>
    <w:p w:rsidR="0015244F" w:rsidRDefault="00A565B8">
      <w:pPr>
        <w:ind w:firstLine="567"/>
        <w:jc w:val="both"/>
      </w:pPr>
      <w:r>
        <w:t>The radio export carries, per sample, the serving-cell physical cell identity (PCI), E-UTRA absolute radio frequency c</w:t>
      </w:r>
      <w:r>
        <w:t xml:space="preserve">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w:t>
      </w:r>
      <w:r>
        <w:t xml:space="preserve">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w:t>
      </w:r>
      <w:r>
        <w:t xml:space="preserve">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w:t>
      </w:r>
      <w:r>
        <w: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r/>
      <w:proofErr w:type="spellEnd"/>
      <w:r/>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r/>
      <w:proofErr w:type="spellStart"/>
      <w:r/>
      <w:proofErr w:type="spellEnd"/>
      <w:r/>
    </w:p>
    <w:p w:rsidR="0015244F" w:rsidRDefault="00A565B8">
      <w:pPr>
        <w:ind w:firstLine="567"/>
        <w:jc w:val="both"/>
      </w:pPr>
      <w:r>
        <w:t xml:space="preserve">The clustering visible in Figure 3.1 is the first indication that the prediction signal is partly geometric, and </w:t>
      </w:r>
      <w:r>
        <w:t xml:space="preserve">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r/>
      <w:r>
        <w:rPr>
          <w:b/>
          <w:bCs/>
        </w:rPr>
      </w:r>
      <w:r/>
      <w:proofErr w:type="spellStart"/>
      <w:r/>
      <w:proofErr w:type="spellEnd"/>
      <w:r/>
      <w:r/>
      <w:r/>
    </w:p>
    <w:p w:rsidR="0015244F" w:rsidRDefault="00A565B8">
      <w:pPr>
        <w:pStyle w:val="Heading2"/>
        <w:spacing w:before="360" w:after="140"/>
      </w:pPr>
      <w:r>
        <w:t xml:space="preserve">3.3 </w:t>
      </w:r>
      <w:proofErr w:type="spellStart"/>
      <w:r>
        <w:t>Signalling</w:t>
      </w:r>
      <w:proofErr w:type="spellEnd"/>
      <w:r>
        <w:t xml:space="preserve"> decodi</w:t>
      </w:r>
      <w:r>
        <w:t>ng and the configuration timeline</w:t>
      </w:r>
    </w:p>
    <w:p w:rsidR="0015244F" w:rsidRDefault="00A565B8">
      <w:pPr>
        <w:pStyle w:val="Heading3"/>
        <w:spacing w:before="280" w:after="120"/>
      </w:pPr>
      <w:r>
        <w:t>3.3.1 The attribution chain</w:t>
      </w:r>
    </w:p>
    <w:p w:rsidR="0015244F" w:rsidRDefault="00A565B8">
      <w:pPr>
        <w:ind w:firstLine="567"/>
        <w:jc w:val="both"/>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roofErr w:type="spellStart"/>
      <w:r/>
      <w:proofErr w:type="spellEnd"/>
      <w:r/>
      <w:proofErr w:type="spellStart"/>
      <w:r/>
      <w:proofErr w:type="spellEnd"/>
      <w:r/>
      <w:proofErr w:type="spellStart"/>
      <w:r/>
      <w:proofErr w:type="spellEnd"/>
      <w:r/>
      <w:proofErr w:type="spellStart"/>
      <w:r/>
      <w:r/>
      <w:proofErr w:type="spellEnd"/>
      <w:r/>
      <w:r/>
    </w:p>
    <w:p w:rsidR="0015244F" w:rsidRDefault="00A565B8">
      <w:pPr>
        <w:pStyle w:val="Heading3"/>
        <w:spacing w:before="280" w:after="120"/>
      </w:pPr>
      <w:r>
        <w:t>3.3.2 Why a flat parse is wrong</w:t>
      </w:r>
    </w:p>
    <w:p w:rsidR="0015244F" w:rsidRDefault="00A565B8">
      <w:pPr>
        <w:ind w:firstLine="567"/>
        <w:jc w:val="both"/>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roofErr w:type="spellStart"/>
      <w:r/>
      <w:proofErr w:type="spellEnd"/>
      <w:r/>
      <w:r/>
      <w:proofErr w:type="spellStart"/>
      <w:r/>
      <w:proofErr w:type="spellEnd"/>
      <w:r/>
      <w:r/>
    </w:p>
    <w:p w:rsidR="0015244F" w:rsidRDefault="00A565B8">
      <w:pPr>
        <w:ind w:firstLine="567"/>
        <w:jc w:val="both"/>
      </w:pPr>
      <w:r>
        <w:t>Applied to this dataset, such a flat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that exposed the error. Correcting it is a bug fix rather than a contribution, and it is reported here as part of the method.</w:t>
      </w:r>
      <w:r/>
      <w:proofErr w:type="spellStart"/>
      <w:r/>
      <w:proofErr w:type="spellEnd"/>
      <w:r/>
      <w:proofErr w:type="spellStart"/>
      <w:r/>
      <w:proofErr w:type="spellEnd"/>
      <w:r/>
      <w:proofErr w:type="spellStart"/>
      <w:r/>
      <w:proofErr w:type="spellEnd"/>
      <w:r/>
      <w:r/>
    </w:p>
    <w:p w:rsidR="0015244F" w:rsidRDefault="00A565B8">
      <w:pPr>
        <w:pStyle w:val="Heading3"/>
        <w:spacing w:before="280" w:after="120"/>
      </w:pPr>
      <w:r>
        <w:t>3.3.3 The timeline</w:t>
      </w:r>
    </w:p>
    <w:p w:rsidR="0015244F" w:rsidRDefault="00A565B8">
      <w:pPr>
        <w:ind w:firstLine="567"/>
        <w:jc w:val="both"/>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r/>
      <w:r>
        <w:rPr>
          <w:i/>
          <w:iCs/>
        </w:rPr>
      </w:r>
      <w:r/>
      <w:proofErr w:type="spellStart"/>
      <w:r/>
      <w:proofErr w:type="spellEnd"/>
      <w:r/>
      <w:r/>
      <w:r>
        <w:rPr>
          <w:i/>
          <w:iCs/>
        </w:rPr>
      </w:r>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p>
    <w:p w:rsidR="0015244F" w:rsidRDefault="00A565B8">
      <w:pPr>
        <w:ind w:firstLine="567"/>
        <w:jc w:val="both"/>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
        <w:rPr>
          <w:i/>
          <w:iCs/>
        </w:rPr>
      </w:r>
      <w: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w:t>
      </w:r>
      <w:r>
        <w:rPr>
          <w:b/>
          <w:bCs/>
        </w:rPr>
        <w:t>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r>
        <w:t>.</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blPrEx>
          <w:tblCellMar>
            <w:top w:w="0" w:type="dxa"/>
            <w:bottom w:w="0" w:type="dxa"/>
          </w:tblCellMar>
        </w:tblPrEx>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blPrEx>
          <w:tblCellMar>
            <w:top w:w="0" w:type="dxa"/>
            <w:bottom w:w="0" w:type="dxa"/>
          </w:tblCellMar>
        </w:tblPrEx>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blPrEx>
          <w:tblCellMar>
            <w:top w:w="0" w:type="dxa"/>
            <w:bottom w:w="0" w:type="dxa"/>
          </w:tblCellMar>
        </w:tblPrEx>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blPrEx>
          <w:tblCellMar>
            <w:top w:w="0" w:type="dxa"/>
            <w:bottom w:w="0" w:type="dxa"/>
          </w:tblCellMar>
        </w:tblPrEx>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blPrEx>
          <w:tblCellMar>
            <w:top w:w="0" w:type="dxa"/>
            <w:bottom w:w="0" w:type="dxa"/>
          </w:tblCellMar>
        </w:tblPrEx>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blPrEx>
          <w:tblCellMar>
            <w:top w:w="0" w:type="dxa"/>
            <w:bottom w:w="0" w:type="dxa"/>
          </w:tblCellMar>
        </w:tblPrEx>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blPrEx>
          <w:tblCellMar>
            <w:top w:w="0" w:type="dxa"/>
            <w:bottom w:w="0" w:type="dxa"/>
          </w:tblCellMar>
        </w:tblPrEx>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blPrEx>
          <w:tblCellMar>
            <w:top w:w="0" w:type="dxa"/>
            <w:bottom w:w="0" w:type="dxa"/>
          </w:tblCellMar>
        </w:tblPrEx>
        <w:trPr>
          <w:tblHeader/>
        </w:trPr>
        <w:tc>
          <w:tcPr>
            <w:tcMar>
              <w:top w:w="60" w:type="dxa"/>
              <w:left w:w="100" w:type="dxa"/>
              <w:bottom w:w="60" w:type="dxa"/>
              <w:right w:w="100" w:type="dxa"/>
            </w:tcMar>
          </w:tcPr>
          <w:p>
            <w:r>
              <w:t>A3-triggered handovers under a positive offset</w:t>
            </w:r>
          </w:p>
        </w:tc>
        <w:tc>
          <w:tcPr>
            <w:tcMar>
              <w:top w:w="60" w:type="dxa"/>
              <w:left w:w="100" w:type="dxa"/>
              <w:bottom w:w="60" w:type="dxa"/>
              <w:right w:w="100" w:type="dxa"/>
            </w:tcMar>
          </w:tcPr>
          <w:p>
            <w:r>
              <w:t>651 A3 total</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75% of A3-triggered commands follow a report sent under the +1 dB profile with a 320 ms time-to-trigger and 1 dB hysteresis. The negative-offset configurations are re-reporting configurations — long report intervals, mostly unconverted episodes — and are better read as neighbour-monitoring than as a mobility trigger.</w:t>
      </w:r>
      <w:r/>
      <w:r>
        <w:rPr>
          <w:b/>
          <w:bCs/>
        </w:rPr>
      </w:r>
      <w:r/>
      <w:proofErr w:type="spellStart"/>
      <w:r/>
      <w:proofErr w:type="spellEnd"/>
      <w:r/>
      <w:r>
        <w:rPr>
          <w:i/>
          <w:iCs/>
        </w:rPr>
      </w:r>
      <w:r/>
      <w:r/>
      <w:proofErr w:type="spellStart"/>
      <w:r/>
      <w:proofErr w:type="spellEnd"/>
      <w:r/>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r/>
      <w:proofErr w:type="gramStart"/>
      <w:r/>
      <w:proofErr w:type="gramEnd"/>
      <w:r/>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Table 3</w:t>
      </w:r>
      <w:r>
        <w:t xml:space="preserve">.2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blPrEx>
          <w:tblCellMar>
            <w:top w:w="0" w:type="dxa"/>
            <w:bottom w:w="0" w:type="dxa"/>
          </w:tblCellMar>
        </w:tblPrEx>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15244F">
      <w:pPr>
        <w:spacing w:after="120" w:line="240" w:lineRule="auto"/>
      </w:pPr>
    </w:p>
    <w:p w:rsidR="0015244F" w:rsidRDefault="00A565B8">
      <w:pPr>
        <w:ind w:firstLine="567"/>
        <w:jc w:val="both"/>
      </w:pPr>
      <w:r>
        <w:t>The pooled dataset covers approximately 78 km of driving. A handover command is issued on average once every 11 seconds, with a median inter-command gap of 3.7 seconds.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 Figure 3.4 shows the distribution of samples and events across the campaigns.</w:t>
      </w:r>
      <w:proofErr w:type="spellStart"/>
      <w:r/>
      <w:proofErr w:type="spellEnd"/>
      <w:r/>
      <w:proofErr w:type="spellStart"/>
      <w:r/>
      <w:r/>
      <w:proofErr w:type="spellEnd"/>
      <w:r/>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Figure 3.4 Composition of the pooled dataset. The four campaigns differ in duration and in event density; the highway campaign contributes the fewest handovers per minute and the highest mean speed.</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r/>
    </w:p>
    <w:p w:rsidR="0015244F" w:rsidRDefault="00A565B8">
      <w:pPr>
        <w:ind w:firstLine="567"/>
        <w:jc w:val="both"/>
      </w:pPr>
      <w:r>
        <w:t>The sampling rate caps event resolution and, more importantly, fixes the information cut-off. At one sample per second the earliest usable evidence for a handover at time tau is the row closing at or before the prediction instant; Section 5.1 shows what happens when that is not enforced. The fraction of events that have at least one usable row inside the one-second window before them is 64.6%, and event-level detection figures are reported against that ceiling rather than against 100 %.</w:t>
      </w:r>
      <w:r>
        <w:rPr>
          <w:b/>
          <w:bCs/>
        </w:rPr>
      </w:r>
      <w:r>
        <w:rPr>
          <w:b/>
          <w:bCs/>
        </w:rPr>
      </w: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w:t>
      </w:r>
      <w:r>
        <w:t xml:space="preserve">screte-time survival formulation adopted in its place, and Section 4.4 gives its likelihood under censoring. Section 4.5 explains why class reweighting, the standard reflex on a rare-event task, is inadmissible under this formulation. Sections 4.6 and 4.7 </w:t>
      </w:r>
      <w:r>
        <w:t xml:space="preserve">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w:t>
      </w:r>
      <w:r>
        <w:t>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w:t>
      </w:r>
      <w:r>
        <w:t xml:space="preserve">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The task is to estimate,</w:t>
      </w:r>
      <w:r>
        <w:t xml:space="preserv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w:t>
      </w:r>
      <w:proofErr w:type="gramEnd"/>
      <w:r>
        <w:t xml:space="preserve"> </w:t>
      </w:r>
      <w:r>
        <w:rPr>
          <w:i/>
          <w:iCs/>
        </w:rPr>
        <w:t>K</w:t>
      </w:r>
      <w:r>
        <w:t xml:space="preserve"> = 5 and horizons of 0.5, 1, 2, 3 and 5 seconds. Samples for which the drive ends before the next handover occurs are </w:t>
      </w:r>
      <w:r>
        <w:rPr>
          <w:b/>
          <w:bCs/>
        </w:rPr>
        <w:t>right-censored</w:t>
      </w:r>
      <w:r>
        <w:t>: the event is known not to have occurred within the observed window, but its eventual time is unknown. Right censoring is not a nuisance to be discarded here; the last samples of every drive are censored, and discarding them would both waste</w:t>
      </w:r>
      <w:r>
        <w:t xml:space="preserve"> data and bias the observed event-time distribution towards short intervals.</w:t>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The defect. 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
        <w:rPr>
          <w:i/>
          <w:iCs/>
        </w:rPr>
      </w: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r/>
    </w:p>
    <w:p w:rsidR="0015244F" w:rsidRDefault="00A565B8">
      <w:pPr>
        <w:ind w:firstLine="567"/>
        <w:jc w:val="both"/>
      </w:pPr>
      <w:r>
        <w:t>A violation is not a small numerical irregularity. It is an assertion that a handover is more likely within one second than within three, which is impossible, and it destroys</w:t>
      </w:r>
      <w:r>
        <w:t xml:space="preserve"> the interpretation of the output as a probability. An operator presented with such a pair of numbers cannot act on either.</w:t>
      </w:r>
    </w:p>
    <w:p w:rsidR="0015244F" w:rsidRDefault="00A565B8">
      <w:pPr>
        <w:ind w:firstLine="567"/>
        <w:jc w:val="both"/>
      </w:pPr>
      <w:r>
        <w:rPr>
          <w:b/>
          <w:bCs/>
        </w:rPr>
        <w:t>Why post-hoc repair is not free, and where it is. The defect can be repaired after the fact by projecting the K outputs onto the monotone cone — a per-row cumulative maximum, or the pool-adjacent-violators projection — or by calibrating each horizon separately with isotonic regression. All three are implemented and reported in Section 5.4 as controls, and the first two need no held-out split and reach zero violations by construction, exactly as the hazard formulation does. The case for the hazard formulation is therefore not that it alone achieves coherence; it is that it achieves coherence from one fit rather than five, inherits the censoring treatment of Section 4.4, and — as Section 5.4 measures — calibrates better than the projected controls at the horizons where the output is usable as a probability.</w:t>
      </w:r>
      <w:r/>
      <w:r>
        <w:rPr>
          <w:i/>
          <w:iCs/>
        </w:rPr>
      </w:r>
      <w: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w:t>
      </w:r>
      <w:r>
        <w: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w:t>
      </w:r>
      <w:r>
        <w:rPr>
          <w:i/>
          <w:iCs/>
        </w:rPr>
        <w:t xml:space="preserve">(h_1,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w:t>
      </w:r>
      <w:r>
        <w:t>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per bin produces a coherent set of horizon probabilities under Equation (4.4). This is why the coherence result reported in Section 5.4 is l</w:t>
      </w:r>
      <w:r>
        <w:t xml:space="preserve">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FigureCaption"/>
        <w:spacing w:after="240" w:line="240" w:lineRule="auto"/>
        <w:jc w:val="center"/>
      </w:pPr>
      <w:r>
        <w:t>Figure 4.1 illustrates the two formulations side by side.</w:t>
      </w:r>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w:t>
      </w:r>
      <w:r>
        <w:t>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Equation (4.6) is exactly a binary cross-entropy over the expanded set of (sample × at-risk bin) pairs. The pract</w:t>
      </w:r>
      <w:r>
        <w:t xml:space="preserve">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w:t>
      </w:r>
      <w:r>
        <w:t xml:space="preserve">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blPrEx>
          <w:tblCellMar>
            <w:top w:w="0" w:type="dxa"/>
            <w:bottom w:w="0" w:type="dxa"/>
          </w:tblCellMar>
        </w:tblPrEx>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blPrEx>
          <w:tblCellMar>
            <w:top w:w="0" w:type="dxa"/>
            <w:bottom w:w="0" w:type="dxa"/>
          </w:tblCellMar>
        </w:tblPrEx>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blPrEx>
          <w:tblCellMar>
            <w:top w:w="0" w:type="dxa"/>
            <w:bottom w:w="0" w:type="dxa"/>
          </w:tblCellMar>
        </w:tblPrEx>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blPrEx>
          <w:tblCellMar>
            <w:top w:w="0" w:type="dxa"/>
            <w:bottom w:w="0" w:type="dxa"/>
          </w:tblCellMar>
        </w:tblPrEx>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blPrEx>
          <w:tblCellMar>
            <w:top w:w="0" w:type="dxa"/>
            <w:bottom w:w="0" w:type="dxa"/>
          </w:tblCellMar>
        </w:tblPrEx>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r>
        <w:t>).</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Ranking metrics are invariant under this transformation, since AUPRC and AUROC depend only on the order of scores. The probability scale, however, is not. Writing the reweighted hazards as λ̃_k ≈ w λ_k for small λ_k, the survival function is transformed as</w:t>
      </w:r>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Either way the calibrated interpretation is destroyed while the ranking is untouched, which is the reason both the hazard arm and the independent-classifier control arm are fitted unweighted, and the fairness of the comparison between them is a secondary benefit.</w:t>
      </w:r>
      <w:proofErr w:type="gramEnd"/>
      <w:r/>
      <w:r/>
    </w:p>
    <w:p w:rsidR="0015244F" w:rsidRDefault="00A565B8">
      <w:pPr>
        <w:pStyle w:val="Heading2"/>
        <w:spacing w:before="360" w:after="140"/>
      </w:pPr>
      <w:r>
        <w:t>4.6 Feature constru</w:t>
      </w:r>
      <w:r>
        <w:t>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Design. The feature vector at the prediction instant t has three blocks and 112 columns in total. The radio and mobility blocks are built from the one-hertz export; the history block is built from the decoded signalling. Two rules govern their construction, and the first is the single most consequential decision in this thesis.</w:t>
      </w:r>
      <w:r/>
      <w:proofErr w:type="spellStart"/>
      <w:r/>
      <w:proofErr w:type="spellEnd"/>
      <w:r/>
    </w:p>
    <w:p w:rsidR="0015244F" w:rsidRDefault="00A565B8">
      <w:pPr>
        <w:pStyle w:val="TableCaption"/>
        <w:spacing w:before="240" w:after="120" w:line="240" w:lineRule="auto"/>
        <w:jc w:val="center"/>
      </w:pPr>
      <w:r>
        <w:t>Alignment. 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r/>
    </w:p>
    <w:p w:rsidR="0015244F" w:rsidRDefault="00A565B8">
      <w:pPr>
        <w:pStyle w:val="TableCaption"/>
        <w:spacing w:before="240" w:after="120" w:line="240" w:lineRule="auto"/>
        <w:jc w:val="center"/>
      </w:pPr>
      <w:r>
        <w:t>History from the event clock, not from the export. 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blPrEx>
          <w:tblCellMar>
            <w:top w:w="0" w:type="dxa"/>
            <w:bottom w:w="0" w:type="dxa"/>
          </w:tblCellMar>
        </w:tblPrEx>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83</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w:t>
            </w:r>
          </w:p>
        </w:tc>
      </w:tr>
      <w:tr w:rsidR="0015244F">
        <w:tblPrEx>
          <w:tblCellMar>
            <w:top w:w="0" w:type="dxa"/>
            <w:bottom w:w="0" w:type="dxa"/>
          </w:tblCellMar>
        </w:tblPrEx>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and their rolling statistics</w:t>
            </w:r>
          </w:p>
        </w:tc>
      </w:tr>
      <w:tr w:rsidR="0015244F">
        <w:tblPrEx>
          <w:tblCellMar>
            <w:top w:w="0" w:type="dxa"/>
            <w:bottom w:w="0" w:type="dxa"/>
          </w:tblCellMar>
        </w:tblPrEx>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blPrEx>
          <w:tblCellMar>
            <w:top w:w="0" w:type="dxa"/>
            <w:bottom w:w="0" w:type="dxa"/>
          </w:tblCellMar>
        </w:tblPrEx>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blPrEx>
          <w:tblCellMar>
            <w:top w:w="0" w:type="dxa"/>
            <w:bottom w:w="0" w:type="dxa"/>
          </w:tblCellMar>
        </w:tblPrEx>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bl>
    <w:p w:rsidR="0015244F" w:rsidRDefault="0015244F">
      <w:pPr>
        <w:spacing w:after="120" w:line="240" w:lineRule="auto"/>
      </w:pPr>
    </w:p>
    <w:p w:rsidR="0015244F" w:rsidRDefault="00A565B8">
      <w:pPr>
        <w:ind w:firstLine="567"/>
        <w:jc w:val="both"/>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r>
        <w:rPr>
          <w:i/>
          <w:iCs/>
        </w:rPr>
      </w:r>
      <w:r/>
      <w:proofErr w:type="spellStart"/>
      <w:r/>
      <w:proofErr w:type="spellEnd"/>
      <w:r/>
      <w:r/>
    </w:p>
    <w:p w:rsidR="0015244F" w:rsidRDefault="00A565B8">
      <w:pPr>
        <w:ind w:firstLine="567"/>
        <w:jc w:val="both"/>
      </w:pPr>
      <w:r>
        <w:rPr>
          <w:b/>
          <w:bCs/>
        </w:rP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proofErr w:type="spellStart"/>
      <w:r>
        <w:rPr>
          <w:b/>
          <w:bCs/>
        </w:rPr>
      </w:r>
      <w:proofErr w:type="spellEnd"/>
      <w:r>
        <w:rPr>
          <w:b/>
          <w:bCs/>
        </w:rPr>
      </w:r>
      <w:r/>
      <w:r/>
      <w:proofErr w:type="spellStart"/>
      <w:r/>
      <w:proofErr w:type="spellEnd"/>
      <w:r/>
      <w:r>
        <w:rPr>
          <w:i/>
          <w:iCs/>
        </w:rPr>
      </w:r>
      <w:r/>
      <w:r>
        <w:rPr>
          <w:i/>
          <w:iCs/>
        </w:rPr>
      </w:r>
      <w:r/>
      <w:r/>
      <w:r>
        <w:rPr>
          <w:i/>
          <w:iCs/>
        </w:rPr>
      </w:r>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w:t>
      </w:r>
      <w:r>
        <w:t>the most important baseline in the thesis because it is what is presently running in the network.</w:t>
      </w:r>
    </w:p>
    <w:p w:rsidR="0015244F" w:rsidRDefault="00A565B8">
      <w:pPr>
        <w:ind w:firstLine="567"/>
        <w:jc w:val="both"/>
      </w:pPr>
      <w:r>
        <w:rPr>
          <w:b/>
          <w:bCs/>
        </w:rPr>
        <w:t>Logistic regression.</w:t>
      </w:r>
      <w:r>
        <w:t xml:space="preserve"> A </w:t>
      </w:r>
      <w:proofErr w:type="spellStart"/>
      <w:r>
        <w:t>regularised</w:t>
      </w:r>
      <w:proofErr w:type="spellEnd"/>
      <w:r>
        <w:t xml:space="preserve"> linear model over the 107 features, included as the simplest learner that can use the full feature set.</w:t>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w:t>
      </w:r>
      <w:r>
        <w:rPr>
          <w:b/>
          <w:bCs/>
        </w:rPr>
        <w:t>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w:t>
      </w:r>
      <w:r>
        <w:t>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w:t>
      </w:r>
      <w:r>
        <w:t>ity is insufficient for the task stated in Section 1.3, which requires the asserted probability to correspond to an empirical frequency. Three calibration treatments are evaluated.</w:t>
      </w:r>
    </w:p>
    <w:p w:rsidR="0015244F" w:rsidRDefault="00A565B8">
      <w:pPr>
        <w:ind w:firstLine="567"/>
        <w:jc w:val="both"/>
      </w:pPr>
      <w:r>
        <w:rPr>
          <w:b/>
          <w:bCs/>
        </w:rPr>
        <w:t>Temperature scaling</w:t>
      </w:r>
      <w:r>
        <w:t xml:space="preserve"> [31] fits a single scalar on a held-out partition, divi</w:t>
      </w:r>
      <w:r>
        <w:t>ding the logits before the sigmoid. It is the least expressive treatment and cannot alter the ranking.</w:t>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w:t>
      </w:r>
      <w:r>
        <w:t>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w:t>
      </w:r>
      <w:r>
        <w:t>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w:t>
      </w:r>
      <w:r>
        <w:t>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Motivation. 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r/>
      <w:r/>
    </w:p>
    <w:p w:rsidR="0015244F" w:rsidRDefault="00A565B8">
      <w:pPr>
        <w:ind w:firstLine="567"/>
        <w:jc w:val="both"/>
      </w:pPr>
      <w:r>
        <w:rPr>
          <w:b/>
          <w:bCs/>
        </w:rPr>
        <w:t>Design. The evaluation protocol has five elements, and a ladder of four splitting rules is reported rather than one.</w:t>
      </w:r>
      <w:r/>
    </w:p>
    <w:p w:rsidR="0015244F" w:rsidRDefault="00A565B8">
      <w:pPr>
        <w:ind w:firstLine="567"/>
        <w:jc w:val="both"/>
      </w:pPr>
      <w:r>
        <w:rPr>
          <w:i/>
          <w:iCs/>
        </w:rPr>
        <w:t>Units. The primary protocol is leave-one-campaign-out: each of the four campaigns is held out in turn and the model is trained on the other three. A campaign is one continuous session, which is the only unit in this dataset whose independence can be defended. Figure 4.2 illustrates the ladder.</w:t>
      </w:r>
      <w:r/>
    </w:p>
    <w:p w:rsidR="0015244F" w:rsidRDefault="00A565B8">
      <w:pPr>
        <w:keepNext/>
        <w:spacing w:before="240" w:after="120" w:line="240" w:lineRule="auto"/>
        <w:jc w:val="center"/>
      </w:pPr>
      <w:r>
        <w:rPr>
          <w:noProof/>
        </w:rPr>
        <w:drawing>
          <wp:inline distT="0" distB="0" distL="0" distR="0">
            <wp:extent cx="5762625" cy="2028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186"/>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r/>
      <w:proofErr w:type="gramEnd"/>
      <w:r/>
    </w:p>
    <w:p w:rsidR="0015244F" w:rsidRDefault="00A565B8">
      <w:pPr>
        <w:ind w:firstLine="567"/>
        <w:jc w:val="both"/>
      </w:pPr>
      <w:r>
        <w:rPr>
          <w:i/>
          <w:iCs/>
        </w:rPr>
        <w:t>Secondary protocols. Three further rules are run on the same data with everything else fixed: contiguous time blocks within each campaign with a 60-second purge between train and test (the blocked cross-validation standard for temporally structured data, following the recommendation of Roberts et al. [35]); random 180-second blocks stratified by campaign, which is the protocol this work used before the audit; and random rows, which is the protocol most of the comparator literature uses. Section 5.3 reports all four.</w:t>
      </w:r>
      <w:r/>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r>
        <w:rPr>
          <w:i/>
          <w:iCs/>
        </w:rPr>
      </w:r>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Metrics. 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r/>
      <w:r/>
      <w:r/>
      <w:proofErr w:type="spellStart"/>
      <w:r/>
      <w:proofErr w:type="spellEnd"/>
      <w:r/>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w:t>
      </w:r>
      <w:r>
        <w:t>t into a warning requires a threshold, and an operator is entitled to know what that threshold guarantees on drives it has not seen.</w:t>
      </w:r>
    </w:p>
    <w:p w:rsidR="0015244F" w:rsidRDefault="00A565B8">
      <w:pPr>
        <w:ind w:firstLine="567"/>
        <w:jc w:val="both"/>
      </w:pPr>
      <w:r>
        <w:rPr>
          <w:b/>
          <w:bCs/>
        </w:rPr>
        <w:t>Design.</w:t>
      </w:r>
      <w:r>
        <w:t xml:space="preserve"> Let λ ∈ Λ index a family of alarm thresholds ordered by decreasing strictness and let </w:t>
      </w:r>
      <w:proofErr w:type="gramStart"/>
      <w:r>
        <w:rPr>
          <w:i/>
          <w:iCs/>
        </w:rPr>
        <w:t>R</w:t>
      </w:r>
      <w:r>
        <w:t>(</w:t>
      </w:r>
      <w:proofErr w:type="gramEnd"/>
      <w:r>
        <w:t>λ) be a bounded, non-increa</w:t>
      </w:r>
      <w:r>
        <w:t>sing risk. Conformal risk control [20] selects</w:t>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The exchangeable unit. The risk is defined per driving unit, not per sample: for a unit d and threshold λ,</w:t>
      </w:r>
      <w:r/>
      <w:r/>
      <w:r>
        <w:rPr>
          <w:b/>
          <w:bCs/>
        </w:rPr>
      </w:r>
    </w:p>
    <w:p w:rsidR="0015244F" w:rsidRDefault="00A565B8">
      <w:pPr>
        <w:tabs>
          <w:tab w:val="right" w:pos="9121"/>
        </w:tabs>
        <w:spacing w:before="180" w:after="180"/>
        <w:jc w:val="center"/>
      </w:pPr>
      <w:proofErr w:type="spellStart"/>
      <w:r>
        <w:rPr>
          <w:i/>
          <w:iCs/>
        </w:rPr>
        <w:t>R_</w:t>
      </w:r>
      <w:proofErr w:type="gramStart"/>
      <w:r>
        <w:rPr>
          <w:i/>
          <w:iCs/>
        </w:rPr>
        <w:t>d</w:t>
      </w:r>
      <w:proofErr w:type="spellEnd"/>
      <w:r>
        <w:rPr>
          <w:i/>
          <w:iCs/>
        </w:rPr>
        <w:t>(</w:t>
      </w:r>
      <w:proofErr w:type="gramEnd"/>
      <w:r>
        <w:rPr>
          <w:i/>
          <w:iCs/>
        </w:rPr>
        <w:t xml:space="preserve">λ) = </w:t>
      </w:r>
      <w:r>
        <w:tab/>
        <w:t xml:space="preserve">{ t ∈ d : </w:t>
      </w:r>
      <w:proofErr w:type="spellStart"/>
      <w:r>
        <w:t>y_</w:t>
      </w:r>
      <w:r>
        <w:t>t</w:t>
      </w:r>
      <w:proofErr w:type="spellEnd"/>
      <w:r>
        <w:t xml:space="preserve"> = 1 ∧ </w:t>
      </w:r>
      <w:proofErr w:type="spellStart"/>
      <w:r>
        <w:t>p̂_t</w:t>
      </w:r>
      <w:proofErr w:type="spellEnd"/>
      <w:r>
        <w:t xml:space="preserve"> &lt; λ }</w:t>
      </w:r>
    </w:p>
    <w:p w:rsidR="0015244F" w:rsidRDefault="00A565B8">
      <w:pPr>
        <w:ind w:firstLine="567"/>
        <w:jc w:val="both"/>
      </w:pPr>
      <w:proofErr w:type="gramStart"/>
      <w:r>
        <w:t>and R̂(λ) averages over calibration units. 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proofErr w:type="gramEnd"/>
      <w:r/>
      <w:r>
        <w:rPr>
          <w:i/>
          <w:iCs/>
        </w:rPr>
      </w:r>
      <w:r/>
      <w:r>
        <w:rPr>
          <w:i/>
          <w:iCs/>
        </w:rPr>
      </w:r>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w:t>
      </w:r>
      <w:r>
        <w:t xml:space="preserve">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w:t>
      </w:r>
      <w:proofErr w:type="gramEnd"/>
      <w:r>
        <w:rPr>
          <w:i/>
          <w:iCs/>
        </w:rPr>
        <w:t xml:space="preserve"> ≥ 1/(n+1)   ⟺   n ≥ 1/α − 1</w:t>
      </w:r>
      <w:r>
        <w:tab/>
        <w:t>(4.11)</w:t>
      </w:r>
    </w:p>
    <w:p w:rsidR="0015244F" w:rsidRDefault="00A565B8">
      <w:pPr>
        <w:ind w:firstLine="567"/>
        <w:jc w:val="both"/>
      </w:pPr>
      <w:r>
        <w:t>Equation (4.11) is a campaign-design rule and a direct corollary of the bound in [21] rather than a new result: a study that wishes to promise a 5 % miss rate needs at least 19 calibration units and one promising 2 % needs 49, whatever the model does. With the 14 calibration blocks available in a held-out campaign here, the tightest expressible target is α ≥ 0.067. The rule is worth stating in a mobility context because campaign size is the binding constraint on what such a study can promise, and because it converts a modelling question into a data-collection question.</w:t>
      </w:r>
      <w:r>
        <w:rPr>
          <w:b/>
          <w:bCs/>
        </w:rPr>
      </w:r>
      <w:r/>
      <w:r/>
      <w:r>
        <w:rPr>
          <w:i/>
          <w:iCs/>
        </w:rPr>
      </w:r>
      <w:r/>
      <w:r/>
    </w:p>
    <w:p w:rsidR="0015244F" w:rsidRDefault="00A565B8">
      <w:pPr>
        <w:pStyle w:val="Heading2"/>
        <w:spacing w:before="360" w:after="140"/>
      </w:pPr>
      <w:r>
        <w:t>4.11 Point-process analysis of handover arrivals</w:t>
      </w:r>
    </w:p>
    <w:p w:rsidR="0015244F" w:rsidRDefault="00A565B8">
      <w:pPr>
        <w:ind w:firstLine="567"/>
        <w:jc w:val="both"/>
      </w:pPr>
      <w:r>
        <w:rPr>
          <w:b/>
          <w:bCs/>
        </w:rPr>
        <w:t>Motivation.</w:t>
      </w:r>
      <w:r>
        <w:t xml:space="preserve"> The ping-pong </w:t>
      </w:r>
      <w:proofErr w:type="spellStart"/>
      <w:r>
        <w:t>behaviour</w:t>
      </w:r>
      <w:proofErr w:type="spellEnd"/>
      <w:r>
        <w:t xml:space="preserve"> of Section 5.9 suggests that handovers do not arrive independently. Quantifying that clustering requires a mod</w:t>
      </w:r>
      <w:r>
        <w:t>el of the arrival process itself rather than of the per-sample probability.</w:t>
      </w:r>
    </w:p>
    <w:p w:rsidR="0015244F" w:rsidRDefault="00A565B8">
      <w:pPr>
        <w:ind w:firstLine="567"/>
        <w:jc w:val="both"/>
      </w:pPr>
      <w:r>
        <w:rPr>
          <w:b/>
          <w:bCs/>
        </w:rPr>
        <w:t>Design.</w:t>
      </w:r>
      <w:r>
        <w:t xml:space="preserve"> The handover arrival stream on each drive is modelled as a self-exciting Hawkes process [21], [22] with conditional intensity</w:t>
      </w:r>
    </w:p>
    <w:p w:rsidR="0015244F" w:rsidRDefault="00A565B8">
      <w:pPr>
        <w:tabs>
          <w:tab w:val="right" w:pos="9121"/>
        </w:tabs>
        <w:spacing w:before="180" w:after="180"/>
        <w:jc w:val="center"/>
      </w:pPr>
      <w:proofErr w:type="gramStart"/>
      <w:r>
        <w:rPr>
          <w:i/>
          <w:iCs/>
        </w:rPr>
        <w:t>μ(</w:t>
      </w:r>
      <w:proofErr w:type="gramEnd"/>
      <w:r>
        <w:rPr>
          <w:i/>
          <w:iCs/>
        </w:rPr>
        <w:t>t) = μ_0 + Σ_{</w:t>
      </w:r>
      <w:proofErr w:type="spellStart"/>
      <w:r>
        <w:rPr>
          <w:i/>
          <w:iCs/>
        </w:rPr>
        <w:t>t_i</w:t>
      </w:r>
      <w:proofErr w:type="spellEnd"/>
      <w:r>
        <w:rPr>
          <w:i/>
          <w:iCs/>
        </w:rPr>
        <w:t xml:space="preserve"> &lt; t} α · </w:t>
      </w:r>
      <w:proofErr w:type="spellStart"/>
      <w:r>
        <w:rPr>
          <w:i/>
          <w:iCs/>
        </w:rPr>
        <w:t>exp</w:t>
      </w:r>
      <w:proofErr w:type="spellEnd"/>
      <w:r>
        <w:rPr>
          <w:i/>
          <w:iCs/>
        </w:rPr>
        <w:t xml:space="preserve">( −β ( t − </w:t>
      </w:r>
      <w:proofErr w:type="spellStart"/>
      <w:r>
        <w:rPr>
          <w:i/>
          <w:iCs/>
        </w:rPr>
        <w:t>t_i</w:t>
      </w:r>
      <w:proofErr w:type="spellEnd"/>
      <w:r>
        <w:rPr>
          <w:i/>
          <w:iCs/>
        </w:rPr>
        <w:t xml:space="preserve"> ) )</w:t>
      </w:r>
      <w:r>
        <w:tab/>
        <w:t>(4.12)</w:t>
      </w:r>
    </w:p>
    <w:p w:rsidR="0015244F" w:rsidRDefault="00A565B8">
      <w:pPr>
        <w:ind w:firstLine="567"/>
        <w:jc w:val="both"/>
      </w:pPr>
      <w:proofErr w:type="gramStart"/>
      <w:r>
        <w:t>in</w:t>
      </w:r>
      <w:proofErr w:type="gramEnd"/>
      <w:r>
        <w:t xml:space="preserve"> which each arrival raises the intensity of subsequent arrivals by α and the excitation decays at rate β. The </w:t>
      </w:r>
      <w:r>
        <w:rPr>
          <w:b/>
          <w:bCs/>
        </w:rPr>
        <w:t>branching ratio</w:t>
      </w:r>
      <w:r>
        <w:t xml:space="preserve"> α/β is the expected number of direct offspring per event and </w:t>
      </w:r>
      <w:proofErr w:type="spellStart"/>
      <w:r>
        <w:t>summarises</w:t>
      </w:r>
      <w:proofErr w:type="spellEnd"/>
      <w:r>
        <w:t xml:space="preserve"> the strength of the clustering.</w:t>
      </w:r>
    </w:p>
    <w:p w:rsidR="0015244F" w:rsidRDefault="00A565B8">
      <w:pPr>
        <w:ind w:firstLine="567"/>
        <w:jc w:val="both"/>
      </w:pPr>
      <w:r>
        <w:rPr>
          <w:b/>
          <w:bCs/>
        </w:rPr>
        <w:t>Validation.</w:t>
      </w:r>
      <w:r>
        <w:t xml:space="preserve"> </w:t>
      </w:r>
      <w:r>
        <w:t>A fit alone is not evidence of self-excitation. Following the networking precedent of Price-Williams and Heard [24], the fit is validated by the residual analysis of Ogata [23]: the time axis is rescaled by the fitted compensator, and the transformed inter</w:t>
      </w:r>
      <w:r>
        <w:t>-arrival times are tested against a unit-rate exponential distribution by a Kolmogorov–Smirnov test on held-out drives. Section 5.10 reports both the branching ratio and the outcome of that test, including the respect in which the test rejects the fitted k</w:t>
      </w:r>
      <w:r>
        <w:t>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r/>
      <w:proofErr w:type="spellStart"/>
      <w:r/>
      <w:proofErr w:type="spellEnd"/>
      <w:r/>
      <w:r/>
    </w:p>
    <w:p w:rsidR="0015244F" w:rsidRDefault="00A565B8">
      <w:pPr>
        <w:ind w:firstLine="567"/>
        <w:jc w:val="both"/>
      </w:pPr>
      <w:r>
        <w:t>All figures in this chapter are computed out of fold under the leave-one-campaign-out protocol of Section 4.9 unless stated otherwise, from features lagged as described in Section 4.6.</w:t>
      </w:r>
      <w:r/>
    </w:p>
    <w:p w:rsidR="0015244F" w:rsidRDefault="00A565B8">
      <w:pPr>
        <w:pStyle w:val="Heading2"/>
        <w:spacing w:before="360" w:after="140"/>
      </w:pPr>
      <w:r>
        <w:t>5.1 The alignment audit and what it costs</w:t>
      </w:r>
    </w:p>
    <w:p w:rsidR="0015244F" w:rsidRDefault="00A565B8">
      <w:pPr>
        <w:ind w:firstLine="567"/>
        <w:jc w:val="both"/>
      </w:pPr>
      <w:r>
        <w:t>The first result of this chapter is not a prediction score. It is a property of the measurement export that determines what any prediction score on this data means.</w:t>
      </w:r>
      <w:proofErr w:type="spellStart"/>
      <w:r/>
      <w:proofErr w:type="spellEnd"/>
      <w:r/>
    </w:p>
    <w:p w:rsidR="0015244F" w:rsidRDefault="00A565B8">
      <w:pPr>
        <w:pStyle w:val="TableCaption"/>
        <w:spacing w:before="240" w:after="120" w:line="240" w:lineRule="auto"/>
        <w:jc w:val="center"/>
      </w:pPr>
      <w:r>
        <w:t>Table 5.1 The alignment audit: share of handovers whose target cell already serves in export rows around the command.</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blPrEx>
          <w:tblCellMar>
            <w:top w:w="0" w:type="dxa"/>
            <w:bottom w:w="0" w:type="dxa"/>
          </w:tblCellMar>
        </w:tblPrEx>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blPrEx>
          <w:tblCellMar>
            <w:top w:w="0" w:type="dxa"/>
            <w:bottom w:w="0" w:type="dxa"/>
          </w:tblCellMar>
        </w:tblPrEx>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r/>
      <w:proofErr w:type="spellStart"/>
      <w:r/>
      <w:proofErr w:type="spellEnd"/>
      <w:r/>
    </w:p>
    <w:tbl>
      <w:tblPr>
        <w:tblLook w:firstColumn="1" w:firstRow="1" w:lastColumn="0" w:lastRow="0" w:noHBand="0" w:noVBand="1" w:val="04A0"/>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p>
        </w:tc>
      </w:tr>
    </w:tbl>
    <w:p w:rsidR="0015244F" w:rsidRDefault="0015244F">
      <w:pPr>
        <w:spacing w:after="120" w:line="240" w:lineRule="auto"/>
      </w:pPr>
    </w:p>
    <w:p w:rsidR="0015244F" w:rsidRDefault="00A565B8">
      <w:pPr>
        <w:ind w:firstLine="567"/>
        <w:jc w:val="both"/>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r/>
      <w:r>
        <w:rPr>
          <w:i/>
          <w:iCs/>
        </w:rPr>
      </w:r>
      <w:r/>
      <w:r/>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p>
    <w:p w:rsidR="0015244F" w:rsidRDefault="00A565B8">
      <w:pPr>
        <w:ind w:firstLine="567"/>
        <w:jc w:val="both"/>
      </w:pPr>
      <w:r>
        <w:t>Three points are worth stating plainly. First, this is not a defect of the instrument: a one-hertz export has to summarise a second, and XCAL is not obliged to stamp that second at its end.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Third, it is cheap to detect, and the audit above is the recommendation this thesis makes to anyone building a predictor on a drive-test export.</w:t>
      </w:r>
      <w:r/>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w:t>
      </w:r>
      <w:r/>
      <w:r>
        <w:rPr>
          <w:i/>
          <w:iCs/>
        </w:rPr>
      </w:r>
      <w:r/>
    </w:p>
    <w:p w:rsidR="0015244F" w:rsidRDefault="00A565B8">
      <w:pPr>
        <w:keepNext/>
        <w:spacing w:before="240" w:after="120" w:line="240" w:lineRule="auto"/>
        <w:jc w:val="center"/>
      </w:pPr>
      <w:r>
        <w:rPr>
          <w:noProof/>
        </w:rPr>
        <w:lastRenderedPageBreak/>
        <w:drawing>
          <wp:inline distT="0" distB="0" distL="0" distR="0">
            <wp:extent cx="5762625" cy="2731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731504"/>
                    </a:xfrm>
                    <a:prstGeom prst="rect">
                      <a:avLst/>
                    </a:prstGeom>
                  </pic:spPr>
                </pic:pic>
              </a:graphicData>
            </a:graphic>
          </wp:inline>
        </w:drawing>
      </w:r>
    </w:p>
    <w:p w:rsidR="0015244F" w:rsidRDefault="00A565B8">
      <w:pPr>
        <w:pStyle w:val="FigureCaption"/>
        <w:spacing w:after="240" w:line="240" w:lineRule="auto"/>
        <w:jc w:val="center"/>
      </w:pPr>
      <w:r>
        <w:t>Figure 5.1 The alignment audit. Share of handovers whose target cell is already the serving cell in the export row three, two and one seconds before the row whose second contains the handover command (t), and one second after it.</w:t>
      </w:r>
      <w:r/>
      <w:r/>
    </w:p>
    <w:p w:rsidR="0015244F" w:rsidRDefault="00A565B8">
      <w:pPr>
        <w:keepNext/>
        <w:spacing w:before="240" w:after="120" w:line="240" w:lineRule="auto"/>
        <w:jc w:val="center"/>
      </w:pPr>
      <w:r>
        <w:rPr>
          <w:noProof/>
        </w:rPr>
        <w:lastRenderedPageBreak/>
        <w:drawing>
          <wp:inline distT="0" distB="0" distL="0" distR="0">
            <wp:extent cx="5762625"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93181"/>
                    </a:xfrm>
                    <a:prstGeom prst="rect">
                      <a:avLst/>
                    </a:prstGeom>
                  </pic:spPr>
                </pic:pic>
              </a:graphicData>
            </a:graphic>
          </wp:inline>
        </w:drawing>
      </w:r>
    </w:p>
    <w:p w:rsidR="0015244F" w:rsidRDefault="00A565B8">
      <w:pPr>
        <w:pStyle w:val="FigureCaption"/>
        <w:spacing w:after="240" w:line="240" w:lineRule="auto"/>
        <w:jc w:val="center"/>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pStyle w:val="Heading2"/>
        <w:spacing w:before="360" w:after="140"/>
      </w:pPr>
      <w:r>
        <w:t>5.2 The primary prediction result</w:t>
      </w:r>
    </w:p>
    <w:p w:rsidR="0015244F" w:rsidRDefault="00A565B8">
      <w:pPr>
        <w:ind w:firstLine="567"/>
        <w:jc w:val="both"/>
      </w:pPr>
      <w:r>
        <w:t>Table 5.3 reports the performance of the primary model, LightGBM under the hazard formulation, at all five horizons, out of fold under leave-one-campaign-out.</w:t>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r/>
      <w:proofErr w:type="spellStart"/>
      <w:r/>
      <w:proofErr w:type="spellEnd"/>
      <w:r/>
    </w:p>
    <w:p w:rsidR="0015244F" w:rsidRDefault="00A565B8">
      <w:pPr>
        <w:pStyle w:val="TableCaption"/>
        <w:spacing w:before="240" w:after="120" w:line="240" w:lineRule="auto"/>
        <w:jc w:val="center"/>
      </w:pPr>
      <w:r>
        <w:t>Table 5.3 Out-of-fold performance of LightGBM under the hazard formulation, leave-one-campaign-out. Intervals are block-bootstrapped over 180 s blocks and are conditional on these four sessions.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w:t>
      </w:r>
    </w:p>
    <w:tbl>
      <w:tblPr>
        <w:tblLook w:firstColumn="1" w:firstRow="1" w:lastColumn="0" w:lastRow="0" w:noHBand="0" w:noVBand="1" w:val="04A0"/>
        <w:tblLayout w:type="autofit"/>
      </w:tblPr>
      <w:tblGrid>
        <w:gridCol/>
        <w:gridCol/>
        <w:gridCol/>
        <w:gridCol/>
        <w:gridCol/>
        <w:gridCol/>
      </w:tblGrid>
      <w:tr>
        <w:tc>
          <w:tcPr/>
          <w:p>
            <w:r>
              <w:t>Learner</w:t>
            </w:r>
          </w:p>
        </w:tc>
        <w:tc>
          <w:tcPr/>
          <w:p>
            <w:r>
              <w:t>AUPRC 1 s</w:t>
            </w:r>
          </w:p>
        </w:tc>
        <w:tc>
          <w:tcPr/>
          <w:p>
            <w:r>
              <w:t>Lift 1 s</w:t>
            </w:r>
          </w:p>
        </w:tc>
        <w:tc>
          <w:tcPr/>
          <w:p>
            <w:r>
              <w:t>AUROC 1 s</w:t>
            </w:r>
          </w:p>
        </w:tc>
        <w:tc>
          <w:tcPr/>
          <w:p>
            <w:r>
              <w:t>AUPRC 5 s</w:t>
            </w:r>
          </w:p>
        </w:tc>
        <w:tc>
          <w:tcPr/>
          <w:p>
            <w:r>
              <w:t>Lift 5 s</w:t>
            </w:r>
          </w:p>
        </w:tc>
      </w:tr>
      <w:tr>
        <w:tc>
          <w:tcPr/>
          <w:p>
            <w:r>
              <w:t>LightGBM</w:t>
            </w:r>
          </w:p>
        </w:tc>
        <w:tc>
          <w:tcPr/>
          <w:p>
            <w:r>
              <w:t>0.179</w:t>
            </w:r>
          </w:p>
        </w:tc>
        <w:tc>
          <w:tcPr/>
          <w:p>
            <w:r>
              <w:t>2.6×</w:t>
            </w:r>
          </w:p>
        </w:tc>
        <w:tc>
          <w:tcPr/>
          <w:p>
            <w:r>
              <w:t>0.777</w:t>
            </w:r>
          </w:p>
        </w:tc>
        <w:tc>
          <w:tcPr/>
          <w:p>
            <w:r>
              <w:t>0.475</w:t>
            </w:r>
          </w:p>
        </w:tc>
        <w:tc>
          <w:tcPr/>
          <w:p>
            <w:r>
              <w:t>1.8×</w:t>
            </w:r>
          </w:p>
        </w:tc>
      </w:tr>
      <w:tr>
        <w:tc>
          <w:tcPr/>
          <w:p>
            <w:r>
              <w:t>MLP</w:t>
            </w:r>
          </w:p>
        </w:tc>
        <w:tc>
          <w:tcPr/>
          <w:p>
            <w:r>
              <w:t>0.173</w:t>
            </w:r>
          </w:p>
        </w:tc>
        <w:tc>
          <w:tcPr/>
          <w:p>
            <w:r>
              <w:t>2.5×</w:t>
            </w:r>
          </w:p>
        </w:tc>
        <w:tc>
          <w:tcPr/>
          <w:p>
            <w:r>
              <w:t>0.755</w:t>
            </w:r>
          </w:p>
        </w:tc>
        <w:tc>
          <w:tcPr/>
          <w:p>
            <w:r>
              <w:t>0.467</w:t>
            </w:r>
          </w:p>
        </w:tc>
        <w:tc>
          <w:tcPr/>
          <w:p>
            <w:r>
              <w:t>1.8×</w:t>
            </w:r>
          </w:p>
        </w:tc>
      </w:tr>
      <w:tr>
        <w:tc>
          <w:tcPr/>
          <w:p>
            <w:r>
              <w:t>TCN</w:t>
            </w:r>
          </w:p>
        </w:tc>
        <w:tc>
          <w:tcPr/>
          <w:p>
            <w:r>
              <w:t>0.167</w:t>
            </w:r>
          </w:p>
        </w:tc>
        <w:tc>
          <w:tcPr/>
          <w:p>
            <w:r>
              <w:t>2.5×</w:t>
            </w:r>
          </w:p>
        </w:tc>
        <w:tc>
          <w:tcPr/>
          <w:p>
            <w:r>
              <w:t>0.755</w:t>
            </w:r>
          </w:p>
        </w:tc>
        <w:tc>
          <w:tcPr/>
          <w:p>
            <w:r>
              <w:t>0.481</w:t>
            </w:r>
          </w:p>
        </w:tc>
        <w:tc>
          <w:tcPr/>
          <w:p>
            <w:r>
              <w:t>1.8×</w:t>
            </w:r>
          </w:p>
        </w:tc>
      </w:tr>
      <w:tr>
        <w:tc>
          <w:tcPr/>
          <w:p>
            <w:r>
              <w:t>Transformer</w:t>
            </w:r>
          </w:p>
        </w:tc>
        <w:tc>
          <w:tcPr/>
          <w:p>
            <w:r>
              <w:t>0.152</w:t>
            </w:r>
          </w:p>
        </w:tc>
        <w:tc>
          <w:tcPr/>
          <w:p>
            <w:r>
              <w:t>2.2×</w:t>
            </w:r>
          </w:p>
        </w:tc>
        <w:tc>
          <w:tcPr/>
          <w:p>
            <w:r>
              <w:t>0.728</w:t>
            </w:r>
          </w:p>
        </w:tc>
        <w:tc>
          <w:tcPr/>
          <w:p>
            <w:r>
              <w:t>0.453</w:t>
            </w:r>
          </w:p>
        </w:tc>
        <w:tc>
          <w:tcPr/>
          <w:p>
            <w:r>
              <w:t>1.7×</w:t>
            </w:r>
          </w:p>
        </w:tc>
      </w:tr>
      <w:tr>
        <w:tc>
          <w:tcPr/>
          <w:p>
            <w:r>
              <w:t>GRU</w:t>
            </w:r>
          </w:p>
        </w:tc>
        <w:tc>
          <w:tcPr/>
          <w:p>
            <w:r>
              <w:t>0.130</w:t>
            </w:r>
          </w:p>
        </w:tc>
        <w:tc>
          <w:tcPr/>
          <w:p>
            <w:r>
              <w:t>1.9×</w:t>
            </w:r>
          </w:p>
        </w:tc>
        <w:tc>
          <w:tcPr/>
          <w:p>
            <w:r>
              <w:t>0.710</w:t>
            </w:r>
          </w:p>
        </w:tc>
        <w:tc>
          <w:tcPr/>
          <w:p>
            <w:r>
              <w:t>0.438</w:t>
            </w:r>
          </w:p>
        </w:tc>
        <w:tc>
          <w:tcPr/>
          <w:p>
            <w:r>
              <w:t>1.7×</w:t>
            </w:r>
          </w:p>
        </w:tc>
      </w:tr>
      <w:tr>
        <w:tc>
          <w:tcPr/>
          <w:p>
            <w:r>
              <w:t>Logistic regression</w:t>
            </w:r>
          </w:p>
        </w:tc>
        <w:tc>
          <w:tcPr/>
          <w:p>
            <w:r>
              <w:t>0.130</w:t>
            </w:r>
          </w:p>
        </w:tc>
        <w:tc>
          <w:tcPr/>
          <w:p>
            <w:r>
              <w:t>1.9×</w:t>
            </w:r>
          </w:p>
        </w:tc>
        <w:tc>
          <w:tcPr/>
          <w:p>
            <w:r>
              <w:t>0.671</w:t>
            </w:r>
          </w:p>
        </w:tc>
        <w:tc>
          <w:tcPr/>
          <w:p>
            <w:r>
              <w:t>0.417</w:t>
            </w:r>
          </w:p>
        </w:tc>
        <w:tc>
          <w:tcPr/>
          <w:p>
            <w:r>
              <w:t>1.6×</w:t>
            </w:r>
          </w:p>
        </w:tc>
      </w:tr>
      <w:tr>
        <w:tc>
          <w:tcPr/>
          <w:p>
            <w:r>
              <w:t>Hawkes-kernel intensity (LR)</w:t>
            </w:r>
          </w:p>
        </w:tc>
        <w:tc>
          <w:tcPr/>
          <w:p>
            <w:r>
              <w:t>0.120</w:t>
            </w:r>
          </w:p>
        </w:tc>
        <w:tc>
          <w:tcPr/>
          <w:p>
            <w:r>
              <w:t>1.8×</w:t>
            </w:r>
          </w:p>
        </w:tc>
        <w:tc>
          <w:tcPr/>
          <w:p>
            <w:r>
              <w:t>0.666</w:t>
            </w:r>
          </w:p>
        </w:tc>
        <w:tc>
          <w:tcPr/>
          <w:p>
            <w:r>
              <w:t>0.403</w:t>
            </w:r>
          </w:p>
        </w:tc>
        <w:tc>
          <w:tcPr/>
          <w:p>
            <w:r>
              <w:t>1.5×</w:t>
            </w:r>
          </w:p>
        </w:tc>
      </w:tr>
      <w:tr>
        <w:tc>
          <w:tcPr/>
          <w:p>
            <w:r>
              <w:t>Event A3 rule (deployed parameters)</w:t>
            </w:r>
          </w:p>
        </w:tc>
        <w:tc>
          <w:tcPr/>
          <w:p>
            <w:r>
              <w:t>0.116</w:t>
            </w:r>
          </w:p>
        </w:tc>
        <w:tc>
          <w:tcPr/>
          <w:p>
            <w:r>
              <w:t>1.7×</w:t>
            </w:r>
          </w:p>
        </w:tc>
        <w:tc>
          <w:tcPr/>
          <w:p>
            <w:r>
              <w:t>0.689</w:t>
            </w:r>
          </w:p>
        </w:tc>
        <w:tc>
          <w:tcPr/>
          <w:p>
            <w:r>
              <w:t>0.374</w:t>
            </w:r>
          </w:p>
        </w:tc>
        <w:tc>
          <w:tcPr/>
          <w:p>
            <w:r>
              <w:t>1.4×</w:t>
            </w:r>
          </w:p>
        </w:tc>
      </w:tr>
      <w:tr>
        <w:tc>
          <w:tcPr/>
          <w:p>
            <w:r>
              <w:t>History block only (LightGBM)</w:t>
            </w:r>
          </w:p>
        </w:tc>
        <w:tc>
          <w:tcPr/>
          <w:p>
            <w:r>
              <w:t>0.114</w:t>
            </w:r>
          </w:p>
        </w:tc>
        <w:tc>
          <w:tcPr/>
          <w:p>
            <w:r>
              <w:t>1.7×</w:t>
            </w:r>
          </w:p>
        </w:tc>
        <w:tc>
          <w:tcPr/>
          <w:p>
            <w:r>
              <w:t>0.652</w:t>
            </w:r>
          </w:p>
        </w:tc>
        <w:tc>
          <w:tcPr/>
          <w:p>
            <w:r>
              <w:t>0.397</w:t>
            </w:r>
          </w:p>
        </w:tc>
        <w:tc>
          <w:tcPr/>
          <w:p>
            <w:r>
              <w:t>1.5×</w:t>
            </w:r>
          </w:p>
        </w:tc>
      </w:tr>
      <w:tr>
        <w:tc>
          <w:tcPr/>
          <w:p>
            <w:r>
              <w:t>Dwell time only (LightGBM)</w:t>
            </w:r>
          </w:p>
        </w:tc>
        <w:tc>
          <w:tcPr/>
          <w:p>
            <w:r>
              <w:t>0.105</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One second before a handover command the model reaches AUPRC 0.179 against a prevalence floor of 6.8%, a lift of 2.6x, at AUROC 0.777 and an expected calibration error of 0.012. At five seconds it reaches AUPRC 0.475 against a 26.1% floor, a lift of 1.8x. The deployed Event A3 rule, scored on the same rows as a predictor, reaches AUPRC 0.116 at one second (1.7x) and AUROC 0.689. The model is therefore materially better than the deployed rule and materially worse than the same model was before the alignment audit; both statements belong in the same paragraph.</w:t>
      </w:r>
      <w:proofErr w:type="spellStart"/>
      <w:r/>
      <w:proofErr w:type="spellEnd"/>
      <w:r/>
      <w:r/>
      <w: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r/>
    </w:p>
    <w:p w:rsidR="0015244F" w:rsidRDefault="00A565B8">
      <w:pPr>
        <w:ind w:firstLine="567"/>
        <w:jc w:val="both"/>
      </w:pPr>
      <w:r>
        <w:t>The interval on each AUPRC in Table 5.3 comes from a block bootstrap over 180-second blocks and is conditional on these four sessions. The per-campaign spread in Table 5.8 is wider than that interval, which is the honest measure of how much a fifth campaign could move these numbers.</w:t>
      </w:r>
      <w:r/>
      <w:proofErr w:type="spellStart"/>
      <w:r/>
      <w:proofErr w:type="spellEnd"/>
      <w:r/>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Figure 5.4 One-second AUPRC lift by learner, with each held-out campaign drawn separately. The spread across campaigns is wider than the spread across learners.</w:t>
      </w:r>
    </w:p>
    <w:p w:rsidR="0015244F" w:rsidRDefault="00A565B8">
      <w:pPr>
        <w:pStyle w:val="Heading2"/>
        <w:spacing w:before="360" w:after="140"/>
      </w:pPr>
      <w:r>
        <w:t>5.3 Splitting protocol: what each unit is worth</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roofErr w:type="spellStart"/>
      <w:r/>
      <w:proofErr w:type="spellEnd"/>
      <w:r/>
      <w:r/>
      <w:r/>
    </w:p>
    <w:p w:rsidR="0015244F" w:rsidRDefault="00A565B8">
      <w:pPr>
        <w:pStyle w:val="TableCaption"/>
        <w:spacing w:before="240" w:after="120" w:line="240" w:lineRule="auto"/>
        <w:jc w:val="center"/>
      </w:pPr>
      <w:r>
        <w:t>Table 5.5 One-second AUPRC under four splitting protocols, with all else held fixed.</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blPrEx>
          <w:tblCellMar>
            <w:top w:w="0" w:type="dxa"/>
            <w:bottom w:w="0" w:type="dxa"/>
          </w:tblCellMar>
        </w:tblPrEx>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blPrEx>
          <w:tblCellMar>
            <w:top w:w="0" w:type="dxa"/>
            <w:bottom w:w="0" w:type="dxa"/>
          </w:tblCellMar>
        </w:tblPrEx>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blPrEx>
          <w:tblCellMar>
            <w:top w:w="0" w:type="dxa"/>
            <w:bottom w:w="0" w:type="dxa"/>
          </w:tblCellMar>
        </w:tblPrEx>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p w:rsidR="0015244F" w:rsidRDefault="00A565B8">
      <w:pPr>
        <w:ind w:firstLine="567"/>
        <w:jc w:val="both"/>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deployed A3 rule, which has no parameters to over-fit with, moves by +0 % across the whole ladder and is the control that shows the effect is over-fitting rather than a difference in test-set difficulty.</w:t>
      </w:r>
      <w:r/>
      <w:r/>
      <w:proofErr w:type="spellStart"/>
      <w:r/>
      <w:proofErr w:type="spellEnd"/>
      <w:r/>
      <w:r/>
      <w:proofErr w:type="spellStart"/>
      <w:r/>
      <w:proofErr w:type="spellEnd"/>
      <w:r/>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rPr>
          <w:b/>
          <w:bCs/>
        </w:rPr>
      </w:r>
      <w:r/>
      <w:r/>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r/>
    </w:p>
    <w:p w:rsidR="0015244F" w:rsidRDefault="00A565B8">
      <w:pPr>
        <w:pStyle w:val="TableCaption"/>
        <w:spacing w:before="240" w:after="120" w:line="240" w:lineRule="auto"/>
        <w:jc w:val="center"/>
      </w:pPr>
      <w:r>
        <w:t>Table 5.6 Horizon coherence and calibration for the hazard formulation and its four controls.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blPrEx>
          <w:tblCellMar>
            <w:top w:w="0" w:type="dxa"/>
            <w:bottom w:w="0" w:type="dxa"/>
          </w:tblCellMar>
        </w:tblPrEx>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29.0 %</w:t>
            </w:r>
          </w:p>
        </w:tc>
        <w:tc>
          <w:tcPr>
            <w:tcMar>
              <w:top w:w="60" w:type="dxa"/>
              <w:left w:w="100" w:type="dxa"/>
              <w:bottom w:w="60" w:type="dxa"/>
              <w:right w:w="100" w:type="dxa"/>
            </w:tcMar>
          </w:tcPr>
          <w:p>
            <w:r>
              <w:t>0.020</w:t>
            </w:r>
          </w:p>
        </w:tc>
        <w:tc>
          <w:tcPr>
            <w:tcMar>
              <w:top w:w="60" w:type="dxa"/>
              <w:left w:w="100" w:type="dxa"/>
              <w:bottom w:w="60" w:type="dxa"/>
              <w:right w:w="100" w:type="dxa"/>
            </w:tcMar>
          </w:tcPr>
          <w:p>
            <w:r>
              <w:t>0.377</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33.4 %</w:t>
            </w:r>
          </w:p>
        </w:tc>
        <w:tc>
          <w:tcPr>
            <w:tcMar>
              <w:top w:w="60" w:type="dxa"/>
              <w:left w:w="100" w:type="dxa"/>
              <w:bottom w:w="60" w:type="dxa"/>
              <w:right w:w="100" w:type="dxa"/>
            </w:tcMar>
          </w:tcPr>
          <w:p>
            <w:r>
              <w:t>0.021</w:t>
            </w:r>
          </w:p>
        </w:tc>
        <w:tc>
          <w:tcPr>
            <w:tcMar>
              <w:top w:w="60" w:type="dxa"/>
              <w:left w:w="100" w:type="dxa"/>
              <w:bottom w:w="60" w:type="dxa"/>
              <w:right w:w="100" w:type="dxa"/>
            </w:tcMar>
          </w:tcPr>
          <w:p>
            <w:r>
              <w:t>0.416</w:t>
            </w:r>
          </w:p>
        </w:tc>
        <w:tc>
          <w:tcPr>
            <w:tcMar>
              <w:top w:w="60" w:type="dxa"/>
              <w:left w:w="100" w:type="dxa"/>
              <w:bottom w:w="60" w:type="dxa"/>
              <w:right w:w="100" w:type="dxa"/>
            </w:tcMar>
          </w:tcPr>
          <w:p>
            <w:r>
              <w:t>0.016</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w:t>
      </w:r>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33.4%,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
        <w:rPr>
          <w:i/>
          <w:iCs/>
        </w:rPr>
      </w:r>
      <w:r/>
      <w:r/>
      <w:r>
        <w:rPr>
          <w:i/>
          <w:iCs/>
        </w:rPr>
      </w:r>
      <w: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It also inherits the censoring treatment of Section 4.4 and estimates one model rather than five. On a larger dataset, isotonic calibration followed by a monotone projection would be the stronger choice, and this thesis says so.</w:t>
      </w:r>
      <w:r/>
      <w:r>
        <w:rPr>
          <w:i/>
          <w:iCs/>
        </w:rPr>
      </w:r>
      <w:r/>
      <w:r/>
      <w:r>
        <w:rPr>
          <w:i/>
          <w:iCs/>
        </w:rPr>
      </w:r>
      <w:r/>
      <w:r/>
      <w:r/>
    </w:p>
    <w:p w:rsidR="0015244F" w:rsidRDefault="00A565B8">
      <w:pPr>
        <w:ind w:firstLine="567"/>
        <w:jc w:val="both"/>
      </w:pPr>
      <w:r>
        <w:t>Figure 5.8 places the arms on the same axes: calibration error across the horizon on the left, violation rate on the right.</w:t>
      </w:r>
      <w:proofErr w:type="spellStart"/>
      <w:r/>
      <w:proofErr w:type="spellEnd"/>
      <w:r/>
      <w:r/>
      <w:r>
        <w:rPr>
          <w:i/>
          <w:iCs/>
        </w:rPr>
      </w:r>
      <w:r/>
    </w:p>
    <w:p w:rsidR="0015244F" w:rsidRDefault="00A565B8">
      <w:pPr>
        <w:ind w:firstLine="567"/>
        <w:jc w:val="both"/>
      </w:pPr>
      <w:r>
        <w:t>Because only four campaigns are available, the paired comparison between formulations is over four observations. The hazard arm has the lower calibration error on 0 of the four held-out campaigns at one second; the exact two-sided sign-test p-value for four paired observations cannot fall below 0.125, so no significance is claimed and the per-campaign numbers are reported in full in Appendix A.</w:t>
      </w:r>
      <w:r/>
      <w:r/>
    </w:p>
    <w:p w:rsidR="0015244F" w:rsidRDefault="00A565B8">
      <w:pPr>
        <w:keepNext/>
        <w:spacing w:before="240" w:after="120" w:line="240" w:lineRule="auto"/>
        <w:jc w:val="center"/>
      </w:pPr>
      <w:r>
        <w:rPr>
          <w:noProof/>
        </w:rPr>
        <w:lastRenderedPageBreak/>
        <w:drawing>
          <wp:inline distT="0" distB="0" distL="0" distR="0">
            <wp:extent cx="5438775" cy="3052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2972"/>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r/>
    </w:p>
    <w:p w:rsidR="0015244F" w:rsidRDefault="00A565B8">
      <w:pPr>
        <w:keepNext/>
        <w:spacing w:before="240" w:after="120" w:line="240" w:lineRule="auto"/>
        <w:jc w:val="center"/>
      </w:pPr>
      <w:r>
        <w:rPr>
          <w:noProof/>
        </w:rPr>
        <w:lastRenderedPageBreak/>
        <w:drawing>
          <wp:inline distT="0" distB="0" distL="0" distR="0">
            <wp:extent cx="5762625" cy="2594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594546"/>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lastRenderedPageBreak/>
        <w:t>The</w:t>
      </w:r>
      <w:r>
        <w:t xml:space="preserve"> operational meaning of an expected calibration error of 0.024 at the one-second horizon is worth stating plainly, because a calibration figure is easy to report and easy to ignore. It means that among the samples on which the system asserts a probability </w:t>
      </w:r>
      <w:r>
        <w:t>near 0.8, a handover follows within one second on approximately 80 % of occasions. That is what permits the output to enter a decision rule rather than merely to sort samples, and it is what none of the 22 audited models in Section 2.3 reports. Together wi</w:t>
      </w:r>
      <w:r>
        <w:t>th Section 5.5 this answers objective O3.</w:t>
      </w:r>
    </w:p>
    <w:p w:rsidR="0015244F" w:rsidRDefault="00A565B8">
      <w:pPr>
        <w:pStyle w:val="Heading2"/>
        <w:spacing w:before="360" w:after="140"/>
      </w:pPr>
      <w:r>
        <w:t>Table 5.7 reports conformal risk control in the two regimes described in Section 4.10.</w:t>
      </w:r>
    </w:p>
    <w:p w:rsidR="0015244F" w:rsidRDefault="00A565B8">
      <w:pPr>
        <w:ind w:firstLine="567"/>
        <w:jc w:val="both"/>
      </w:pPr>
      <w:r>
        <w:t>Table 5.5 reports the conformal risk-control frontier obtained by the procedure of Section 4.10 on 28 held-out calibration drives.</w:t>
      </w:r>
    </w:p>
    <w:p w:rsidR="0015244F" w:rsidRDefault="00A565B8">
      <w:pPr>
        <w:pStyle w:val="TableCaption"/>
        <w:spacing w:before="240" w:after="120" w:line="240" w:lineRule="auto"/>
        <w:jc w:val="center"/>
      </w:pPr>
      <w:r>
        <w:t>Three observations follow.</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Exchangeable units: alarm rate</w:t>
            </w:r>
          </w:p>
        </w:tc>
        <w:tc>
          <w:tcPr>
            <w:tcMar>
              <w:top w:w="60" w:type="dxa"/>
              <w:left w:w="100" w:type="dxa"/>
              <w:bottom w:w="60" w:type="dxa"/>
              <w:right w:w="100" w:type="dxa"/>
            </w:tcMar>
          </w:tcPr>
          <w:p>
            <w:r>
              <w:t>Exchangeable units: realised miss rate</w:t>
            </w:r>
          </w:p>
        </w:tc>
        <w:tc>
          <w:tcPr>
            <w:tcMar>
              <w:top w:w="60" w:type="dxa"/>
              <w:left w:w="100" w:type="dxa"/>
              <w:bottom w:w="60" w:type="dxa"/>
              <w:right w:w="100" w:type="dxa"/>
            </w:tcMar>
          </w:tcPr>
          <w:p>
            <w:r>
              <w:t>Across campaigns: realised miss rate</w:t>
            </w:r>
          </w:p>
        </w:tc>
        <w:tc>
          <w:tcPr>
            <w:tcMar>
              <w:top w:w="60" w:type="dxa"/>
              <w:left w:w="100" w:type="dxa"/>
              <w:bottom w:w="60" w:type="dxa"/>
              <w:right w:w="100" w:type="dxa"/>
            </w:tcMar>
          </w:tcPr>
          <w:p>
            <w:r>
              <w:t>Across campaigns: rotations respecting the bound</w:t>
            </w:r>
          </w:p>
        </w:tc>
      </w:tr>
      <w:tr w:rsidR="0015244F">
        <w:tblPrEx>
          <w:tblCellMar>
            <w:top w:w="0" w:type="dxa"/>
            <w:bottom w:w="0" w:type="dxa"/>
          </w:tblCellMar>
        </w:tblPrEx>
        <w:trPr>
          <w:tblHeader/>
        </w:trPr>
        <w:tc>
          <w:tcPr>
            <w:tcMar>
              <w:top w:w="60" w:type="dxa"/>
              <w:left w:w="100" w:type="dxa"/>
              <w:bottom w:w="60" w:type="dxa"/>
              <w:right w:w="100" w:type="dxa"/>
            </w:tcMar>
          </w:tcPr>
          <w:p>
            <w:r>
              <w:t>0.05</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0.000</w:t>
            </w:r>
          </w:p>
        </w:tc>
        <w:tc>
          <w:tcPr>
            <w:tcMar>
              <w:top w:w="60" w:type="dxa"/>
              <w:left w:w="100" w:type="dxa"/>
              <w:bottom w:w="60" w:type="dxa"/>
              <w:right w:w="100" w:type="dxa"/>
            </w:tcMar>
          </w:tcPr>
          <w:p>
            <w:r>
              <w:t>100 %</w:t>
            </w:r>
          </w:p>
        </w:tc>
      </w:tr>
      <w:tr w:rsidR="0015244F">
        <w:tblPrEx>
          <w:tblCellMar>
            <w:top w:w="0" w:type="dxa"/>
            <w:bottom w:w="0" w:type="dxa"/>
          </w:tblCellMar>
        </w:tblPrEx>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r>
      <w:tr w:rsidR="0015244F">
        <w:tblPrEx>
          <w:tblCellMar>
            <w:top w:w="0" w:type="dxa"/>
            <w:bottom w:w="0" w:type="dxa"/>
          </w:tblCellMar>
        </w:tblPrEx>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r>
      <w:tr w:rsidR="0015244F">
        <w:tblPrEx>
          <w:tblCellMar>
            <w:top w:w="0" w:type="dxa"/>
            <w:bottom w:w="0" w:type="dxa"/>
          </w:tblCellMar>
        </w:tblPrEx>
        <w:trPr>
          <w:tblHeader/>
        </w:trPr>
        <w:tc>
          <w:tcPr>
            <w:tcMar>
              <w:top w:w="60" w:type="dxa"/>
              <w:left w:w="100" w:type="dxa"/>
              <w:bottom w:w="60" w:type="dxa"/>
              <w:right w:w="100" w:type="dxa"/>
            </w:tcMar>
          </w:tcPr>
          <w:p>
            <w:r>
              <w:t>Feasibility floor with n = 14</w:t>
            </w:r>
          </w:p>
        </w:tc>
        <w:tc>
          <w:tcPr>
            <w:tcMar>
              <w:top w:w="60" w:type="dxa"/>
              <w:left w:w="100" w:type="dxa"/>
              <w:bottom w:w="60" w:type="dxa"/>
              <w:right w:w="100" w:type="dxa"/>
            </w:tcMar>
          </w:tcPr>
          <w:p>
            <w:r>
              <w:t>α ≥ 0.067</w:t>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First, in the exchangeable regime — calibration and test units drawn from the same pool of 180-second blocks — the realised mean per-unit miss rate sits at or below the target at every level tested. At α = 0.20 the certified threshold alarms on 47% of rows and realises a mean per-unit miss rate of 0.168.</w:t>
      </w:r>
    </w:p>
    <w:p w:rsidR="0015244F" w:rsidRDefault="00A565B8">
      <w:pPr>
        <w:ind w:firstLine="567"/>
        <w:jc w:val="both"/>
      </w:pPr>
      <w:r>
        <w:t>Second, in the regime an operator actually faces — calibrate on one campaign, deploy on another — the guarantee is not distribution-free any more, because the units are not exchangeable. Across the 12 campaign rotations the mean realised loss at α = 0.20 is 0.153 and the bound is respected in 83% of rotations. Reporting this is the point of the section: the procedure is only as good as the exchangeability assumption, and a campaign is a distribution shift.</w:t>
      </w:r>
      <w:proofErr w:type="spellStart"/>
      <w:r/>
      <w:proofErr w:type="spellEnd"/>
      <w:r/>
      <w:r/>
    </w:p>
    <w:p w:rsidR="0015244F" w:rsidRDefault="00A565B8">
      <w:pPr>
        <w:ind w:firstLine="567"/>
        <w:jc w:val="both"/>
      </w:pPr>
      <w:r>
        <w:t>Third, the guarantee is expensive at tight targets, and the number of calibration units binds independently of model quality. At α = 0.05 the threshold alarms on 86% of rows, which is not an operating point any operator would deploy. And the campaigns differ in size: a calibration campaign of n blocks can express no target below 1/(n+1), so with 8 to 20 blocks per campaign the floor runs from 0.048 to 0.111, and only 25% of the rotations can express α = 0.05 at all.</w:t>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proofErr w:type="spellStart"/>
      <w:r/>
      <w:proofErr w:type="spellEnd"/>
      <w: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blPrEx>
          <w:tblCellMar>
            <w:top w:w="0" w:type="dxa"/>
            <w:bottom w:w="0" w:type="dxa"/>
          </w:tblCellMar>
        </w:tblPrEx>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
        <w:rPr>
          <w:b/>
          <w:bCs/>
        </w:rPr>
      </w:r>
      <w:r>
        <w:rPr>
          <w:b/>
          <w:bCs/>
        </w:rPr>
      </w:r>
      <w:r/>
      <w:r/>
    </w:p>
    <w:p w:rsidR="0015244F" w:rsidRDefault="00A565B8">
      <w:pPr>
        <w:keepNext/>
        <w:spacing w:before="240" w:after="120" w:line="240" w:lineRule="auto"/>
        <w:jc w:val="center"/>
      </w:pPr>
      <w:r>
        <w:rPr>
          <w:noProof/>
        </w:rPr>
        <w:drawing>
          <wp:inline distT="0" distB="0" distL="0" distR="0">
            <wp:extent cx="5762625" cy="2504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504714"/>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bar holds one campaign out entirely and trains on the other three; the dashed line is the pooled out-of-fold value. The highway campaign is in red.</w:t>
      </w:r>
      <w:r/>
    </w:p>
    <w:p w:rsidR="0015244F" w:rsidRDefault="00A565B8">
      <w:pPr>
        <w:pStyle w:val="Heading2"/>
        <w:spacing w:before="360" w:after="140"/>
      </w:pPr>
      <w:r>
        <w:t>5.7 An independent collection on the same network</w:t>
      </w:r>
    </w:p>
    <w:p w:rsidR="0015244F" w:rsidRDefault="00A565B8">
      <w:pPr>
        <w:ind w:firstLine="567"/>
        <w:jc w:val="both"/>
      </w:pPr>
      <w:r>
        <w:t>The second generalisation experiment uses a publicly released LTE drive-test dataset [37].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roofErr w:type="spellStart"/>
      <w:r/>
      <w:proofErr w:type="spellEnd"/>
      <w:r/>
      <w:r/>
    </w:p>
    <w:p w:rsidR="0015244F" w:rsidRDefault="00A565B8">
      <w:pPr>
        <w:pStyle w:val="TableCaption"/>
        <w:spacing w:before="240" w:after="120" w:line="240" w:lineRule="auto"/>
        <w:jc w:val="center"/>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blPrEx>
          <w:tblCellMar>
            <w:top w:w="0" w:type="dxa"/>
            <w:bottom w:w="0" w:type="dxa"/>
          </w:tblCellMar>
        </w:tblPrEx>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blPrEx>
          <w:tblCellMar>
            <w:top w:w="0" w:type="dxa"/>
            <w:bottom w:w="0" w:type="dxa"/>
          </w:tblCellMar>
        </w:tblPrEx>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r/>
      <w:r>
        <w:rPr>
          <w:b/>
          <w:bCs/>
        </w:rPr>
      </w:r>
      <w:r/>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Figure 5.11 Transfer to an independently collected dataset on the same network, with both domains built from L3 signalling alone. Bars are 95 % bootstrap intervals over runs.</w:t>
      </w:r>
      <w:r/>
      <w:r/>
    </w:p>
    <w:p w:rsidR="0015244F" w:rsidRDefault="00A565B8">
      <w:pPr>
        <w:pStyle w:val="Heading2"/>
        <w:spacing w:before="360" w:after="140"/>
      </w:pPr>
      <w:r>
        <w:t>5.8 What the model uses, and where it works</w:t>
      </w:r>
      <w:r/>
    </w:p>
    <w:p w:rsidR="0015244F" w:rsidRDefault="00A565B8">
      <w:pPr>
        <w:ind w:firstLine="567"/>
        <w:jc w:val="both"/>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pStyle w:val="TableCaption"/>
        <w:spacing w:before="240" w:after="120" w:line="240" w:lineRule="auto"/>
        <w:jc w:val="center"/>
      </w:pPr>
      <w:r>
        <w:t>Table 5.10 Single-feature AUROC at the one-second horizon on the lagged export.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blPrEx>
          <w:tblCellMar>
            <w:top w:w="0" w:type="dxa"/>
            <w:bottom w:w="0" w:type="dxa"/>
          </w:tblCellMar>
        </w:tblPrEx>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at one second on the lagged export. No single feature approaches the full model.</w:t>
      </w:r>
      <w:proofErr w:type="spellStart"/>
      <w:r/>
      <w:proofErr w:type="spellEnd"/>
      <w:r/>
    </w:p>
    <w:p w:rsidR="0015244F" w:rsidRDefault="00A565B8">
      <w:pPr>
        <w:ind w:firstLine="567"/>
        <w:jc w:val="both"/>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r/>
      <w:r/>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proofErr w:type="spellStart"/>
      <w:r/>
      <w:proofErr w:type="spellEnd"/>
      <w:r/>
      <w:r/>
      <w:r>
        <w:rPr>
          <w:i/>
          <w:iCs/>
        </w:rPr>
      </w:r>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r/>
      <w:r>
        <w:rPr>
          <w:b/>
          <w:bCs/>
        </w:rPr>
      </w:r>
      <w:r/>
      <w:r>
        <w:rPr>
          <w:b/>
          <w:bCs/>
        </w:rPr>
      </w:r>
      <w:r/>
      <w:proofErr w:type="gramStart"/>
      <w:r/>
      <w:proofErr w:type="gramEnd"/>
      <w:r/>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Two further sensitivities are reported here rather than buried. Censoring the 93 rows whose next event is a re-establishment rather than a handover command moves the one-second lift by +0.03x, so the competing risk of Section 3.6 does not drive the result. And adding the signalling block of Section 4.6 to the radio, mobility and history blocks moves the one-second AUPRC from 0.179 to 0.168; the signalling block on its own reaches 0.123.</w:t>
      </w:r>
      <w:r/>
      <w:proofErr w:type="spellStart"/>
      <w:r/>
      <w:proofErr w:type="spellEnd"/>
      <w:r/>
    </w:p>
    <w:p w:rsidR="0015244F" w:rsidRDefault="00A565B8">
      <w:pPr>
        <w:pStyle w:val="Heading2"/>
        <w:spacing w:before="360" w:after="140"/>
      </w:pPr>
      <w:r>
        <w:t>5.9 The A3 report-conversion rate, per episode</w:t>
      </w:r>
    </w:p>
    <w:p w:rsidR="0015244F" w:rsidRDefault="00A565B8">
      <w:pPr>
        <w:ind w:firstLine="567"/>
        <w:jc w:val="both"/>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r>
        <w:rPr>
          <w:i/>
          <w:iCs/>
        </w:rPr>
      </w:r>
      <w:r/>
    </w:p>
    <w:p w:rsidR="0015244F" w:rsidRDefault="00A565B8">
      <w:pPr>
        <w:pStyle w:val="TableCaption"/>
        <w:spacing w:before="240" w:after="120" w:line="240" w:lineRule="auto"/>
        <w:jc w:val="center"/>
      </w:pPr>
      <w:r>
        <w:t>Table 5.12 reports the conversion rate under both units. Grouping consecutive reports of one measId whose spacing is consistent with the configured reportInterval into a single trigger episode reduces 8,136 transmitted A3 reports to 2,361 episodes, an average of 3.4 reports per episode. Under the episode unit 30% of A3 episodes are not followed by a handover command within two seconds, against 63% of individual reports.</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w:t>
            </w:r>
          </w:p>
        </w:tc>
        <w:tc>
          <w:tcPr>
            <w:tcMar>
              <w:top w:w="60" w:type="dxa"/>
              <w:left w:w="100" w:type="dxa"/>
              <w:bottom w:w="60" w:type="dxa"/>
              <w:right w:w="100" w:type="dxa"/>
            </w:tcMar>
          </w:tcPr>
          <w:p>
            <w:r>
              <w:t>2.3 %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w:t>
            </w:r>
          </w:p>
        </w:tc>
        <w:tc>
          <w:tcPr>
            <w:tcMar>
              <w:top w:w="60" w:type="dxa"/>
              <w:left w:w="100" w:type="dxa"/>
              <w:bottom w:w="60" w:type="dxa"/>
              <w:right w:w="100" w:type="dxa"/>
            </w:tcMar>
          </w:tcPr>
          <w:p>
            <w:r>
              <w:t>49.5 %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w:t>
            </w:r>
          </w:p>
        </w:tc>
        <w:tc>
          <w:tcPr>
            <w:tcMar>
              <w:top w:w="60" w:type="dxa"/>
              <w:left w:w="100" w:type="dxa"/>
              <w:bottom w:w="60" w:type="dxa"/>
              <w:right w:w="100" w:type="dxa"/>
            </w:tcMar>
          </w:tcPr>
          <w:p>
            <w:r>
              <w:t>26.9 %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w:t>
            </w:r>
          </w:p>
        </w:tc>
        <w:tc>
          <w:tcPr>
            <w:tcMar>
              <w:top w:w="60" w:type="dxa"/>
              <w:left w:w="100" w:type="dxa"/>
              <w:bottom w:w="60" w:type="dxa"/>
              <w:right w:w="100" w:type="dxa"/>
            </w:tcMar>
          </w:tcPr>
          <w:p>
            <w:r>
              <w:t>59.4 %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w:t>
            </w:r>
          </w:p>
        </w:tc>
        <w:tc>
          <w:tcPr>
            <w:tcMar>
              <w:top w:w="60" w:type="dxa"/>
              <w:left w:w="100" w:type="dxa"/>
              <w:bottom w:w="60" w:type="dxa"/>
              <w:right w:w="100" w:type="dxa"/>
            </w:tcMar>
          </w:tcPr>
          <w:p>
            <w:r>
              <w:t>41.7 %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8813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881312"/>
                    </a:xfrm>
                    <a:prstGeom prst="rect">
                      <a:avLst/>
                    </a:prstGeom>
                  </pic:spPr>
                </pic:pic>
              </a:graphicData>
            </a:graphic>
          </wp:inline>
        </w:drawing>
      </w:r>
    </w:p>
    <w:p w:rsidR="0015244F" w:rsidRDefault="00A565B8">
      <w:pPr>
        <w:pStyle w:val="FigureCaption"/>
        <w:spacing w:after="240" w:line="240" w:lineRule="auto"/>
        <w:jc w:val="center"/>
      </w:pPr>
      <w:r>
        <w:t>Figure 5.14 A3 report conversion under two units. Counting transmitted reports counts periodic re-reports of one trigger; counting trigger episodes does not.</w:t>
      </w:r>
    </w:p>
    <w:p w:rsidR="0015244F" w:rsidRDefault="00A565B8">
      <w:pPr>
        <w:ind w:firstLine="567"/>
        <w:jc w:val="both"/>
      </w:pPr>
      <w:r>
        <w:t>The per-profile breakdown, also in Table 5.12, shows where the remaining decline sits. The dominant mobility profile — +1 dB offset, 1 dB hysteresis, 320 ms time-to-trigger, 240 ms report interval — is declined on only 2.3% of its episodes: when this network's mobility trigger fires, a handover almost always follows. The declined episodes are concentrated in the negative-offset configurations with long report intervals, which is what identifies them as neighbour-monitoring rather than mobility triggers.</w:t>
      </w:r>
      <w:r>
        <w:rPr>
          <w:b/>
          <w:bCs/>
        </w:rPr>
      </w:r>
      <w:r/>
      <w:r/>
      <w:r>
        <w:rPr>
          <w:b/>
          <w:bCs/>
        </w:rPr>
      </w:r>
      <w:r/>
      <w:r/>
    </w:p>
    <w:p w:rsidR="0015244F" w:rsidRDefault="00A565B8">
      <w:pPr>
        <w:ind w:firstLine="567"/>
        <w:jc w:val="both"/>
      </w:pPr>
      <w:r>
        <w:t>The finding is therefore not that the network declines two thirds of what its handset reports. It is that a report count is the wrong unit, that the report configurations of one network serve different purposes, and that a study using A3 reports as proxy labels for handovers must separate the mobility configuration from the rest before it counts anything. The earlier figure of 63% is reported here beside the corrected one precisely so the difference between the two units is visible.</w:t>
      </w:r>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w:t>
      </w:r>
      <w:r>
        <w:t xml:space="preserve"> parts: how much the reported rate depends on unstated definitional choices, and where the phenomenon actually concentrates.</w:t>
      </w:r>
    </w:p>
    <w:p w:rsidR="0015244F" w:rsidRDefault="00A565B8">
      <w:pPr>
        <w:ind w:firstLine="567"/>
        <w:jc w:val="both"/>
      </w:pPr>
      <w:r>
        <w:t>Table 5.13 reports the same fixed set of 957 handover commands under four definitions that differ only in choices the literature routinely leaves unstated, and Figure 5.15 extends that ladder to the full grid of window lengths.</w:t>
      </w:r>
      <w:r/>
    </w:p>
    <w:p w:rsidR="0015244F" w:rsidRDefault="00A565B8">
      <w:pPr>
        <w:pStyle w:val="TableCaption"/>
        <w:spacing w:before="240" w:after="120" w:line="240" w:lineRule="auto"/>
        <w:jc w:val="center"/>
      </w:pPr>
      <w:r>
        <w:t>Table 5.13 The ping-pong rate on one fixed set of handover commands under four definitions.</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blPrEx>
          <w:tblCellMar>
            <w:top w:w="0" w:type="dxa"/>
            <w:bottom w:w="0" w:type="dxa"/>
          </w:tblCellMar>
        </w:tblPrEx>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blPrEx>
          <w:tblCellMar>
            <w:top w:w="0" w:type="dxa"/>
            <w:bottom w:w="0" w:type="dxa"/>
          </w:tblCellMar>
        </w:tblPrEx>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restricted to commands inside retained blocks</w:t>
            </w:r>
          </w:p>
        </w:tc>
        <w:tc>
          <w:tcPr>
            <w:tcMar>
              <w:top w:w="60" w:type="dxa"/>
              <w:left w:w="100" w:type="dxa"/>
              <w:bottom w:w="60" w:type="dxa"/>
              <w:right w:w="100" w:type="dxa"/>
            </w:tcMar>
          </w:tcPr>
          <w:p>
            <w:r>
              <w:t>938</w:t>
            </w:r>
          </w:p>
        </w:tc>
        <w:tc>
          <w:tcPr>
            <w:tcMar>
              <w:top w:w="60" w:type="dxa"/>
              <w:left w:w="100" w:type="dxa"/>
              <w:bottom w:w="60" w:type="dxa"/>
              <w:right w:w="100" w:type="dxa"/>
            </w:tcMar>
          </w:tcPr>
          <w:p>
            <w:r>
              <w:t>28.7 %</w:t>
            </w:r>
          </w:p>
        </w:tc>
      </w:tr>
    </w:tbl>
    <w:p w:rsidR="0015244F" w:rsidRDefault="0015244F">
      <w:pPr>
        <w:spacing w:after="120" w:line="240" w:lineRule="auto"/>
      </w:pPr>
    </w:p>
    <w:p w:rsidR="0015244F" w:rsidRDefault="00A565B8">
      <w:pPr>
        <w:ind w:firstLine="567"/>
        <w:jc w:val="both"/>
      </w:pPr>
      <w:r>
        <w:t>The rate moves by 17 percentage points — from 26.3% to 43.8% — without a single change to the underlying measurement. This is the quantitative form of the observation in Section 2.4, and it is why this thesis quotes the strictest of the four and states all three choices alongside it. It also explains how Amirova et al. [15] arrive at 0.13 % on comparable data: dividing by measurement records rather than by handovers changes the denominator by two orders of magnitude.</w:t>
      </w:r>
      <w:r/>
      <w:proofErr w:type="spellStart"/>
      <w:r/>
      <w:proofErr w:type="spellEnd"/>
      <w: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r/>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ind w:firstLine="567"/>
        <w:jc w:val="both"/>
      </w:pPr>
      <w:r>
        <w:t>Table 5.14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 rate</w:t>
            </w:r>
          </w:p>
        </w:tc>
      </w:tr>
      <w:tr w:rsidR="0015244F">
        <w:tblPrEx>
          <w:tblCellMar>
            <w:top w:w="0" w:type="dxa"/>
            <w:bottom w:w="0" w:type="dxa"/>
          </w:tblCellMar>
        </w:tblPrEx>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27.1 %</w:t>
            </w:r>
          </w:p>
        </w:tc>
      </w:tr>
      <w:tr w:rsidR="0015244F">
        <w:tblPrEx>
          <w:tblCellMar>
            <w:top w:w="0" w:type="dxa"/>
            <w:bottom w:w="0" w:type="dxa"/>
          </w:tblCellMar>
        </w:tblPrEx>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32.2 %</w:t>
            </w:r>
          </w:p>
        </w:tc>
      </w:tr>
      <w:tr w:rsidR="0015244F">
        <w:tblPrEx>
          <w:tblCellMar>
            <w:top w:w="0" w:type="dxa"/>
            <w:bottom w:w="0" w:type="dxa"/>
          </w:tblCellMar>
        </w:tblPrEx>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25.0 %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Figure 5.16 Where ping-pong concentrates. The dominant axis is the carrier relationship, not the mobility regime.</w:t>
      </w:r>
      <w:proofErr w:type="gramStart"/>
      <w:r/>
      <w:proofErr w:type="gramEnd"/>
      <w:r/>
      <w:r/>
    </w:p>
    <w:p w:rsidR="0015244F" w:rsidRDefault="00A565B8">
      <w:pPr>
        <w:ind w:firstLine="567"/>
        <w:jc w:val="both"/>
      </w:pPr>
      <w:r>
        <w:t>Figure 5.16 separates the strata. Ping-pong is concentrated in intra-frequency handovers, at 27.1% against 7.2% across carriers. It is not driven by speed: the highway campaign, at roughly twice the urban mean speed, returns at 32.2% against 25.0% on the urban campaigns. The lever available to an operator is therefore the time-to-trigger and offset of the dominant configuration profile rather than any speed-dependent adaptation, and this thesis stops short of claiming a causal effect for such a change, for the reason given in Section 5.13.</w:t>
      </w:r>
      <w:r>
        <w:rPr>
          <w:b/>
          <w:bCs/>
        </w:rPr>
      </w:r>
      <w:r/>
      <w:r/>
      <w:r>
        <w:rPr>
          <w:i/>
          <w:iCs/>
        </w:rPr>
      </w:r>
      <w:r/>
      <w:r/>
    </w:p>
    <w:p w:rsidR="0015244F" w:rsidRDefault="00A565B8">
      <w:pPr>
        <w:ind w:firstLine="567"/>
        <w:jc w:val="both"/>
      </w:pPr>
      <w:r>
        <w:t>Modelling the arrival stream as a self-exciting process supports the same conclusion from a different direction. The fitted Hawkes branching ratio is 0.653 on the pooled stream, so each handover command is followed on average by roughly 0.7 further commands attributable to it; per campaign the estimates run from 0.487 to 0.675. The clustering is real and is the reason Section 5.8 separates quiet rows from rows inside a burst; its temporal shape is not exponential, since the Ogata residual test rejects the exponential kernel, and that rejection is reported rather than suppressed.</w:t>
      </w:r>
      <w:r/>
      <w:r/>
      <w:r>
        <w:rPr>
          <w:i/>
          <w:iCs/>
        </w:rPr>
      </w:r>
      <w:r/>
      <w:r>
        <w:rPr>
          <w:i/>
          <w:iCs/>
        </w:rPr>
      </w:r>
      <w:r/>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w:t>
      </w:r>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clustering is real; the Ogata residual test rejects the exponential kernel, so its temporal shape is not exponential.</w:t>
      </w:r>
      <w:r/>
    </w:p>
    <w:p w:rsidR="0015244F" w:rsidRDefault="00A565B8">
      <w:pPr>
        <w:pStyle w:val="Heading2"/>
        <w:spacing w:before="360" w:after="140"/>
      </w:pPr>
      <w:r>
        <w:t>5.11 Negative results and the cost of the audit</w:t>
      </w:r>
    </w:p>
    <w:p w:rsidR="0015244F" w:rsidRDefault="00A565B8">
      <w:pPr>
        <w:ind w:firstLine="567"/>
        <w:jc w:val="both"/>
      </w:pPr>
      <w:r>
        <w:t>Five approaches were implemented in good faith, measured, and did not help; they are reported because a claim that the formulation and the protocol are what matter is credible only if the alternatives were tried. Table 5.15 lists them.</w:t>
      </w:r>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blPrEx>
          <w:tblCellMar>
            <w:top w:w="0" w:type="dxa"/>
            <w:bottom w:w="0" w:type="dxa"/>
          </w:tblCellMar>
        </w:tblPrEx>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blPrEx>
          <w:tblCellMar>
            <w:top w:w="0" w:type="dxa"/>
            <w:bottom w:w="0" w:type="dxa"/>
          </w:tblCellMar>
        </w:tblPrEx>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blPrEx>
          <w:tblCellMar>
            <w:top w:w="0" w:type="dxa"/>
            <w:bottom w:w="0" w:type="dxa"/>
          </w:tblCellMar>
        </w:tblPrEx>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blPrEx>
          <w:tblCellMar>
            <w:top w:w="0" w:type="dxa"/>
            <w:bottom w:w="0" w:type="dxa"/>
          </w:tblCellMar>
        </w:tblPrEx>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blPrEx>
          <w:tblCellMar>
            <w:top w:w="0" w:type="dxa"/>
            <w:bottom w:w="0" w:type="dxa"/>
          </w:tblCellMar>
        </w:tblPrEx>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blPrEx>
          <w:tblCellMar>
            <w:top w:w="0" w:type="dxa"/>
            <w:bottom w:w="0" w:type="dxa"/>
          </w:tblCellMar>
        </w:tblPrEx>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15244F">
      <w:pPr>
        <w:spacing w:after="120" w:line="240" w:lineRule="auto"/>
      </w:pPr>
      <w:r>
        <w:t>[1] 3GPP, "Evolved Universal Terrestrial Radio Access (E-UTRA); Radio Resource Control (RRC); Protocol specification," 3GPP TS 36.331, Release 17, 2022.</w:t>
      </w:r>
    </w:p>
    <w:p w:rsidR="0015244F" w:rsidRDefault="00A565B8">
      <w:pPr>
        <w:keepNext/>
        <w:spacing w:before="240" w:after="120" w:line="240" w:lineRule="auto"/>
        <w:jc w:val="center"/>
      </w:pPr>
      <w:r>
        <w:rPr>
          <w:noProof/>
        </w:rPr>
        <w:t>[2] 3GPP, "Evolved Universal Terrestrial Radio Access (E-UTRA) and Evolved Universal Terrestrial Radio Access Network (E-UTRAN); Overall description; Stage 2," 3GPP TS 36.300, Release 17, 2022.</w:t>
      </w:r>
    </w:p>
    <w:p w:rsidR="0015244F" w:rsidRDefault="00A565B8">
      <w:pPr>
        <w:pStyle w:val="FigureCaption"/>
        <w:spacing w:after="240" w:line="240" w:lineRule="auto"/>
        <w:jc w:val="center"/>
      </w:pPr>
      <w:r>
        <w:t>[3] H. Deng, C. Peng, A. Fida, J. Meng, and Y. C. Hu, "Mobility support in cellular networks: a measurement study on its configurations and implications," in Proc. ACM Internet Measurement Conference (IMC), 2018, doi:10.1145/3278532.3278546.</w:t>
      </w:r>
    </w:p>
    <w:p w:rsidR="0015244F" w:rsidRDefault="00A565B8">
      <w:pPr>
        <w:ind w:firstLine="567"/>
        <w:jc w:val="both"/>
      </w:pPr>
      <w:r>
        <w:t>[4] M. Ghoshal, I. Khan, P. Dinh, Z. J. Kong, O. Basit, S. Wang, Y. Feng, Y. C. Hu, and D. Koutsonikolas, "Handover configurations in operational 5G networks: diversity, evolution, and impact on performance," arXiv:2511.03116, 2025.</w:t>
      </w:r>
      <w:r/>
      <w:r/>
    </w:p>
    <w:p w:rsidR="0015244F" w:rsidRDefault="00A565B8">
      <w:pPr>
        <w:ind w:firstLine="567"/>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
    </w:p>
    <w:p w:rsidR="0015244F" w:rsidRDefault="00A565B8">
      <w:pPr>
        <w:ind w:firstLine="567"/>
        <w:jc w:val="both"/>
      </w:pPr>
      <w:r>
        <w:t>[6] "M2HO: Mitigating the adverse effects of 5G handovers on TCP," in Proc. ACM MobiCom, 2024, doi:10.1145/3636534.3690680. [Author list to be completed from the ACM record before submission.]</w:t>
      </w:r>
      <w:proofErr w:type="spellStart"/>
      <w:r/>
      <w:proofErr w:type="spellEnd"/>
      <w:r/>
      <w:r/>
      <w:proofErr w:type="spellStart"/>
      <w:r/>
      <w:proofErr w:type="spellEnd"/>
      <w:r/>
      <w:proofErr w:type="spellStart"/>
      <w:r/>
      <w:proofErr w:type="spellEnd"/>
      <w:r/>
    </w:p>
    <w:p w:rsidR="0015244F" w:rsidRDefault="00A565B8">
      <w:pPr>
        <w:ind w:firstLine="567"/>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r/>
      <w:proofErr w:type="spellStart"/>
      <w:r/>
      <w:proofErr w:type="spellEnd"/>
      <w:r/>
    </w:p>
    <w:p w:rsidR="0015244F" w:rsidRDefault="00A565B8">
      <w:pPr>
        <w:pStyle w:val="Heading2"/>
        <w:spacing w:before="360" w:after="140"/>
      </w:pPr>
      <w:r>
        <w:t>[10] K. Nguyen Dang Dinh, P. Fazio, and M. Voznak, "A proposed mobility and resource prediction method for seamless handover and service continuity in 5G small cell networks," PLOS ONE, vol. 21, no. 8, art. e0355372, 2026, doi:10.1371/journal.pone.0355372.</w:t>
      </w:r>
    </w:p>
    <w:p w:rsidR="0015244F" w:rsidRDefault="00A565B8">
      <w:pPr>
        <w:ind w:firstLine="567"/>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r/>
    </w:p>
    <w:p w:rsidR="0015244F" w:rsidRDefault="00A565B8">
      <w:pPr>
        <w:ind w:firstLine="567"/>
        <w:jc w:val="both"/>
      </w:pPr>
      <w:r>
        <w:t>[12] N. Mehregan and R. E. De Grande, "GCN-based throughput-oriented handover management in dense 5G vehicular networks," arXiv:2505.04894, IEEE DCOSS-IoT, 2025.</w:t>
      </w:r>
      <w:r/>
    </w:p>
    <w:p w:rsidR="0015244F" w:rsidRDefault="00A565B8">
      <w:pPr>
        <w:ind w:firstLine="567"/>
        <w:jc w:val="both"/>
      </w:pPr>
      <w:r>
        <w:t>[13] A. Graser, A. Jalali, J. Lampert, A. Weißenfeld, and K. Janowicz, "MobilityDL: a review of deep learning from trajectory data," GeoInformatica, vol. 29, no. 1, pp. 115–147, 2025, doi:10.1007/s10707-024-00518-8.</w:t>
      </w:r>
      <w:r/>
    </w:p>
    <w:p w:rsidR="0015244F" w:rsidRDefault="00A565B8">
      <w:pPr>
        <w:ind w:firstLine="567"/>
        <w:jc w:val="both"/>
      </w:pPr>
      <w:r>
        <w:t>[14] D. Zidic, T. Mastelic, I. Nizetic Kosovic, M. Cagalj, and J. Lorincz, "Analyses of ping-pong handovers in real 4G telecommunication networks," Computer Networks, vol. 227, art. 109699, 2023.</w:t>
      </w:r>
    </w:p>
    <w:p w:rsidR="0015244F" w:rsidRDefault="00A565B8">
      <w:pPr>
        <w:ind w:firstLine="567"/>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r/>
    </w:p>
    <w:p w:rsidR="0015244F" w:rsidRDefault="00A565B8">
      <w:pPr>
        <w:pStyle w:val="Heading2"/>
        <w:spacing w:before="360" w:after="140"/>
      </w:pPr>
      <w:r>
        <w:t>[16] S. Wiegrebe, P. Kopper, R. Sonabend, B. Bischl, and A. Bender, "Deep learning for survival analysis: a review," Artificial Intelligence Review, vol. 57, no. 3, art. 65, 2024, doi:10.1007/s10462-023-10681-3.</w:t>
      </w:r>
    </w:p>
    <w:p w:rsidR="0015244F" w:rsidRDefault="00A565B8">
      <w:pPr>
        <w:ind w:firstLine="567"/>
        <w:jc w:val="both"/>
      </w:pPr>
      <w:r>
        <w:t>[17] H.-C. Thorsen-Meyer, D. Placido, B. S. Kaas-Hansen, et al., "Discrete-time survival analysis in the critically ill: a deep learning approach using heterogeneous data," npj Digital Medicine, vol. 5, art. 142, 2022, doi:10.1038/s41746-022-00679-6.</w:t>
      </w:r>
      <w:r/>
    </w:p>
    <w:p w:rsidR="0015244F" w:rsidRDefault="00A565B8">
      <w:pPr>
        <w:ind w:firstLine="567"/>
        <w:jc w:val="both"/>
      </w:pPr>
      <w:r>
        <w:rPr>
          <w:b/>
          <w:bCs/>
        </w:rPr>
        <w:t>[18] E. J. Candès, L. Lei, and Z. Ren, "Conformalized survival analysis," Journal of the Royal Statistical Society Series B, vol. 85, no. 1, pp. 24–45, 2023, doi:10.1093/jrsssb/qkac004.</w:t>
      </w:r>
      <w:r/>
      <w:r/>
    </w:p>
    <w:p w:rsidR="0015244F" w:rsidRDefault="00A565B8">
      <w:pPr>
        <w:ind w:firstLine="567"/>
        <w:jc w:val="both"/>
      </w:pPr>
      <w:r>
        <w:rPr>
          <w:b/>
          <w:bCs/>
        </w:rPr>
        <w:t>Instrument ceiling. The one-hertz export caps event-level detection at 64.6% at one second, which bounds every event-level figure in Section 5.2.</w:t>
      </w:r>
      <w:r/>
      <w:r/>
    </w:p>
    <w:p w:rsidR="0015244F" w:rsidRDefault="00A565B8">
      <w:pPr>
        <w:ind w:firstLine="567"/>
        <w:jc w:val="both"/>
      </w:pPr>
      <w:r>
        <w:rPr>
          <w:b/>
          <w:bCs/>
        </w:rPr>
        <w:t>[19] K. M. Cohen, S. Park, O. Simeone, and S. Shamai (Shitz), "Calibrating AI models for wireless communications via conformal prediction," arXiv:2212.07775, 2022.</w:t>
      </w:r>
      <w:r/>
      <w:r/>
    </w:p>
    <w:p w:rsidR="0015244F" w:rsidRDefault="00A565B8">
      <w:pPr>
        <w:ind w:firstLine="567"/>
        <w:jc w:val="both"/>
      </w:pPr>
      <w:r>
        <w:rPr>
          <w:b/>
          <w:bCs/>
        </w:rPr>
        <w:t>[20] O. Simeone, S. Park, and M. Zecchin, "Conformal calibration: ensuring the reliability of black-box AI in wireless systems," arXiv:2504.09310, 2025.</w:t>
      </w:r>
      <w:r/>
      <w:r/>
      <w:r/>
      <w:r/>
    </w:p>
    <w:p w:rsidR="0015244F" w:rsidRDefault="00A565B8">
      <w:pPr>
        <w:ind w:firstLine="567"/>
        <w:jc w:val="both"/>
      </w:pPr>
      <w:r>
        <w:rPr>
          <w:b/>
          <w:bCs/>
        </w:rPr>
        <w:t>[21] A. N. Angelopoulos, S. Bates, A. Fisch, L. Lei, and T. Schuster, "Conformal risk control," in Proc. International Conference on Learning Representations (ICLR), 2024.</w:t>
      </w:r>
      <w:r/>
      <w:r/>
      <w:r>
        <w:rPr>
          <w:i/>
          <w:iCs/>
        </w:rPr>
      </w:r>
      <w:r/>
      <w:proofErr w:type="spellStart"/>
      <w:r/>
      <w:proofErr w:type="spellEnd"/>
      <w:r/>
      <w:r/>
      <w:r/>
    </w:p>
    <w:p w:rsidR="0015244F" w:rsidRDefault="00A565B8">
      <w:pPr>
        <w:pageBreakBefore/>
        <w:jc w:val="center"/>
      </w:pPr>
      <w:r>
        <w:rPr>
          <w:b/>
          <w:bCs/>
          <w:sz w:val="40"/>
          <w:szCs w:val="40"/>
        </w:rPr>
        <w:t>[22] S. Bates, A. Angelopoulos, L. Lei, J. Malik, and M. I. Jordan, "Distribution-free, risk-controlling prediction sets," Journal of the ACM, vol. 68, no. 6, 2021, doi:10.1145/3478535.</w:t>
      </w:r>
    </w:p>
    <w:p w:rsidR="0015244F" w:rsidRDefault="0015244F">
      <w:r>
        <w:t>[23] A. G. Hawkes, "Spectra of some self-exciting and mutually exciting point processes," Biometrika, vol. 58, no. 1, pp. 83–90, 1971.</w:t>
      </w:r>
    </w:p>
    <w:p w:rsidR="0015244F" w:rsidRDefault="00A565B8">
      <w:pPr>
        <w:pStyle w:val="Heading1"/>
        <w:jc w:val="center"/>
      </w:pPr>
      <w:r>
        <w:t>[24] P. J. Laub, Y. Lee, P. K. Pollett, and T. Taimre, "Hawkes models and their applications," Annual Review of Statistics and Its Application, vol. 12, pp. 233–258, 2025.</w:t>
      </w:r>
    </w:p>
    <w:p w:rsidR="0015244F" w:rsidRDefault="0015244F">
      <w:r>
        <w:t>[25] Y. Ogata, "Statistical models for earthquake occurrences and residual analysis for point processes," Journal of the American Statistical Association, vol. 83, no. 401, pp. 9–27, 1988.</w:t>
      </w:r>
    </w:p>
    <w:p w:rsidR="0015244F" w:rsidRDefault="0015244F">
      <w:r>
        <w:t>[26] M. Price-Williams and N. A. Heard, "Nonparametric self-exciting models for computer network traffic," Statistics and Computing, vol. 30, no. 2, pp. 209–220, 2020.</w:t>
      </w:r>
    </w:p>
    <w:p w:rsidR="0015244F" w:rsidRDefault="00A565B8">
      <w:pPr>
        <w:ind w:firstLine="567"/>
        <w:jc w:val="both"/>
      </w:pPr>
      <w:r>
        <w:t>[27] H. Ismail Fawaz, G. Del Grosso, T. Kerdoncuff, A. Boisbunon, and I. Saffar, "Deep unsupervised domain adaptation for time series classification: a benchmark," arXiv:2312.09857, 2023.</w:t>
      </w:r>
      <w:r/>
      <w:r/>
    </w:p>
    <w:p w:rsidR="0015244F" w:rsidRDefault="00A565B8">
      <w:pPr>
        <w:pStyle w:val="Heading2"/>
        <w:spacing w:before="360" w:after="140"/>
      </w:pPr>
      <w:r>
        <w:t>[28] B. Sun and K. Saenko, "Deep CORAL: correlation alignment for deep domain adaptation," in Computer Vision – ECCV 2016 Workshops, LNCS vol. 9915, pp. 443–450, 2016.</w:t>
      </w:r>
    </w:p>
    <w:p w:rsidR="0015244F" w:rsidRDefault="00A565B8">
      <w:pPr>
        <w:ind w:firstLine="567"/>
        <w:jc w:val="both"/>
      </w:pPr>
      <w:r>
        <w:t>[29] Y. Shi, X. Ying, and J. Yang, "Deep unsupervised domain adaptation with time series sensor data: a survey," Sensors, vol. 22, no. 15, art. 5507, 2022.</w:t>
      </w:r>
      <w:r/>
      <w:r/>
      <w:r/>
    </w:p>
    <w:p w:rsidR="0015244F" w:rsidRDefault="00A565B8">
      <w:pPr>
        <w:pStyle w:val="Heading2"/>
        <w:spacing w:before="360" w:after="140"/>
      </w:pPr>
      <w:r>
        <w:t>[30] D. Wagner, A. Nair, B. J. Franks, et al., "Formally exploring time-series anomaly detection evaluation metrics," arXiv:2510.17562, 2025.</w:t>
      </w:r>
    </w:p>
    <w:p w:rsidR="0015244F" w:rsidRDefault="00A565B8">
      <w:pPr>
        <w:ind w:firstLine="567"/>
        <w:jc w:val="both"/>
      </w:pPr>
      <w:r>
        <w:t>[31] S. Deb, M. Rathod, R. Balamurugan, S. K. Ghosh, R. K. Singh, and S. Sanyal, "Performance evaluation of conditional handover in 5G systems under fading scenario," arXiv:2403.04379, 2024.</w:t>
      </w:r>
    </w:p>
    <w:p w:rsidR="0015244F" w:rsidRDefault="00A565B8">
      <w:pPr>
        <w:pStyle w:val="TableCaption"/>
        <w:spacing w:before="240" w:after="120" w:line="240" w:lineRule="auto"/>
        <w:jc w:val="center"/>
      </w:pPr>
      <w:r>
        <w:t>[32] G. Ke, Q. Meng, T. Finley, T. Wang, W. Chen, W. Ma, Q. Ye, and T.-Y. Liu, "LightGBM: a highly efficient gradient boosting decision tree," in Advances in Neural Information Processing Systems 30, 2017, pp. 3146–3154.</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w:t>
            </w:r>
            <w:r>
              <w:rPr>
                <w:sz w:val="22"/>
                <w:szCs w:val="22"/>
              </w:rPr>
              <w:t>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w:t>
            </w:r>
            <w:r>
              <w:rPr>
                <w:sz w:val="22"/>
                <w:szCs w:val="22"/>
              </w:rPr>
              <w: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r>
        <w:t>[33] C. Guo, G. Pleiss, Y. Sun, and K. Q. Weinberger, "On calibration of modern neural networks," in Proc. ICML, 2017, pp. 1321–1330.</w:t>
      </w:r>
    </w:p>
    <w:p w:rsidR="0015244F" w:rsidRDefault="00A565B8">
      <w:pPr>
        <w:pStyle w:val="Heading2"/>
        <w:spacing w:before="360" w:after="140"/>
      </w:pPr>
      <w:r>
        <w:t>[34] B. Zadrozny and C. Elkan, "Transforming classifier scores into accurate multiclass probability estimates," in Proc. ACM SIGKDD, 2002, pp. 694–699.</w:t>
      </w:r>
    </w:p>
    <w:p w:rsidR="0015244F" w:rsidRDefault="00A565B8">
      <w:pPr>
        <w:ind w:firstLine="567"/>
        <w:jc w:val="both"/>
      </w:pPr>
      <w:r>
        <w:t>[35] D. R. Roberts et al., "Cross-validation strategies for data with temporal, spatial, hierarchical, or phylogenetic structure," Ecography, vol. 40, no. 8, pp. 913–929, 2017, doi:10.1111/ecog.02881.</w:t>
      </w:r>
    </w:p>
    <w:p w:rsidR="0015244F" w:rsidRDefault="00A565B8">
      <w:pPr>
        <w:pStyle w:val="TableCaption"/>
        <w:spacing w:before="240" w:after="120" w:line="240" w:lineRule="auto"/>
        <w:jc w:val="center"/>
      </w:pPr>
      <w:r>
        <w:t>[36] S. Kaufman, S. Rosset, C. Perlich, and O. Stitelman, "Leakage in data mining: formulation, detection, and avoidance," ACM Transactions on Knowledge Discovery from Data, vol. 6, no. 4, art. 15, 2012, doi:10.1145/2382577.2382579.</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r>
        <w:t>[37]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
    <w:p w:rsidR="0015244F" w:rsidRDefault="00A565B8">
      <w:pPr>
        <w:pStyle w:val="Heading2"/>
        <w:spacing w:before="360" w:after="140"/>
      </w:pPr>
      <w:r>
        <w:t>[38] M. M. S. Shafi, K. M. Istiaque, S. S. Sowad, and M. T. Kawser, "Handover optimization in LTE networks using contextual bandit reinforcement learning and real-world data," manuscript, Islamic University of Technology, 2025. [Venue to be confirmed; a ResearchGate record exists.]</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t>
            </w:r>
            <w:r>
              <w:rPr>
                <w:sz w:val="22"/>
                <w:szCs w:val="22"/>
              </w:rPr>
              <w:t>wledge at the forefront of the discipline: the decoding of RRC measurement configuration under message-scoped identifiers, Section 3.3, and the recovery of deployed Event A3 parameters, Section 3.5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 xml:space="preserve">Knowledge of engineering practice and technology: the conduct </w:t>
            </w:r>
            <w:r>
              <w:rPr>
                <w:sz w:val="22"/>
                <w:szCs w:val="22"/>
              </w:rPr>
              <w:t>of four drive-test campaigns with commercial diagnostic instrumentation on a live operator network,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w:t>
            </w:r>
            <w:r>
              <w:rPr>
                <w:sz w:val="22"/>
                <w:szCs w:val="22"/>
              </w:rPr>
              <w:t xml:space="preserve"> the measurements do not support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w:t>
      </w:r>
      <w:r>
        <w:t xml:space="preserv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 xml:space="preserve">It cannot be resolved without deep, analytically based knowledge: the incoherence of independent multi-horizon classifiers is not visible without the survival formulation of Section 4.3, and the inadmissibility of class reweighting under that formulation, </w:t>
      </w:r>
      <w:r>
        <w:t>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r/>
    </w:p>
    <w:p w:rsidR="0015244F" w:rsidRDefault="00A565B8">
      <w:pPr>
        <w:ind w:firstLine="567"/>
        <w:jc w:val="both"/>
      </w:pPr>
      <w:r>
        <w:t>It spans several sub</w:t>
      </w:r>
      <w:r>
        <w:t>-disciplines: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w:t>
      </w:r>
      <w:r>
        <w:t>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w:t>
      </w:r>
      <w:r>
        <w:t>but an infrastructure on which financial services, transport and emergency communication depend. A warning one to two seconds ahead of a handover gives the network the opportunity to prepare the target cell before an interruption occurs rather than to reco</w:t>
      </w:r>
      <w:r>
        <w:t>ver after it, which bears directly on the continuity of those services.</w:t>
      </w:r>
    </w:p>
    <w:p w:rsidR="0015244F" w:rsidRDefault="00A565B8">
      <w:pPr>
        <w:ind w:firstLine="567"/>
        <w:jc w:val="both"/>
      </w:pPr>
      <w:r>
        <w:rPr>
          <w:b/>
          <w:bCs/>
        </w:rPr>
        <w:t>Environmental and sustainability. 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r/>
      <w:r/>
      <w:proofErr w:type="spellStart"/>
      <w:r/>
      <w:proofErr w:type="spellEnd"/>
      <w:r/>
      <w:r/>
      <w:r>
        <w:rPr>
          <w:b/>
          <w:bCs/>
        </w:rPr>
      </w:r>
      <w:r/>
    </w:p>
    <w:p w:rsidR="0015244F" w:rsidRDefault="00A565B8">
      <w:pPr>
        <w:ind w:firstLine="567"/>
        <w:jc w:val="both"/>
      </w:pPr>
      <w:r>
        <w:rPr>
          <w:b/>
          <w:bCs/>
        </w:rPr>
        <w:t>Heal</w:t>
      </w:r>
      <w:r>
        <w:rPr>
          <w:b/>
          <w:bCs/>
        </w:rPr>
        <w:t>th.</w:t>
      </w:r>
      <w:r>
        <w:t xml:space="preserve"> No health claim of any kind is made. This project involved no human subjects, took no exposure measurements and conducted no experiment bearing on health. Stating that plainly is itself the ethical position: the temptation in a thesis that touches radi</w:t>
      </w:r>
      <w:r>
        <w:t>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Ethical and legal. 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r/>
      <w:r/>
      <w:proofErr w:type="spellStart"/>
      <w:r/>
      <w:proofErr w:type="spellEnd"/>
      <w:r/>
      <w:r/>
      <w:proofErr w:type="gramStart"/>
      <w:r/>
      <w:proofErr w:type="gramEnd"/>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w:t>
      </w:r>
      <w:r>
        <w:t>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w:t>
      </w:r>
      <w:r>
        <w:t>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w:t>
            </w:r>
            <w:r>
              <w:rPr>
                <w:sz w:val="22"/>
                <w:szCs w:val="22"/>
              </w:rPr>
              <w:t>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Six sub-problems — decoding, labelling, feature design, formulation, evaluation and risk </w:t>
            </w:r>
            <w:r>
              <w:rPr>
                <w:sz w:val="22"/>
                <w:szCs w:val="22"/>
              </w:rPr>
              <w:t>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w:t>
            </w:r>
            <w:r>
              <w:rPr>
                <w:sz w:val="22"/>
                <w:szCs w:val="22"/>
              </w:rPr>
              <w:t>, neither of which appears in the audited literature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r/>
      <w:r/>
    </w:p>
    <w:p w:rsidR="0015244F" w:rsidRDefault="00A565B8">
      <w:pPr>
        <w:pStyle w:val="TableCaption"/>
        <w:spacing w:before="240" w:after="120" w:line="240" w:lineRule="auto"/>
        <w:jc w:val="center"/>
      </w:pPr>
      <w:r>
        <w:t>Ta</w:t>
      </w:r>
      <w:r>
        <w:t>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blPrEx>
          <w:tblCellMar>
            <w:top w:w="0" w:type="dxa"/>
            <w:bottom w:w="0" w:type="dxa"/>
          </w:tblCellMar>
        </w:tblPrEx>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w:t>
      </w:r>
      <w:r>
        <w:t>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r/>
      <w:proofErr w:type="spellStart"/>
      <w:r/>
      <w:proofErr w:type="spellEnd"/>
      <w:r/>
      <w:r/>
      <w:proofErr w:type="spellStart"/>
      <w:r/>
      <w:proofErr w:type="spellEnd"/>
      <w:r/>
    </w:p>
    <w:p w:rsidR="0015244F" w:rsidRDefault="00A565B8">
      <w:pPr>
        <w:ind w:firstLine="567"/>
        <w:jc w:val="both"/>
      </w:pPr>
      <w:r>
        <w:rPr>
          <w:b/>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r/>
      <w:r/>
    </w:p>
    <w:p w:rsidR="0015244F" w:rsidRDefault="00A565B8">
      <w:pPr>
        <w:ind w:firstLine="567"/>
        <w:jc w:val="both"/>
      </w:pPr>
      <w:r>
        <w:rPr>
          <w:b/>
          <w:bCs/>
        </w:rPr>
        <w:t>The next handover is predictable, modestly. Gradient-boosted trees under a discrete-time hazard formulation reach AUPRC 0.179 at one second against a 6.8% floor (2.6x, AUROC 0.777) and AUPRC 0.475 at five seconds (1.8x), against AUPRC 0.116 for the deployed Event A3 rule scored as a predictor.</w:t>
      </w:r>
      <w:r/>
      <w:r/>
      <w:r/>
    </w:p>
    <w:p w:rsidR="0015244F" w:rsidRDefault="00A565B8">
      <w:pPr>
        <w:ind w:firstLine="567"/>
        <w:jc w:val="both"/>
      </w:pPr>
      <w:r>
        <w:rPr>
          <w:b/>
          <w:bCs/>
        </w:rPr>
        <w:t>The unit of splitting is worth more than the model. Against leave-one-campaign-out, random-row splitting inflates the one-second AUPRC by 48 % and random 180-second blocks of the same session by 13 %; the inflation is architecture-dependent, so a careless protocol reorders the leaderboard rather than merely raising it.</w:t>
      </w:r>
      <w:r/>
      <w:r/>
      <w:r/>
    </w:p>
    <w:p w:rsidR="0015244F" w:rsidRDefault="00A565B8">
      <w:pPr>
        <w:ind w:firstLine="567"/>
        <w:jc w:val="both"/>
      </w:pPr>
      <w:r>
        <w:rPr>
          <w:b/>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r/>
      <w:r/>
    </w:p>
    <w:p w:rsidR="0015244F" w:rsidRDefault="00A565B8">
      <w:pPr>
        <w:ind w:firstLine="567"/>
        <w:jc w:val="both"/>
      </w:pPr>
      <w:r>
        <w:rPr>
          <w:b/>
          <w:bCs/>
        </w:rPr>
        <w:t>The warning carries a guarantee whose assumption is testable, and was tested. With calibration and test units drawn from the same pool of 180-second blocks the realised per-unit miss rate sits at or below the target (0.168 at α = 0.20, at a 47% alarm rate). Calibrating on one campaign and deploying on another, the bound holds in 83% of rotations, which is the honest measure of what exchangeability across days is worth here.</w:t>
      </w:r>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Counted per trigger episode, 30% of A3 episodes are not followed by a handover within two seconds, against 63% when periodic re-reports are counted individually, and the dominant mobility profile is declined on only 2.3% of its episodes. Weighted by handovers rather than by configurations, 75% of A3-triggered handovers fire under a positive offset. And the ping-pong rate on one fixed set of 938 handovers moves from 26.3% to 41.3 % depending on three definitional choices that published work routinely leaves unstated.</w:t>
      </w:r>
      <w:proofErr w:type="spellStart"/>
      <w:r/>
      <w:proofErr w:type="spellEnd"/>
      <w:r/>
      <w:r/>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
        <w:rPr>
          <w:b/>
          <w:bCs/>
        </w:rPr>
      </w:r>
      <w:r/>
      <w:proofErr w:type="spellStart"/>
      <w:r/>
      <w:proofErr w:type="spellEnd"/>
      <w:r/>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r/>
    </w:p>
    <w:p w:rsidR="0015244F" w:rsidRDefault="00A565B8">
      <w:pPr>
        <w:ind w:firstLine="567"/>
        <w:jc w:val="both"/>
      </w:pPr>
      <w:r>
        <w:t>No causal claim is made about the benefit of ac</w:t>
      </w:r>
      <w:r>
        <w:t xml:space="preserve">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w:t>
      </w:r>
      <w:r>
        <w:t>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Six items follow from those limits, in the order the limits dictate.</w:t>
      </w:r>
      <w:r/>
    </w:p>
    <w:p w:rsidR="0015244F" w:rsidRDefault="00A565B8">
      <w:pPr>
        <w:ind w:firstLine="567"/>
        <w:jc w:val="both"/>
      </w:pPr>
      <w:r>
        <w:t>A native-rate export and a published alignment statement. The single most valuable follow-up is a re-export of the same captures at the message rate rather than at one hertz, which would both settle the row-time semantics of Section 5.1 and allow horizons below one second to be modelled rather than approximated.</w:t>
      </w:r>
    </w:p>
    <w:p w:rsidR="0015244F" w:rsidRDefault="00A565B8">
      <w:pPr>
        <w:ind w:firstLine="567"/>
        <w:jc w:val="both"/>
      </w:pPr>
      <w:r>
        <w:t>More sessions, not more blocks. Eight to ten independent sessions across days, times and routes would make a paired test over units informative, tighten the conformal feasibility floor and give the block bootstrap something to be conditional on.</w:t>
      </w:r>
    </w:p>
    <w:p w:rsidR="0015244F" w:rsidRDefault="00A565B8">
      <w:pPr>
        <w:ind w:firstLine="567"/>
        <w:jc w:val="both"/>
      </w:pPr>
      <w:r>
        <w:rPr>
          <w:b/>
          <w:bCs/>
        </w:rPr>
        <w:t>A fuzzy regression-discontinuity design at the A3 boundary.</w:t>
      </w:r>
      <w:r>
        <w:t xml:space="preserve"> This is the first item because it is the only one that addresses the identification problem</w:t>
      </w:r>
      <w:r>
        <w:t>, and because it is executable on data already collected. Event A3 imposes a sharp threshold on an observable running variable; drives that fall just either side of that threshold differ locally in treatment but not systematically in anything else. A fuzzy</w:t>
      </w:r>
      <w:r>
        <w:t xml:space="preserve"> regression-discontinuity design at the boundary would make the local causal effect of the handover decision identifiable without requiring an experimental intervention on a live network.</w:t>
      </w:r>
    </w:p>
    <w:p w:rsidR="0015244F" w:rsidRDefault="00A565B8">
      <w:pPr>
        <w:ind w:firstLine="567"/>
        <w:jc w:val="both"/>
      </w:pPr>
      <w:r>
        <w:rPr>
          <w:b/>
          <w:bCs/>
        </w:rPr>
        <w:t>A second operator. Four days on one network is sufficient for a careful study and insufficient to claim generality; a second operator would also break the single-configuration limitation, since the offsets reported in Section 3.5 are one operator's choice rather than a property of LTE.</w:t>
      </w:r>
      <w:r/>
      <w:r/>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t>
      </w:r>
      <w:r>
        <w:t>would convert that bound into an estimate.</w:t>
      </w:r>
    </w:p>
    <w:p w:rsidR="0015244F" w:rsidRDefault="00A565B8">
      <w:pPr>
        <w:ind w:firstLine="567"/>
        <w:jc w:val="both"/>
      </w:pPr>
      <w:r>
        <w:rPr>
          <w:b/>
          <w:bCs/>
        </w:rPr>
        <w:lastRenderedPageBreak/>
        <w:t>An experimental test of the time-to-trigger.</w:t>
      </w:r>
      <w:r>
        <w:t xml:space="preserve"> Section 5.10 identifies the time-to-trigger of the dominant configuration profile as the lever governing ping-pong, having ruled out speed as the driver. Varying that p</w:t>
      </w:r>
      <w:r>
        <w:t>arameter under controlled conditions and measuring the resulting return rate is the direct test of that inference, and it would also supply the treatment variation that the causal design above requires.</w:t>
      </w:r>
    </w:p>
    <w:p w:rsidR="0015244F" w:rsidRDefault="00A565B8">
      <w:pPr>
        <w:ind w:firstLine="567"/>
        <w:jc w:val="both"/>
      </w:pPr>
      <w:r>
        <w:rPr>
          <w:b/>
          <w:bCs/>
        </w:rPr>
        <w:t>Release of code and data. The protocol and alignment arguments of Sections 5.1 and 5.3 are claims about how results in this field should be produced, and such claims are only worth making if others can reproduce and contest them. The audit script, the four protocols and the table-generation pipeline are the parts of this work most worth releasing.</w:t>
      </w:r>
      <w:r/>
      <w:r/>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r/>
      <w:proofErr w:type="spellStart"/>
      <w:r/>
      <w:proofErr w:type="spellEnd"/>
      <w:r/>
      <w:r/>
      <w:r/>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w:t>
      </w:r>
      <w:r>
        <w:t xml:space="preserve">ation," </w:t>
      </w:r>
      <w:r>
        <w:rPr>
          <w:i/>
          <w:iCs/>
        </w:rPr>
        <w:t>3GPP TS 36.331</w:t>
      </w:r>
      <w:r>
        <w:t>, Release 17, 2022.</w:t>
      </w:r>
    </w:p>
    <w:p w:rsidR="0015244F" w:rsidRDefault="00A565B8">
      <w:pPr>
        <w:spacing w:after="120" w:line="240" w:lineRule="auto"/>
        <w:ind w:left="284" w:hanging="284"/>
        <w:jc w:val="both"/>
      </w:pPr>
      <w:r>
        <w:t xml:space="preserve">[2] 3GPP, "Evolved Universal Terrestrial Radio Access (E-UTRA) and Evolved Universal Terrestrial Radio Access Network (E-UTRAN); Overall description; Stage 2," </w:t>
      </w:r>
      <w:r>
        <w:rPr>
          <w:i/>
          <w:iCs/>
        </w:rPr>
        <w:t>3GPP TS 36.300</w:t>
      </w:r>
      <w:r>
        <w:t>, Release 17, 2022.</w:t>
      </w:r>
    </w:p>
    <w:p w:rsidR="0015244F" w:rsidRDefault="00A565B8">
      <w:pPr>
        <w:spacing w:after="120" w:line="240" w:lineRule="auto"/>
        <w:ind w:left="284" w:hanging="284"/>
        <w:jc w:val="both"/>
      </w:pPr>
      <w:r>
        <w:t>[3] S. Deng, A. Peng</w:t>
      </w:r>
      <w:r>
        <w:t xml:space="preserve">, H. </w:t>
      </w:r>
      <w:proofErr w:type="spellStart"/>
      <w:r>
        <w:t>Fida</w:t>
      </w:r>
      <w:proofErr w:type="spellEnd"/>
      <w:r>
        <w:t xml:space="preserve">, J. </w:t>
      </w:r>
      <w:proofErr w:type="spellStart"/>
      <w:r>
        <w:t>Meng</w:t>
      </w:r>
      <w:proofErr w:type="spellEnd"/>
      <w:r>
        <w:t xml:space="preserve">, and Y. C. Hu, "A large-scale measurement study of mobility support in operational cellular networks," in </w:t>
      </w:r>
      <w:r>
        <w:rPr>
          <w:i/>
          <w:iCs/>
        </w:rPr>
        <w:t>Proceedings of the ACM Internet Measurement Conference (IMC)</w:t>
      </w:r>
      <w:r>
        <w:t>, pp. 216–230, 2018.</w:t>
      </w:r>
    </w:p>
    <w:p w:rsidR="0015244F" w:rsidRDefault="00A565B8">
      <w:pPr>
        <w:spacing w:after="120" w:line="240" w:lineRule="auto"/>
        <w:ind w:left="284" w:hanging="284"/>
        <w:jc w:val="both"/>
      </w:pPr>
      <w:r>
        <w:t xml:space="preserve">[4] M. </w:t>
      </w:r>
      <w:proofErr w:type="spellStart"/>
      <w:r>
        <w:t>Ghoshal</w:t>
      </w:r>
      <w:proofErr w:type="spellEnd"/>
      <w:r>
        <w:t xml:space="preserve">, Z. J. Kong, Q. Xu, Y. C. Hu, and D. </w:t>
      </w:r>
      <w:proofErr w:type="spellStart"/>
      <w:r>
        <w:t>Koutsonikolas</w:t>
      </w:r>
      <w:proofErr w:type="spellEnd"/>
      <w:r>
        <w:t xml:space="preserve">, "A measurement study of handover configurations in operational 5G networks," </w:t>
      </w:r>
      <w:proofErr w:type="spellStart"/>
      <w:r>
        <w:rPr>
          <w:i/>
          <w:iCs/>
        </w:rPr>
        <w:t>arXiv</w:t>
      </w:r>
      <w:proofErr w:type="spellEnd"/>
      <w:r>
        <w:rPr>
          <w:i/>
          <w:iCs/>
        </w:rPr>
        <w:t xml:space="preserve"> preprint arXiv</w:t>
      </w:r>
      <w:proofErr w:type="gramStart"/>
      <w:r>
        <w:rPr>
          <w:i/>
          <w:iCs/>
        </w:rPr>
        <w:t>:2511.03116</w:t>
      </w:r>
      <w:proofErr w:type="gramEnd"/>
      <w:r>
        <w:t>, 2025.</w:t>
      </w:r>
    </w:p>
    <w:p w:rsidR="0015244F" w:rsidRDefault="00A565B8">
      <w:pPr>
        <w:spacing w:after="120" w:line="240" w:lineRule="auto"/>
        <w:ind w:left="284" w:hanging="284"/>
        <w:jc w:val="both"/>
      </w:pPr>
      <w:r>
        <w:t xml:space="preserve">[5] A. Hassan, A. Narayanan, A. Zhang, W. Ye, R. Zhu, S. </w:t>
      </w:r>
      <w:proofErr w:type="spellStart"/>
      <w:r>
        <w:t>Jin</w:t>
      </w:r>
      <w:proofErr w:type="spellEnd"/>
      <w:r>
        <w:t>, J. Carpente</w:t>
      </w:r>
      <w:r>
        <w:t xml:space="preserve">r, Z. M. Mao, F. Qian, and Z.-L. Zhang, "Vivisecting mobility management in 5G cellular networks," in </w:t>
      </w:r>
      <w:r>
        <w:rPr>
          <w:i/>
          <w:iCs/>
        </w:rPr>
        <w:t>Proceedings of the ACM SIGCOMM Conference</w:t>
      </w:r>
      <w:r>
        <w:t>, pp. 86–100, 2022.</w:t>
      </w:r>
    </w:p>
    <w:p w:rsidR="0015244F" w:rsidRDefault="00A565B8">
      <w:pPr>
        <w:spacing w:after="120" w:line="240" w:lineRule="auto"/>
        <w:ind w:left="284" w:hanging="284"/>
        <w:jc w:val="both"/>
      </w:pPr>
      <w:r>
        <w:t>[6] Y. Liu, C. Peng, and Z. Tan, "M2HO: Mitigating the negative impact of mobility management</w:t>
      </w:r>
      <w:r>
        <w:t xml:space="preserve"> on handover performance," in </w:t>
      </w:r>
      <w:r>
        <w:rPr>
          <w:i/>
          <w:iCs/>
        </w:rPr>
        <w:t>Proceedings of the ACM International Conference on Mobile Computing and Networking (</w:t>
      </w:r>
      <w:proofErr w:type="spellStart"/>
      <w:r>
        <w:rPr>
          <w:i/>
          <w:iCs/>
        </w:rPr>
        <w:t>MobiCom</w:t>
      </w:r>
      <w:proofErr w:type="spellEnd"/>
      <w:r>
        <w:rPr>
          <w:i/>
          <w:iCs/>
        </w:rPr>
        <w:t>)</w:t>
      </w:r>
      <w:r>
        <w:t>, 2024.</w:t>
      </w:r>
    </w:p>
    <w:p w:rsidR="0015244F" w:rsidRDefault="00A565B8">
      <w:pPr>
        <w:spacing w:after="120" w:line="240" w:lineRule="auto"/>
        <w:ind w:left="284" w:hanging="284"/>
        <w:jc w:val="both"/>
      </w:pPr>
      <w:r>
        <w:t xml:space="preserve">[7] S. </w:t>
      </w:r>
      <w:proofErr w:type="spellStart"/>
      <w:r>
        <w:t>Ankome</w:t>
      </w:r>
      <w:proofErr w:type="spellEnd"/>
      <w:r>
        <w:t xml:space="preserve"> and T. </w:t>
      </w:r>
      <w:proofErr w:type="spellStart"/>
      <w:r>
        <w:t>Hanada</w:t>
      </w:r>
      <w:proofErr w:type="spellEnd"/>
      <w:r>
        <w:t xml:space="preserve">, "A systematic review of machine learning approaches to handover management in mobile networks," </w:t>
      </w:r>
      <w:r>
        <w:rPr>
          <w:i/>
          <w:iCs/>
        </w:rPr>
        <w:t>M</w:t>
      </w:r>
      <w:r>
        <w:rPr>
          <w:i/>
          <w:iCs/>
        </w:rPr>
        <w:t>achine Learning and Knowledge Extraction</w:t>
      </w:r>
      <w:r>
        <w:t>, vol. 8, no. 5, article 133, 2026.</w:t>
      </w:r>
    </w:p>
    <w:p w:rsidR="0015244F" w:rsidRDefault="00A565B8">
      <w:pPr>
        <w:spacing w:after="120" w:line="240" w:lineRule="auto"/>
        <w:ind w:left="284" w:hanging="284"/>
        <w:jc w:val="both"/>
      </w:pPr>
      <w:r>
        <w:t xml:space="preserve">[8] A. </w:t>
      </w:r>
      <w:proofErr w:type="spellStart"/>
      <w:r>
        <w:t>Saoud</w:t>
      </w:r>
      <w:proofErr w:type="spellEnd"/>
      <w:r>
        <w:t xml:space="preserve">, M. </w:t>
      </w:r>
      <w:proofErr w:type="spellStart"/>
      <w:r>
        <w:t>Bouchakour</w:t>
      </w:r>
      <w:proofErr w:type="spellEnd"/>
      <w:r>
        <w:t xml:space="preserve">, and N. </w:t>
      </w:r>
      <w:proofErr w:type="spellStart"/>
      <w:r>
        <w:t>Boukhatem</w:t>
      </w:r>
      <w:proofErr w:type="spellEnd"/>
      <w:r>
        <w:t xml:space="preserve">, "Handover management strategies in heterogeneous networks: a review," </w:t>
      </w:r>
      <w:r>
        <w:rPr>
          <w:i/>
          <w:iCs/>
        </w:rPr>
        <w:t>Technologies</w:t>
      </w:r>
      <w:r>
        <w:t>, vol. 13, no. 8, article 352, 2025.</w:t>
      </w:r>
    </w:p>
    <w:p w:rsidR="0015244F" w:rsidRDefault="00A565B8">
      <w:pPr>
        <w:spacing w:after="120" w:line="240" w:lineRule="auto"/>
        <w:ind w:left="284" w:hanging="284"/>
        <w:jc w:val="both"/>
      </w:pPr>
      <w:r>
        <w:t xml:space="preserve">[9] A. </w:t>
      </w:r>
      <w:proofErr w:type="spellStart"/>
      <w:r>
        <w:t>Chabira</w:t>
      </w:r>
      <w:proofErr w:type="spellEnd"/>
      <w:r>
        <w:t xml:space="preserve">, S. </w:t>
      </w:r>
      <w:proofErr w:type="spellStart"/>
      <w:r>
        <w:t>Belkacem</w:t>
      </w:r>
      <w:proofErr w:type="spellEnd"/>
      <w:r>
        <w:t xml:space="preserve">, and Y. </w:t>
      </w:r>
      <w:proofErr w:type="spellStart"/>
      <w:r>
        <w:t>Bouzid</w:t>
      </w:r>
      <w:proofErr w:type="spellEnd"/>
      <w:r>
        <w:t xml:space="preserve">, "Performance metrics for handover evaluation in next-generation mobile networks," </w:t>
      </w:r>
      <w:r>
        <w:rPr>
          <w:i/>
          <w:iCs/>
        </w:rPr>
        <w:t>Technologies</w:t>
      </w:r>
      <w:r>
        <w:t>, vol. 13, no. 7, article 276, 2025.</w:t>
      </w:r>
    </w:p>
    <w:p w:rsidR="0015244F" w:rsidRDefault="00A565B8">
      <w:pPr>
        <w:spacing w:after="120" w:line="240" w:lineRule="auto"/>
        <w:ind w:left="284" w:hanging="284"/>
        <w:jc w:val="both"/>
      </w:pPr>
      <w:r>
        <w:t xml:space="preserve">[10] T. </w:t>
      </w:r>
      <w:proofErr w:type="spellStart"/>
      <w:r>
        <w:t>Dinh</w:t>
      </w:r>
      <w:proofErr w:type="spellEnd"/>
      <w:r>
        <w:t xml:space="preserve">, P. Fazio, and M. </w:t>
      </w:r>
      <w:proofErr w:type="spellStart"/>
      <w:r>
        <w:t>Voznak</w:t>
      </w:r>
      <w:proofErr w:type="spellEnd"/>
      <w:r>
        <w:t>, "Joint prediction of next-cell sequence an</w:t>
      </w:r>
      <w:r>
        <w:t xml:space="preserve">d resource block demand from vehicular trajectories," </w:t>
      </w:r>
      <w:r>
        <w:rPr>
          <w:i/>
          <w:iCs/>
        </w:rPr>
        <w:t>PLOS ONE</w:t>
      </w:r>
      <w:r>
        <w:t>, vol. 21, no. 8, article e0355372, 2026.</w:t>
      </w:r>
    </w:p>
    <w:p w:rsidR="0015244F" w:rsidRDefault="00A565B8">
      <w:pPr>
        <w:spacing w:after="120" w:line="240" w:lineRule="auto"/>
        <w:ind w:left="284" w:hanging="284"/>
        <w:jc w:val="both"/>
      </w:pPr>
      <w:r>
        <w:t xml:space="preserve">[11] J. Sánchez-Martín, A. </w:t>
      </w:r>
      <w:proofErr w:type="spellStart"/>
      <w:r>
        <w:t>Fernández</w:t>
      </w:r>
      <w:proofErr w:type="spellEnd"/>
      <w:r>
        <w:t xml:space="preserve">, and R. </w:t>
      </w:r>
      <w:proofErr w:type="spellStart"/>
      <w:r>
        <w:t>García</w:t>
      </w:r>
      <w:proofErr w:type="spellEnd"/>
      <w:r>
        <w:t xml:space="preserve">, "GRIMCELL: graph learning for post-deployment KPI prediction in a commercial LTE-A Pro network," </w:t>
      </w:r>
      <w:r>
        <w:rPr>
          <w:i/>
          <w:iCs/>
        </w:rPr>
        <w:t>Ma</w:t>
      </w:r>
      <w:r>
        <w:rPr>
          <w:i/>
          <w:iCs/>
        </w:rPr>
        <w:t>chine Learning and Knowledge Extraction</w:t>
      </w:r>
      <w:r>
        <w:t>, vol. 8, no. 9, article 260, 2026.</w:t>
      </w:r>
    </w:p>
    <w:p w:rsidR="0015244F" w:rsidRDefault="00A565B8">
      <w:pPr>
        <w:spacing w:after="120" w:line="240" w:lineRule="auto"/>
        <w:ind w:left="284" w:hanging="284"/>
        <w:jc w:val="both"/>
      </w:pPr>
      <w:r>
        <w:t xml:space="preserve">[12] A. </w:t>
      </w:r>
      <w:proofErr w:type="spellStart"/>
      <w:r>
        <w:t>Mehregan</w:t>
      </w:r>
      <w:proofErr w:type="spellEnd"/>
      <w:r>
        <w:t xml:space="preserve"> and R. De Grande, "TH-GCN: a temporal heterogeneous graph convolutional network for handover </w:t>
      </w:r>
      <w:proofErr w:type="spellStart"/>
      <w:r>
        <w:t>optimisation</w:t>
      </w:r>
      <w:proofErr w:type="spellEnd"/>
      <w:r>
        <w:t xml:space="preserve"> in dense vehicular networks," </w:t>
      </w:r>
      <w:proofErr w:type="spellStart"/>
      <w:r>
        <w:rPr>
          <w:i/>
          <w:iCs/>
        </w:rPr>
        <w:t>arXiv</w:t>
      </w:r>
      <w:proofErr w:type="spellEnd"/>
      <w:r>
        <w:rPr>
          <w:i/>
          <w:iCs/>
        </w:rPr>
        <w:t xml:space="preserve"> preprint arXiv</w:t>
      </w:r>
      <w:proofErr w:type="gramStart"/>
      <w:r>
        <w:rPr>
          <w:i/>
          <w:iCs/>
        </w:rPr>
        <w:t>:2505.04</w:t>
      </w:r>
      <w:r>
        <w:rPr>
          <w:i/>
          <w:iCs/>
        </w:rPr>
        <w:t>894</w:t>
      </w:r>
      <w:proofErr w:type="gramEnd"/>
      <w:r>
        <w:t>, presented at IEEE DCOSS-</w:t>
      </w:r>
      <w:proofErr w:type="spellStart"/>
      <w:r>
        <w:t>IoT</w:t>
      </w:r>
      <w:proofErr w:type="spellEnd"/>
      <w:r>
        <w:t>, 2025.</w:t>
      </w:r>
    </w:p>
    <w:p w:rsidR="0015244F" w:rsidRDefault="00A565B8">
      <w:pPr>
        <w:spacing w:after="120" w:line="240" w:lineRule="auto"/>
        <w:ind w:left="284" w:hanging="284"/>
        <w:jc w:val="both"/>
      </w:pPr>
      <w:r>
        <w:t xml:space="preserve">[13] A. </w:t>
      </w:r>
      <w:proofErr w:type="spellStart"/>
      <w:r>
        <w:t>Graser</w:t>
      </w:r>
      <w:proofErr w:type="spellEnd"/>
      <w:r>
        <w:t xml:space="preserve">, A. </w:t>
      </w:r>
      <w:proofErr w:type="spellStart"/>
      <w:r>
        <w:t>Jalali</w:t>
      </w:r>
      <w:proofErr w:type="spellEnd"/>
      <w:r>
        <w:t xml:space="preserve">, J. Lampert, A. </w:t>
      </w:r>
      <w:proofErr w:type="spellStart"/>
      <w:r>
        <w:t>Weissenfeld</w:t>
      </w:r>
      <w:proofErr w:type="spellEnd"/>
      <w:r>
        <w:t>, and K. Janowicz, "</w:t>
      </w:r>
      <w:proofErr w:type="spellStart"/>
      <w:r>
        <w:t>MobilityDL</w:t>
      </w:r>
      <w:proofErr w:type="spellEnd"/>
      <w:r>
        <w:t xml:space="preserve">: a review of deep learning from trajectory data," </w:t>
      </w:r>
      <w:proofErr w:type="spellStart"/>
      <w:r>
        <w:rPr>
          <w:i/>
          <w:iCs/>
        </w:rPr>
        <w:t>GeoInformatica</w:t>
      </w:r>
      <w:proofErr w:type="spellEnd"/>
      <w:r>
        <w:t>, vol. 29, no. 1, pp. 1–33, 2025.</w:t>
      </w:r>
    </w:p>
    <w:p w:rsidR="0015244F" w:rsidRDefault="00A565B8">
      <w:pPr>
        <w:spacing w:after="120" w:line="240" w:lineRule="auto"/>
        <w:ind w:left="284" w:hanging="284"/>
        <w:jc w:val="both"/>
      </w:pPr>
      <w:r>
        <w:t xml:space="preserve">[14] D. </w:t>
      </w:r>
      <w:proofErr w:type="spellStart"/>
      <w:r>
        <w:t>Zidic</w:t>
      </w:r>
      <w:proofErr w:type="spellEnd"/>
      <w:r>
        <w:t xml:space="preserve">, T. </w:t>
      </w:r>
      <w:proofErr w:type="spellStart"/>
      <w:r>
        <w:t>Mastelic</w:t>
      </w:r>
      <w:proofErr w:type="spellEnd"/>
      <w:r>
        <w:t xml:space="preserve">, I. N. </w:t>
      </w:r>
      <w:proofErr w:type="spellStart"/>
      <w:r>
        <w:t>Kosovic</w:t>
      </w:r>
      <w:proofErr w:type="spellEnd"/>
      <w:r>
        <w:t xml:space="preserve">, M. </w:t>
      </w:r>
      <w:proofErr w:type="spellStart"/>
      <w:r>
        <w:t>Cagalj</w:t>
      </w:r>
      <w:proofErr w:type="spellEnd"/>
      <w:r>
        <w:t xml:space="preserve">, and J. </w:t>
      </w:r>
      <w:proofErr w:type="spellStart"/>
      <w:r>
        <w:t>Lorincz</w:t>
      </w:r>
      <w:proofErr w:type="spellEnd"/>
      <w:r>
        <w:t xml:space="preserve">, "Analyses of ping-pong handovers in real 4G telecommunication networks," </w:t>
      </w:r>
      <w:r>
        <w:rPr>
          <w:i/>
          <w:iCs/>
        </w:rPr>
        <w:t>Computer Networks</w:t>
      </w:r>
      <w:r>
        <w:t>, vol. 227, article 109699, 2023.</w:t>
      </w:r>
    </w:p>
    <w:p w:rsidR="0015244F" w:rsidRDefault="00A565B8">
      <w:pPr>
        <w:spacing w:after="120" w:line="240" w:lineRule="auto"/>
        <w:ind w:left="284" w:hanging="284"/>
        <w:jc w:val="both"/>
      </w:pPr>
      <w:r>
        <w:lastRenderedPageBreak/>
        <w:t xml:space="preserve">[15] A. </w:t>
      </w:r>
      <w:proofErr w:type="spellStart"/>
      <w:r>
        <w:t>Amirova</w:t>
      </w:r>
      <w:proofErr w:type="spellEnd"/>
      <w:r>
        <w:t xml:space="preserve">, D. </w:t>
      </w:r>
      <w:proofErr w:type="spellStart"/>
      <w:r>
        <w:t>Tashmukhamedov</w:t>
      </w:r>
      <w:proofErr w:type="spellEnd"/>
      <w:r>
        <w:t xml:space="preserve">, and B. </w:t>
      </w:r>
      <w:proofErr w:type="spellStart"/>
      <w:r>
        <w:t>Kamalov</w:t>
      </w:r>
      <w:proofErr w:type="spellEnd"/>
      <w:r>
        <w:t xml:space="preserve">, "Drive-test-based analysis of handover </w:t>
      </w:r>
      <w:proofErr w:type="spellStart"/>
      <w:r>
        <w:t>behav</w:t>
      </w:r>
      <w:r>
        <w:t>iour</w:t>
      </w:r>
      <w:proofErr w:type="spellEnd"/>
      <w:r>
        <w:t xml:space="preserve"> in operational LTE and 5G networks," </w:t>
      </w:r>
      <w:r>
        <w:rPr>
          <w:i/>
          <w:iCs/>
        </w:rPr>
        <w:t>Future Internet</w:t>
      </w:r>
      <w:r>
        <w:t>, vol. 18, no. 6, article 290, 2026.</w:t>
      </w:r>
    </w:p>
    <w:p w:rsidR="0015244F" w:rsidRDefault="00A565B8">
      <w:pPr>
        <w:spacing w:after="120" w:line="240" w:lineRule="auto"/>
        <w:ind w:left="284" w:hanging="284"/>
        <w:jc w:val="both"/>
      </w:pPr>
      <w:r>
        <w:t xml:space="preserve">[16] S. </w:t>
      </w:r>
      <w:proofErr w:type="spellStart"/>
      <w:r>
        <w:t>Wiegrebe</w:t>
      </w:r>
      <w:proofErr w:type="spellEnd"/>
      <w:r>
        <w:t xml:space="preserve">, P. </w:t>
      </w:r>
      <w:proofErr w:type="spellStart"/>
      <w:r>
        <w:t>Kopper</w:t>
      </w:r>
      <w:proofErr w:type="spellEnd"/>
      <w:r>
        <w:t xml:space="preserve">, R. </w:t>
      </w:r>
      <w:proofErr w:type="spellStart"/>
      <w:r>
        <w:t>Sonabend</w:t>
      </w:r>
      <w:proofErr w:type="spellEnd"/>
      <w:r>
        <w:t xml:space="preserve">, B. </w:t>
      </w:r>
      <w:proofErr w:type="spellStart"/>
      <w:r>
        <w:t>Bischl</w:t>
      </w:r>
      <w:proofErr w:type="spellEnd"/>
      <w:r>
        <w:t xml:space="preserve">, and A. Bender, "Deep learning for survival analysis: a review," </w:t>
      </w:r>
      <w:r>
        <w:rPr>
          <w:i/>
          <w:iCs/>
        </w:rPr>
        <w:t>Artificial Intelligence Review</w:t>
      </w:r>
      <w:r>
        <w:t xml:space="preserve">, vol. 57, no. </w:t>
      </w:r>
      <w:r>
        <w:t>3, article 65, 2024.</w:t>
      </w:r>
    </w:p>
    <w:p w:rsidR="0015244F" w:rsidRDefault="00A565B8">
      <w:pPr>
        <w:spacing w:after="120" w:line="240" w:lineRule="auto"/>
        <w:ind w:left="284" w:hanging="284"/>
        <w:jc w:val="both"/>
      </w:pPr>
      <w:r>
        <w:t xml:space="preserve">[17] H.-C. </w:t>
      </w:r>
      <w:proofErr w:type="spellStart"/>
      <w:r>
        <w:t>Thorsen</w:t>
      </w:r>
      <w:proofErr w:type="spellEnd"/>
      <w:r>
        <w:t xml:space="preserve">-Meyer, D. </w:t>
      </w:r>
      <w:proofErr w:type="spellStart"/>
      <w:r>
        <w:t>Placido</w:t>
      </w:r>
      <w:proofErr w:type="spellEnd"/>
      <w:r>
        <w:t xml:space="preserve">, B. S. </w:t>
      </w:r>
      <w:proofErr w:type="spellStart"/>
      <w:r>
        <w:t>Kaas</w:t>
      </w:r>
      <w:proofErr w:type="spellEnd"/>
      <w:r>
        <w:t xml:space="preserve">-Hansen, A. P. Nielsen, T. Lange, A. </w:t>
      </w:r>
      <w:proofErr w:type="spellStart"/>
      <w:r>
        <w:t>Perner</w:t>
      </w:r>
      <w:proofErr w:type="spellEnd"/>
      <w:r>
        <w:t xml:space="preserve">, and S. </w:t>
      </w:r>
      <w:proofErr w:type="spellStart"/>
      <w:r>
        <w:t>Brunak</w:t>
      </w:r>
      <w:proofErr w:type="spellEnd"/>
      <w:r>
        <w:t xml:space="preserve">, "Discrete-time survival analysis in the critically ill: a deep learning approach using heterogeneous data," </w:t>
      </w:r>
      <w:proofErr w:type="spellStart"/>
      <w:r>
        <w:rPr>
          <w:i/>
          <w:iCs/>
        </w:rPr>
        <w:t>npj</w:t>
      </w:r>
      <w:proofErr w:type="spellEnd"/>
      <w:r>
        <w:rPr>
          <w:i/>
          <w:iCs/>
        </w:rPr>
        <w:t xml:space="preserve"> Digital Medicin</w:t>
      </w:r>
      <w:r>
        <w:rPr>
          <w:i/>
          <w:iCs/>
        </w:rPr>
        <w:t>e</w:t>
      </w:r>
      <w:r>
        <w:t>, vol. 5, article 142, 2022.</w:t>
      </w:r>
    </w:p>
    <w:p w:rsidR="0015244F" w:rsidRDefault="00A565B8">
      <w:pPr>
        <w:spacing w:after="120" w:line="240" w:lineRule="auto"/>
        <w:ind w:left="284" w:hanging="284"/>
        <w:jc w:val="both"/>
      </w:pPr>
      <w:r>
        <w:t xml:space="preserve">[18] K. M. Cohen, S. Park, O. </w:t>
      </w:r>
      <w:proofErr w:type="spellStart"/>
      <w:r>
        <w:t>Simeone</w:t>
      </w:r>
      <w:proofErr w:type="spellEnd"/>
      <w:r>
        <w:t xml:space="preserve">, and S. </w:t>
      </w:r>
      <w:proofErr w:type="spellStart"/>
      <w:r>
        <w:t>Shamai</w:t>
      </w:r>
      <w:proofErr w:type="spellEnd"/>
      <w:r>
        <w:t xml:space="preserve">, "Calibrating AI models for wireless communications via conformal prediction," </w:t>
      </w:r>
      <w:proofErr w:type="spellStart"/>
      <w:r>
        <w:rPr>
          <w:i/>
          <w:iCs/>
        </w:rPr>
        <w:t>arXiv</w:t>
      </w:r>
      <w:proofErr w:type="spellEnd"/>
      <w:r>
        <w:rPr>
          <w:i/>
          <w:iCs/>
        </w:rPr>
        <w:t xml:space="preserve"> preprint arXiv</w:t>
      </w:r>
      <w:proofErr w:type="gramStart"/>
      <w:r>
        <w:rPr>
          <w:i/>
          <w:iCs/>
        </w:rPr>
        <w:t>:2212.07775</w:t>
      </w:r>
      <w:proofErr w:type="gramEnd"/>
      <w:r>
        <w:t>, 2022.</w:t>
      </w:r>
    </w:p>
    <w:p w:rsidR="0015244F" w:rsidRDefault="00A565B8">
      <w:pPr>
        <w:spacing w:after="120" w:line="240" w:lineRule="auto"/>
        <w:ind w:left="284" w:hanging="284"/>
        <w:jc w:val="both"/>
      </w:pPr>
      <w:r>
        <w:t xml:space="preserve">[19] O. </w:t>
      </w:r>
      <w:proofErr w:type="spellStart"/>
      <w:r>
        <w:t>Simeone</w:t>
      </w:r>
      <w:proofErr w:type="spellEnd"/>
      <w:r>
        <w:t xml:space="preserve">, S. Park, and M. </w:t>
      </w:r>
      <w:proofErr w:type="spellStart"/>
      <w:r>
        <w:t>Zecchin</w:t>
      </w:r>
      <w:proofErr w:type="spellEnd"/>
      <w:r>
        <w:t>, "Conformal pr</w:t>
      </w:r>
      <w:r>
        <w:t xml:space="preserve">ediction for the design lifecycle of AI in wireless systems," </w:t>
      </w:r>
      <w:proofErr w:type="spellStart"/>
      <w:r>
        <w:rPr>
          <w:i/>
          <w:iCs/>
        </w:rPr>
        <w:t>arXiv</w:t>
      </w:r>
      <w:proofErr w:type="spellEnd"/>
      <w:r>
        <w:rPr>
          <w:i/>
          <w:iCs/>
        </w:rPr>
        <w:t xml:space="preserve"> preprint arXiv</w:t>
      </w:r>
      <w:proofErr w:type="gramStart"/>
      <w:r>
        <w:rPr>
          <w:i/>
          <w:iCs/>
        </w:rPr>
        <w:t>:2504.09310</w:t>
      </w:r>
      <w:proofErr w:type="gramEnd"/>
      <w:r>
        <w:t>, 2025.</w:t>
      </w:r>
    </w:p>
    <w:p w:rsidR="0015244F" w:rsidRDefault="00A565B8">
      <w:pPr>
        <w:spacing w:after="120" w:line="240" w:lineRule="auto"/>
        <w:ind w:left="284" w:hanging="284"/>
        <w:jc w:val="both"/>
      </w:pPr>
      <w:r>
        <w:t xml:space="preserve">[20] A. N. Angelopoulos, S. Bates, A. </w:t>
      </w:r>
      <w:proofErr w:type="spellStart"/>
      <w:r>
        <w:t>Fisch</w:t>
      </w:r>
      <w:proofErr w:type="spellEnd"/>
      <w:r>
        <w:t xml:space="preserve">, L. Lei, and T. Schuster, "Conformal risk control," in </w:t>
      </w:r>
      <w:r>
        <w:rPr>
          <w:i/>
          <w:iCs/>
        </w:rPr>
        <w:t xml:space="preserve">Proceedings of the International Conference on Learning </w:t>
      </w:r>
      <w:r>
        <w:rPr>
          <w:i/>
          <w:iCs/>
        </w:rPr>
        <w:t>Representations (ICLR)</w:t>
      </w:r>
      <w:r>
        <w:t>, 2024.</w:t>
      </w:r>
    </w:p>
    <w:p w:rsidR="0015244F" w:rsidRDefault="00A565B8">
      <w:pPr>
        <w:spacing w:after="120" w:line="240" w:lineRule="auto"/>
        <w:ind w:left="284" w:hanging="284"/>
        <w:jc w:val="both"/>
      </w:pPr>
      <w:r>
        <w:t xml:space="preserve">[21] A. G. Hawkes, "Spectra of some self-exciting and mutually exciting point processes," </w:t>
      </w:r>
      <w:proofErr w:type="spellStart"/>
      <w:r>
        <w:rPr>
          <w:i/>
          <w:iCs/>
        </w:rPr>
        <w:t>Biometrika</w:t>
      </w:r>
      <w:proofErr w:type="spellEnd"/>
      <w:r>
        <w:t>, vol. 58, no. 1, pp. 83–90, 1971.</w:t>
      </w:r>
    </w:p>
    <w:p w:rsidR="0015244F" w:rsidRDefault="00A565B8">
      <w:pPr>
        <w:spacing w:after="120" w:line="240" w:lineRule="auto"/>
        <w:ind w:left="284" w:hanging="284"/>
        <w:jc w:val="both"/>
      </w:pPr>
      <w:r>
        <w:t xml:space="preserve">[22] P. J. </w:t>
      </w:r>
      <w:proofErr w:type="spellStart"/>
      <w:r>
        <w:t>Laub</w:t>
      </w:r>
      <w:proofErr w:type="spellEnd"/>
      <w:r>
        <w:t xml:space="preserve">, Y. Lee, P. K. </w:t>
      </w:r>
      <w:proofErr w:type="spellStart"/>
      <w:r>
        <w:t>Pollett</w:t>
      </w:r>
      <w:proofErr w:type="spellEnd"/>
      <w:r>
        <w:t xml:space="preserve">, and T. </w:t>
      </w:r>
      <w:proofErr w:type="spellStart"/>
      <w:r>
        <w:t>Taimre</w:t>
      </w:r>
      <w:proofErr w:type="spellEnd"/>
      <w:r>
        <w:t>, "Hawkes models and their application</w:t>
      </w:r>
      <w:r>
        <w:t xml:space="preserve">s," </w:t>
      </w:r>
      <w:r>
        <w:rPr>
          <w:i/>
          <w:iCs/>
        </w:rPr>
        <w:t>Annual Review of Statistics and Its Application</w:t>
      </w:r>
      <w:r>
        <w:t>, vol. 12, pp. 233–258, 2025.</w:t>
      </w:r>
    </w:p>
    <w:p w:rsidR="0015244F" w:rsidRDefault="00A565B8">
      <w:pPr>
        <w:spacing w:after="120" w:line="240" w:lineRule="auto"/>
        <w:ind w:left="284" w:hanging="284"/>
        <w:jc w:val="both"/>
      </w:pPr>
      <w:r>
        <w:t xml:space="preserve">[23] Y. Ogata, "Statistical models for earthquake occurrences and residual analysis for point processes," </w:t>
      </w:r>
      <w:r>
        <w:rPr>
          <w:i/>
          <w:iCs/>
        </w:rPr>
        <w:t>Journal of the American Statistical Association</w:t>
      </w:r>
      <w:r>
        <w:t>, vol. 83, no. 401, pp</w:t>
      </w:r>
      <w:r>
        <w:t>. 9–27, 1988.</w:t>
      </w:r>
    </w:p>
    <w:p w:rsidR="0015244F" w:rsidRDefault="00A565B8">
      <w:pPr>
        <w:spacing w:after="120" w:line="240" w:lineRule="auto"/>
        <w:ind w:left="284" w:hanging="284"/>
        <w:jc w:val="both"/>
      </w:pPr>
      <w:r>
        <w:t xml:space="preserve">[24] M. Price-Williams and N. Heard, "Nonparametric self-exciting models for computer network traffic," </w:t>
      </w:r>
      <w:r>
        <w:rPr>
          <w:i/>
          <w:iCs/>
        </w:rPr>
        <w:t>Statistics and Computing</w:t>
      </w:r>
      <w:r>
        <w:t>, vol. 30, no. 2, pp. 209–220, 2020.</w:t>
      </w:r>
    </w:p>
    <w:p w:rsidR="0015244F" w:rsidRDefault="00A565B8">
      <w:pPr>
        <w:spacing w:after="120" w:line="240" w:lineRule="auto"/>
        <w:ind w:left="284" w:hanging="284"/>
        <w:jc w:val="both"/>
      </w:pPr>
      <w:r>
        <w:t xml:space="preserve">[25] H. Ismail </w:t>
      </w:r>
      <w:proofErr w:type="spellStart"/>
      <w:r>
        <w:t>Fawaz</w:t>
      </w:r>
      <w:proofErr w:type="spellEnd"/>
      <w:r>
        <w:t xml:space="preserve">, M. Del Grosso, T. </w:t>
      </w:r>
      <w:proofErr w:type="spellStart"/>
      <w:r>
        <w:t>Kerdoncuff</w:t>
      </w:r>
      <w:proofErr w:type="spellEnd"/>
      <w:r>
        <w:t xml:space="preserve">, A. </w:t>
      </w:r>
      <w:proofErr w:type="spellStart"/>
      <w:r>
        <w:t>Boisbunon</w:t>
      </w:r>
      <w:proofErr w:type="spellEnd"/>
      <w:r>
        <w:t xml:space="preserve">, and I. </w:t>
      </w:r>
      <w:proofErr w:type="spellStart"/>
      <w:r>
        <w:t>Saff</w:t>
      </w:r>
      <w:r>
        <w:t>ar</w:t>
      </w:r>
      <w:proofErr w:type="spellEnd"/>
      <w:r>
        <w:t xml:space="preserve">, "Deep unsupervised domain adaptation for time series classification: a benchmark," </w:t>
      </w:r>
      <w:proofErr w:type="spellStart"/>
      <w:r>
        <w:rPr>
          <w:i/>
          <w:iCs/>
        </w:rPr>
        <w:t>arXiv</w:t>
      </w:r>
      <w:proofErr w:type="spellEnd"/>
      <w:r>
        <w:rPr>
          <w:i/>
          <w:iCs/>
        </w:rPr>
        <w:t xml:space="preserve"> preprint arXiv</w:t>
      </w:r>
      <w:proofErr w:type="gramStart"/>
      <w:r>
        <w:rPr>
          <w:i/>
          <w:iCs/>
        </w:rPr>
        <w:t>:2312.09857</w:t>
      </w:r>
      <w:proofErr w:type="gramEnd"/>
      <w:r>
        <w:t>, 2023.</w:t>
      </w:r>
    </w:p>
    <w:p w:rsidR="0015244F" w:rsidRDefault="00A565B8">
      <w:pPr>
        <w:spacing w:after="120" w:line="240" w:lineRule="auto"/>
        <w:ind w:left="284" w:hanging="284"/>
        <w:jc w:val="both"/>
      </w:pPr>
      <w:r>
        <w:t xml:space="preserve">[26] B. Sun and K. </w:t>
      </w:r>
      <w:proofErr w:type="spellStart"/>
      <w:r>
        <w:t>Saenko</w:t>
      </w:r>
      <w:proofErr w:type="spellEnd"/>
      <w:r>
        <w:t xml:space="preserve">, "Deep CORAL: correlation alignment for deep domain adaptation," in </w:t>
      </w:r>
      <w:r>
        <w:rPr>
          <w:i/>
          <w:iCs/>
        </w:rPr>
        <w:t>Computer Vision – ECCV 2016 Workshop</w:t>
      </w:r>
      <w:r>
        <w:rPr>
          <w:i/>
          <w:iCs/>
        </w:rPr>
        <w:t>s</w:t>
      </w:r>
      <w:r>
        <w:t>, Lecture Notes in Computer Science, vol. 9915, pp. 443–450, 2016.</w:t>
      </w:r>
    </w:p>
    <w:p w:rsidR="0015244F" w:rsidRDefault="00A565B8">
      <w:pPr>
        <w:spacing w:after="120" w:line="240" w:lineRule="auto"/>
        <w:ind w:left="284" w:hanging="284"/>
        <w:jc w:val="both"/>
      </w:pPr>
      <w:r>
        <w:t xml:space="preserve">[27] Y. Shi, X. Ying, and J. Yang, "Deep unsupervised domain adaptation with time series sensor data: a survey," </w:t>
      </w:r>
      <w:r>
        <w:rPr>
          <w:i/>
          <w:iCs/>
        </w:rPr>
        <w:t>Sensors</w:t>
      </w:r>
      <w:r>
        <w:t>, vol. 22, no. 15, article 5507, 2022.</w:t>
      </w:r>
    </w:p>
    <w:p w:rsidR="0015244F" w:rsidRDefault="00A565B8">
      <w:pPr>
        <w:spacing w:after="120" w:line="240" w:lineRule="auto"/>
        <w:ind w:left="284" w:hanging="284"/>
        <w:jc w:val="both"/>
      </w:pPr>
      <w:r>
        <w:t xml:space="preserve">[28] D. Wagner, T. </w:t>
      </w:r>
      <w:proofErr w:type="spellStart"/>
      <w:r>
        <w:t>Michels</w:t>
      </w:r>
      <w:proofErr w:type="spellEnd"/>
      <w:r>
        <w:t>, F</w:t>
      </w:r>
      <w:r>
        <w:t xml:space="preserve">. C. F. Schulz, A. Nair, M. Rudolph, and M. </w:t>
      </w:r>
      <w:proofErr w:type="spellStart"/>
      <w:r>
        <w:t>Kloft</w:t>
      </w:r>
      <w:proofErr w:type="spellEnd"/>
      <w:r>
        <w:t xml:space="preserve">, "On the impossibility of an ideal point-adjusted metric for time-series anomaly detection," </w:t>
      </w:r>
      <w:proofErr w:type="spellStart"/>
      <w:r>
        <w:rPr>
          <w:i/>
          <w:iCs/>
        </w:rPr>
        <w:t>arXiv</w:t>
      </w:r>
      <w:proofErr w:type="spellEnd"/>
      <w:r>
        <w:rPr>
          <w:i/>
          <w:iCs/>
        </w:rPr>
        <w:t xml:space="preserve"> preprint arXiv</w:t>
      </w:r>
      <w:proofErr w:type="gramStart"/>
      <w:r>
        <w:rPr>
          <w:i/>
          <w:iCs/>
        </w:rPr>
        <w:t>:2510.17562</w:t>
      </w:r>
      <w:proofErr w:type="gramEnd"/>
      <w:r>
        <w:t>, 2025.</w:t>
      </w:r>
    </w:p>
    <w:p w:rsidR="0015244F" w:rsidRDefault="00A565B8">
      <w:pPr>
        <w:spacing w:after="120" w:line="240" w:lineRule="auto"/>
        <w:ind w:left="284" w:hanging="284"/>
        <w:jc w:val="both"/>
      </w:pPr>
      <w:r>
        <w:t xml:space="preserve">[29] S. Deb, P. </w:t>
      </w:r>
      <w:proofErr w:type="spellStart"/>
      <w:r>
        <w:t>Monogioudis</w:t>
      </w:r>
      <w:proofErr w:type="spellEnd"/>
      <w:r>
        <w:t xml:space="preserve">, and D. </w:t>
      </w:r>
      <w:proofErr w:type="spellStart"/>
      <w:r>
        <w:t>Calin</w:t>
      </w:r>
      <w:proofErr w:type="spellEnd"/>
      <w:r>
        <w:t>, "A discrete-time Markov chain a</w:t>
      </w:r>
      <w:r>
        <w:t xml:space="preserve">nalysis of conditional handover in cellular networks," </w:t>
      </w:r>
      <w:proofErr w:type="spellStart"/>
      <w:r>
        <w:rPr>
          <w:i/>
          <w:iCs/>
        </w:rPr>
        <w:t>arXiv</w:t>
      </w:r>
      <w:proofErr w:type="spellEnd"/>
      <w:r>
        <w:rPr>
          <w:i/>
          <w:iCs/>
        </w:rPr>
        <w:t xml:space="preserve"> preprint arXiv</w:t>
      </w:r>
      <w:proofErr w:type="gramStart"/>
      <w:r>
        <w:rPr>
          <w:i/>
          <w:iCs/>
        </w:rPr>
        <w:t>:2403.04379</w:t>
      </w:r>
      <w:proofErr w:type="gramEnd"/>
      <w:r>
        <w:t>, 2024.</w:t>
      </w:r>
    </w:p>
    <w:p w:rsidR="0015244F" w:rsidRDefault="00A565B8">
      <w:pPr>
        <w:spacing w:after="120" w:line="240" w:lineRule="auto"/>
        <w:ind w:left="284" w:hanging="284"/>
        <w:jc w:val="both"/>
      </w:pPr>
      <w:r>
        <w:t xml:space="preserve">[30] G. </w:t>
      </w:r>
      <w:proofErr w:type="spellStart"/>
      <w:r>
        <w:t>Ke</w:t>
      </w:r>
      <w:proofErr w:type="spellEnd"/>
      <w:r>
        <w:t xml:space="preserve">, Q. </w:t>
      </w:r>
      <w:proofErr w:type="spellStart"/>
      <w:r>
        <w:t>Meng</w:t>
      </w:r>
      <w:proofErr w:type="spellEnd"/>
      <w:r>
        <w:t>, T. Finley, T. Wang, W. Chen, W. Ma, Q. Ye, and T.-Y. Liu, "</w:t>
      </w:r>
      <w:proofErr w:type="spellStart"/>
      <w:r>
        <w:t>LightGBM</w:t>
      </w:r>
      <w:proofErr w:type="spellEnd"/>
      <w:r>
        <w:t xml:space="preserve">: a highly efficient gradient boosting decision tree," in </w:t>
      </w:r>
      <w:r>
        <w:rPr>
          <w:i/>
          <w:iCs/>
        </w:rPr>
        <w:t>Advances in Neur</w:t>
      </w:r>
      <w:r>
        <w:rPr>
          <w:i/>
          <w:iCs/>
        </w:rPr>
        <w:t>al Information Processing Systems (NIPS)</w:t>
      </w:r>
      <w:r>
        <w:t>, vol. 30, pp. 3146–3154, 2017.</w:t>
      </w:r>
    </w:p>
    <w:p w:rsidR="0015244F" w:rsidRDefault="00A565B8">
      <w:pPr>
        <w:spacing w:after="120" w:line="240" w:lineRule="auto"/>
        <w:ind w:left="284" w:hanging="284"/>
        <w:jc w:val="both"/>
      </w:pPr>
      <w:r>
        <w:lastRenderedPageBreak/>
        <w:t xml:space="preserve">[31] C. </w:t>
      </w:r>
      <w:proofErr w:type="spellStart"/>
      <w:r>
        <w:t>Guo</w:t>
      </w:r>
      <w:proofErr w:type="spellEnd"/>
      <w:r>
        <w:t xml:space="preserve">, G. </w:t>
      </w:r>
      <w:proofErr w:type="spellStart"/>
      <w:r>
        <w:t>Pleiss</w:t>
      </w:r>
      <w:proofErr w:type="spellEnd"/>
      <w:r>
        <w:t xml:space="preserve">, Y. Sun, and K. Q. Weinberger, "On calibration of modern neural networks," in </w:t>
      </w:r>
      <w:r>
        <w:rPr>
          <w:i/>
          <w:iCs/>
        </w:rPr>
        <w:t>Proceedings of the International Conference on Machine Learning (ICML)</w:t>
      </w:r>
      <w:r>
        <w:t>, pp. 1321–1330, 2017.</w:t>
      </w:r>
    </w:p>
    <w:p w:rsidR="0015244F" w:rsidRDefault="00A565B8">
      <w:pPr>
        <w:spacing w:after="120" w:line="240" w:lineRule="auto"/>
        <w:ind w:left="284" w:hanging="284"/>
        <w:jc w:val="both"/>
      </w:pPr>
      <w:r>
        <w:t xml:space="preserve">[32] B. </w:t>
      </w:r>
      <w:proofErr w:type="spellStart"/>
      <w:r>
        <w:t>Zadrozny</w:t>
      </w:r>
      <w:proofErr w:type="spellEnd"/>
      <w:r>
        <w:t xml:space="preserve"> and C. Elkan, "Transforming classifier scores into accurate multiclass probability estimates," in </w:t>
      </w:r>
      <w:r>
        <w:rPr>
          <w:i/>
          <w:iCs/>
        </w:rPr>
        <w:t>Proceedings of the ACM SIGKDD International Conference on Knowledge Discovery and Data Mining</w:t>
      </w:r>
      <w:r>
        <w:t>, pp. 694–699, 2002.</w:t>
      </w:r>
    </w:p>
    <w:p w:rsidR="0015244F" w:rsidRDefault="00A565B8">
      <w:pPr>
        <w:spacing w:after="120" w:line="240" w:lineRule="auto"/>
        <w:ind w:left="284" w:hanging="284"/>
        <w:jc w:val="both"/>
      </w:pPr>
      <w:r>
        <w:t>[33]</w:t>
      </w:r>
      <w:r>
        <w:t xml:space="preserve"> M. </w:t>
      </w:r>
      <w:proofErr w:type="spellStart"/>
      <w:r>
        <w:t>Shafi</w:t>
      </w:r>
      <w:proofErr w:type="spellEnd"/>
      <w:r>
        <w:t xml:space="preserve">, S. Rahman, and A. Hossain, "Drive-test-based LTE handover dataset," </w:t>
      </w:r>
      <w:proofErr w:type="spellStart"/>
      <w:r>
        <w:rPr>
          <w:i/>
          <w:iCs/>
        </w:rPr>
        <w:t>Mendeley</w:t>
      </w:r>
      <w:proofErr w:type="spellEnd"/>
      <w:r>
        <w:rPr>
          <w:i/>
          <w:iCs/>
        </w:rPr>
        <w:t xml:space="preserve"> Data</w:t>
      </w:r>
      <w:r>
        <w:t>, v2, doi:10.17632/n2pvmtyn2j.1, 2025.</w:t>
      </w:r>
    </w:p>
    <w:p w:rsidR="0015244F" w:rsidRDefault="00A565B8">
      <w:pPr>
        <w:spacing w:after="120" w:line="240" w:lineRule="auto"/>
        <w:ind w:left="284" w:hanging="284"/>
        <w:jc w:val="both"/>
      </w:pPr>
      <w:r>
        <w:t xml:space="preserve">[34] B. </w:t>
      </w:r>
      <w:proofErr w:type="spellStart"/>
      <w:r>
        <w:t>Lakshminarayanan</w:t>
      </w:r>
      <w:proofErr w:type="spellEnd"/>
      <w:r>
        <w:t xml:space="preserve">, A. </w:t>
      </w:r>
      <w:proofErr w:type="spellStart"/>
      <w:r>
        <w:t>Pritzel</w:t>
      </w:r>
      <w:proofErr w:type="spellEnd"/>
      <w:r>
        <w:t>, and C. Blundell, "Simple and scalable predictive uncertainty estimation using deep ense</w:t>
      </w:r>
      <w:r>
        <w:t xml:space="preserve">mbles," in </w:t>
      </w:r>
      <w:r>
        <w:rPr>
          <w:i/>
          <w:iCs/>
        </w:rPr>
        <w:t>Advances in Neural Information Processing Systems (NIPS)</w:t>
      </w:r>
      <w:r>
        <w:t>, vol. 30, pp. 6402–6413, 2017.</w:t>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w:t>
      </w:r>
      <w:r>
        <w:t>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blPrEx>
          <w:tblCellMar>
            <w:top w:w="0" w:type="dxa"/>
            <w:bottom w:w="0" w:type="dxa"/>
          </w:tblCellMar>
        </w:tblPrEx>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blPrEx>
          <w:tblCellMar>
            <w:top w:w="0" w:type="dxa"/>
            <w:bottom w:w="0" w:type="dxa"/>
          </w:tblCellMar>
        </w:tblPrEx>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blPrEx>
          <w:tblCellMar>
            <w:top w:w="0" w:type="dxa"/>
            <w:bottom w:w="0" w:type="dxa"/>
          </w:tblCellMar>
        </w:tblPrEx>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blPrEx>
          <w:tblCellMar>
            <w:top w:w="0" w:type="dxa"/>
            <w:bottom w:w="0" w:type="dxa"/>
          </w:tblCellMar>
        </w:tblPrEx>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blPrEx>
          <w:tblCellMar>
            <w:top w:w="0" w:type="dxa"/>
            <w:bottom w:w="0" w:type="dxa"/>
          </w:tblCellMar>
        </w:tblPrEx>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blPrEx>
          <w:tblCellMar>
            <w:top w:w="0" w:type="dxa"/>
            <w:bottom w:w="0" w:type="dxa"/>
          </w:tblCellMar>
        </w:tblPrEx>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blPrEx>
          <w:tblCellMar>
            <w:top w:w="0" w:type="dxa"/>
            <w:bottom w:w="0" w:type="dxa"/>
          </w:tblCellMar>
        </w:tblPrEx>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 xml:space="preserve">The 107 features retained after the degenerate-feature filter of Section 4.6 are </w:t>
      </w:r>
      <w:proofErr w:type="spellStart"/>
      <w:r>
        <w:t>organised</w:t>
      </w:r>
      <w:proofErr w:type="spellEnd"/>
      <w:r>
        <w:t xml:space="preserve"> as follows. All rolling statistics are computed per drive over backward-looking windows closing at the prediction instant.</w:t>
      </w:r>
    </w:p>
    <w:p w:rsidR="0015244F" w:rsidRDefault="00A565B8">
      <w:pPr>
        <w:ind w:firstLine="567"/>
        <w:jc w:val="both"/>
      </w:pPr>
      <w:r>
        <w:rPr>
          <w:b/>
          <w:bCs/>
        </w:rPr>
        <w:t>Radio block (83 features).</w:t>
      </w:r>
      <w:r>
        <w:t xml:space="preserve"> For each of ser</w:t>
      </w:r>
      <w:r>
        <w:t>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w:t>
      </w:r>
      <w:r>
        <w: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w:t>
      </w:r>
      <w:r>
        <w:t xml:space="preserve">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w:t>
      </w:r>
      <w:r>
        <w:t>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w:t>
      </w:r>
      <w:r>
        <w:t>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w:t>
      </w:r>
      <w:r>
        <w:t xml:space="preserve">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w:t>
      </w:r>
      <w:r>
        <w:t>y control; feature construction; long-format expansion for the hazard formulation; model fitting under the grouped rotation; calibration; conformal threshold certification; event-level scoring; transfer and external validation; and point-process fitting wi</w:t>
      </w:r>
      <w:r>
        <w:t>th residual testing.</w:t>
      </w:r>
    </w:p>
    <w:p w:rsidR="0015244F" w:rsidRDefault="00A565B8">
      <w:pPr>
        <w:ind w:firstLine="567"/>
        <w:jc w:val="both"/>
      </w:pPr>
      <w:r>
        <w:t xml:space="preserve">Two conventions are enforced throughout and are worth recording because they are the source of most reproduction failures in work of this kind. First, no stage may read a file written by a later stage, which makes the dependency order </w:t>
      </w:r>
      <w:r>
        <w:t xml:space="preserve">a directed acyclic graph that can be verified mechanically. Second, every table reported in Chapters 4 and 5 is regenerated from the stage outputs rather than transcribed, so that a change in an upstream stage propagates to the report rather than silently </w:t>
      </w:r>
      <w:r>
        <w:t>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w:t>
      </w:r>
      <w:r>
        <w:t>status of the highway result in Section 5.6 rests on that manifest.</w:t>
      </w:r>
    </w:p>
    <w:p w:rsidR="0015244F" w:rsidRDefault="00A565B8">
      <w:pPr>
        <w:ind w:firstLine="567"/>
        <w:jc w:val="both"/>
      </w:pPr>
      <w:r>
        <w:t>APPENDIX D</w:t>
      </w:r>
      <w:proofErr w:type="spellStart"/>
      <w:r/>
      <w:proofErr w:type="spellEnd"/>
      <w:r/>
      <w:r/>
    </w:p>
    <w:p w:rsidR="0015244F" w:rsidRDefault="00A565B8">
      <w:pPr>
        <w:pStyle w:val="Heading1"/>
        <w:ind w:firstLine="567"/>
        <w:jc w:val="both"/>
      </w:pPr>
      <w:r>
        <w:t>THE 22 AUDITED MODELS</w:t>
      </w:r>
      <w:proofErr w:type="spellStart"/>
      <w:r/>
      <w:proofErr w:type="spellEnd"/>
      <w:r/>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r/>
    </w:p>
    <w:p w:rsidR="0015244F" w:rsidRDefault="00A565B8">
      <w:pPr>
        <w:pStyle w:val="TableCaption"/>
        <w:ind w:firstLine="567"/>
        <w:jc w:val="both"/>
      </w:pPr>
      <w:r>
        <w:t>Table D.1 The 22 audited prediction models.</w:t>
      </w:r>
      <w:proofErr w:type="spellStart"/>
      <w:r/>
      <w:proofErr w:type="spellEnd"/>
      <w:r/>
      <w:r/>
    </w:p>
    <w:tbl>
      <w:tblPr>
        <w:tblLook w:firstColumn="1" w:firstRow="1" w:lastColumn="0" w:lastRow="0" w:noHBand="0" w:noVBand="1" w:val="04A0"/>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5B8" w:rsidRDefault="00A565B8">
      <w:pPr>
        <w:spacing w:line="240" w:lineRule="auto"/>
      </w:pPr>
      <w:r>
        <w:separator/>
      </w:r>
    </w:p>
  </w:endnote>
  <w:endnote w:type="continuationSeparator" w:id="0">
    <w:p w:rsidR="00A565B8" w:rsidRDefault="00A5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15244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5B8" w:rsidRDefault="00A565B8">
      <w:pPr>
        <w:spacing w:line="240" w:lineRule="auto"/>
      </w:pPr>
      <w:r>
        <w:separator/>
      </w:r>
    </w:p>
  </w:footnote>
  <w:footnote w:type="continuationSeparator" w:id="0">
    <w:p w:rsidR="00A565B8" w:rsidRDefault="00A5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7722DA"/>
    <w:rsid w:val="00A5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846C"/>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95</Pages>
  <Words>22473</Words>
  <Characters>128098</Characters>
  <Application>Microsoft Office Word</Application>
  <DocSecurity>0</DocSecurity>
  <Lines>1067</Lines>
  <Paragraphs>300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2</cp:revision>
  <dcterms:created xsi:type="dcterms:W3CDTF">2026-09-16T10:52:00Z</dcterms:created>
  <dcterms:modified xsi:type="dcterms:W3CDTF">2026-09-17T08:10:00Z</dcterms:modified>
</cp:coreProperties>
</file>