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03366"/>
          <w:sz w:val="44"/>
        </w:rPr>
        <w:t>Comparative Technical Analysis: Shafi et al. Mendeley Dataset vs. Four-Campaign Empirical Drive Tests</w:t>
      </w:r>
    </w:p>
    <w:p>
      <w:pPr>
        <w:spacing w:after="280"/>
      </w:pPr>
      <w:r>
        <w:rPr>
          <w:rFonts w:ascii="Calibri Light" w:hAnsi="Calibri Light"/>
          <w:i/>
          <w:color w:val="708090"/>
          <w:sz w:val="24"/>
        </w:rPr>
        <w:t>Cross-Dataset Validation, Multi-Regime Dynamics, Protocol Verification, and Transferability Limits in Urban LTE Mobility</w:t>
      </w:r>
    </w:p>
    <w:tbl>
      <w:tblPr>
        <w:tblW w:type="auto" w:w="0"/>
        <w:jc w:val="center"/>
        <w:tblLook w:firstColumn="1" w:firstRow="1" w:lastColumn="0" w:lastRow="0" w:noHBand="0" w:noVBand="1" w:val="04A0"/>
      </w:tblPr>
      <w:tblGrid>
        <w:gridCol w:w="4680"/>
        <w:gridCol w:w="4680"/>
      </w:tblGrid>
      <w:tr>
        <w:tc>
          <w:tcPr>
            <w:tcW w:type="dxa" w:w="4680"/>
            <w:shd w:fill="F5F7FA"/>
            <w:tcMar>
              <w:top w:w="60" w:type="dxa"/>
              <w:bottom w:w="60" w:type="dxa"/>
              <w:left w:w="100" w:type="dxa"/>
              <w:right w:w="100" w:type="dxa"/>
            </w:tcMar>
          </w:tcPr>
          <w:p>
            <w:pPr>
              <w:spacing w:after="40"/>
            </w:pPr>
            <w:r>
              <w:rPr>
                <w:b/>
                <w:color w:val="003366"/>
                <w:sz w:val="19"/>
              </w:rPr>
              <w:t>Author:</w:t>
            </w:r>
            <w:r>
              <w:rPr>
                <w:color w:val="222222"/>
                <w:sz w:val="19"/>
              </w:rPr>
              <w:t xml:space="preserve"> Abeer Saadman (IUT EEE/CSE)</w:t>
            </w:r>
          </w:p>
        </w:tc>
        <w:tc>
          <w:tcPr>
            <w:tcW w:type="dxa" w:w="4680"/>
            <w:shd w:fill="F5F7FA"/>
            <w:tcMar>
              <w:top w:w="60" w:type="dxa"/>
              <w:bottom w:w="60" w:type="dxa"/>
              <w:left w:w="100" w:type="dxa"/>
              <w:right w:w="100" w:type="dxa"/>
            </w:tcMar>
          </w:tcPr>
          <w:p>
            <w:pPr>
              <w:spacing w:after="40"/>
            </w:pPr>
            <w:r>
              <w:rPr>
                <w:b/>
                <w:color w:val="003366"/>
                <w:sz w:val="19"/>
              </w:rPr>
              <w:t>Target Benchmark:</w:t>
            </w:r>
            <w:r>
              <w:rPr>
                <w:color w:val="222222"/>
                <w:sz w:val="19"/>
              </w:rPr>
              <w:t xml:space="preserve"> Shafi et al. (2025), Mendeley Data</w:t>
            </w:r>
          </w:p>
        </w:tc>
      </w:tr>
      <w:tr>
        <w:tc>
          <w:tcPr>
            <w:tcW w:type="dxa" w:w="4680"/>
            <w:shd w:fill="F5F7FA"/>
            <w:tcMar>
              <w:top w:w="60" w:type="dxa"/>
              <w:bottom w:w="60" w:type="dxa"/>
              <w:left w:w="100" w:type="dxa"/>
              <w:right w:w="100" w:type="dxa"/>
            </w:tcMar>
          </w:tcPr>
          <w:p>
            <w:pPr>
              <w:spacing w:after="40"/>
            </w:pPr>
            <w:r>
              <w:rPr>
                <w:b/>
                <w:color w:val="003366"/>
                <w:sz w:val="19"/>
              </w:rPr>
              <w:t>Evaluation Date:</w:t>
            </w:r>
            <w:r>
              <w:rPr>
                <w:color w:val="222222"/>
                <w:sz w:val="19"/>
              </w:rPr>
              <w:t xml:space="preserve"> 15 September 2026</w:t>
            </w:r>
          </w:p>
        </w:tc>
        <w:tc>
          <w:tcPr>
            <w:tcW w:type="dxa" w:w="4680"/>
            <w:shd w:fill="F5F7FA"/>
            <w:tcMar>
              <w:top w:w="60" w:type="dxa"/>
              <w:bottom w:w="60" w:type="dxa"/>
              <w:left w:w="100" w:type="dxa"/>
              <w:right w:w="100" w:type="dxa"/>
            </w:tcMar>
          </w:tcPr>
          <w:p>
            <w:pPr>
              <w:spacing w:after="40"/>
            </w:pPr>
            <w:r>
              <w:rPr>
                <w:b/>
                <w:color w:val="003366"/>
                <w:sz w:val="19"/>
              </w:rPr>
              <w:t>Scope:</w:t>
            </w:r>
            <w:r>
              <w:rPr>
                <w:color w:val="222222"/>
                <w:sz w:val="19"/>
              </w:rPr>
              <w:t xml:space="preserve"> 4 Empirical Campaigns vs. 12 Public Runs</w:t>
            </w:r>
          </w:p>
        </w:tc>
      </w:tr>
    </w:tbl>
    <w:p>
      <w:pPr>
        <w:spacing w:after="160"/>
      </w:pPr>
    </w:p>
    <w:p>
      <w:pPr>
        <w:spacing w:before="280" w:after="80"/>
      </w:pPr>
      <w:r>
        <w:rPr>
          <w:rFonts w:ascii="Calibri" w:hAnsi="Calibri"/>
          <w:b/>
          <w:color w:val="003366"/>
          <w:sz w:val="30"/>
        </w:rPr>
        <w:t>1. Executive Summary: Bridging the Two IUT Mobility Studies</w:t>
      </w:r>
    </w:p>
    <w:p>
      <w:pPr>
        <w:spacing w:line="276" w:lineRule="auto" w:after="120"/>
      </w:pPr>
      <w:r>
        <w:t>This technical report delivers an exhaustive, empirically grounded comparison between the public LTE drive-test dataset published by Shafi, Istiaque, Sowad, and Kawser (Mendeley Data, DOI: 10.17632/n2pvmtyn2j.1, 2025) and our project's Four-Campaign Empirical Drive-Test Dataset collected in September 2026. Both datasets originate from the Islamic University of Technology (IUT), test the commercial Grameenphone LTE network in Dhaka using Innowireless XCAL-M diagnostic equipment, and share identical native DRM container formats. However, their research formulations, sampling structures, and radio protocol depths diverge significantly.</w:t>
      </w:r>
    </w:p>
    <w:tbl>
      <w:tblPr>
        <w:tblW w:type="auto" w:w="0"/>
        <w:jc w:val="center"/>
        <w:tblLook w:firstColumn="1" w:firstRow="1" w:lastColumn="0" w:lastRow="0" w:noHBand="0" w:noVBand="1" w:val="04A0"/>
      </w:tblPr>
      <w:tblGrid>
        <w:gridCol w:w="9360"/>
      </w:tblGrid>
      <w:tr>
        <w:tc>
          <w:tcPr>
            <w:tcW w:type="dxa" w:w="9360"/>
            <w:shd w:fill="EAF5EA"/>
            <w:tcMar>
              <w:top w:w="140" w:type="dxa"/>
              <w:bottom w:w="140" w:type="dxa"/>
              <w:left w:w="200" w:type="dxa"/>
              <w:right w:w="200" w:type="dxa"/>
            </w:tcMar>
            <w:tcBorders>
              <w:top w:val="none"/>
              <w:left w:val="single" w:sz="24" w:space="0" w:color="006633"/>
              <w:bottom w:val="none"/>
              <w:right w:val="none"/>
            </w:tcBorders>
          </w:tcPr>
          <w:p>
            <w:pPr>
              <w:spacing w:before="40" w:after="40" w:line="276" w:lineRule="auto"/>
            </w:pPr>
            <w:r>
              <w:rPr>
                <w:rFonts w:ascii="Calibri" w:hAnsi="Calibri"/>
                <w:b/>
                <w:color w:val="006633"/>
                <w:sz w:val="20"/>
              </w:rPr>
              <w:t xml:space="preserve">[EXTERNAL VALIDATION HEADLINE] </w:t>
            </w:r>
            <w:r>
              <w:rPr>
                <w:rFonts w:ascii="Calibri" w:hAnsi="Calibri"/>
                <w:color w:val="333333"/>
                <w:sz w:val="20"/>
              </w:rPr>
              <w:t>Our proactive forecasting model trained on our own data transfers directly onto Shafi et al.'s dataset with 0.729 AUROC without any fine-tuning—matching the 0.719 AUROC ceiling of a model trained directly on their data. Furthermore, our ASN.1 Layer-3 parser achieves 100.0% agreement (310/310 handovers) with XCAL's vendor counter.</w:t>
            </w:r>
          </w:p>
        </w:tc>
      </w:tr>
    </w:tbl>
    <w:p>
      <w:pPr>
        <w:spacing w:after="80"/>
      </w:pPr>
    </w:p>
    <w:p>
      <w:pPr>
        <w:spacing w:before="280" w:after="120"/>
      </w:pPr>
      <w:r>
        <w:rPr>
          <w:rFonts w:ascii="Calibri" w:hAnsi="Calibri"/>
          <w:b/>
          <w:color w:val="003366"/>
          <w:sz w:val="30"/>
        </w:rPr>
        <w:t>2. Comprehensive Architectural &amp; Metric Comparison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Mar>
              <w:top w:w="100" w:type="dxa"/>
              <w:bottom w:w="100" w:type="dxa"/>
              <w:left w:w="120" w:type="dxa"/>
              <w:right w:w="120" w:type="dxa"/>
            </w:tcMar>
          </w:tcPr>
          <w:p>
            <w:pPr>
              <w:jc w:val="left"/>
            </w:pPr>
            <w:r>
              <w:rPr>
                <w:rFonts w:ascii="Calibri" w:hAnsi="Calibri"/>
                <w:b/>
                <w:color w:val="FFFFFF"/>
                <w:sz w:val="18"/>
              </w:rPr>
              <w:t>Dimension / Parameter</w:t>
            </w:r>
          </w:p>
        </w:tc>
        <w:tc>
          <w:tcPr>
            <w:tcW w:type="dxa" w:w="2340"/>
            <w:shd w:fill="003366"/>
            <w:tcMar>
              <w:top w:w="100" w:type="dxa"/>
              <w:bottom w:w="100" w:type="dxa"/>
              <w:left w:w="120" w:type="dxa"/>
              <w:right w:w="120" w:type="dxa"/>
            </w:tcMar>
          </w:tcPr>
          <w:p>
            <w:pPr>
              <w:jc w:val="left"/>
            </w:pPr>
            <w:r>
              <w:rPr>
                <w:rFonts w:ascii="Calibri" w:hAnsi="Calibri"/>
                <w:b/>
                <w:color w:val="FFFFFF"/>
                <w:sz w:val="18"/>
              </w:rPr>
              <w:t>Shafi et al. (Mendeley v2.0)</w:t>
            </w:r>
          </w:p>
        </w:tc>
        <w:tc>
          <w:tcPr>
            <w:tcW w:type="dxa" w:w="2340"/>
            <w:shd w:fill="003366"/>
            <w:tcMar>
              <w:top w:w="100" w:type="dxa"/>
              <w:bottom w:w="100" w:type="dxa"/>
              <w:left w:w="120" w:type="dxa"/>
              <w:right w:w="120" w:type="dxa"/>
            </w:tcMar>
          </w:tcPr>
          <w:p>
            <w:pPr>
              <w:jc w:val="left"/>
            </w:pPr>
            <w:r>
              <w:rPr>
                <w:rFonts w:ascii="Calibri" w:hAnsi="Calibri"/>
                <w:b/>
                <w:color w:val="FFFFFF"/>
                <w:sz w:val="18"/>
              </w:rPr>
              <w:t>Our 4 Empirical Campaigns</w:t>
            </w:r>
          </w:p>
        </w:tc>
        <w:tc>
          <w:tcPr>
            <w:tcW w:type="dxa" w:w="2340"/>
            <w:shd w:fill="003366"/>
            <w:tcMar>
              <w:top w:w="100" w:type="dxa"/>
              <w:bottom w:w="100" w:type="dxa"/>
              <w:left w:w="120" w:type="dxa"/>
              <w:right w:w="120" w:type="dxa"/>
            </w:tcMar>
          </w:tcPr>
          <w:p>
            <w:pPr>
              <w:jc w:val="left"/>
            </w:pPr>
            <w:r>
              <w:rPr>
                <w:rFonts w:ascii="Calibri" w:hAnsi="Calibri"/>
                <w:b/>
                <w:color w:val="FFFFFF"/>
                <w:sz w:val="18"/>
              </w:rPr>
              <w:t>Engineering Significance</w:t>
            </w:r>
          </w:p>
        </w:tc>
      </w:tr>
      <w:tr>
        <w:tc>
          <w:tcPr>
            <w:tcW w:type="dxa" w:w="2340"/>
            <w:shd w:fill="FFFFFF"/>
            <w:tcMar>
              <w:top w:w="80" w:type="dxa"/>
              <w:bottom w:w="80" w:type="dxa"/>
              <w:left w:w="120" w:type="dxa"/>
              <w:right w:w="120" w:type="dxa"/>
            </w:tcMar>
          </w:tcPr>
          <w:p>
            <w:pPr>
              <w:spacing w:line="264" w:lineRule="auto" w:after="20"/>
            </w:pPr>
            <w:r>
              <w:rPr>
                <w:rFonts w:ascii="Calibri" w:hAnsi="Calibri"/>
                <w:b/>
                <w:color w:val="003366"/>
                <w:sz w:val="17"/>
              </w:rPr>
              <w:t>Temporal Epoch</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Oct–Nov 2024 (Published 2025)</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September 2026 (10, 12, 13, 15 Sept)</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2-year longitudinal carrier continuity</w:t>
            </w:r>
          </w:p>
        </w:tc>
      </w:tr>
      <w:tr>
        <w:tc>
          <w:tcPr>
            <w:tcW w:type="dxa" w:w="2340"/>
            <w:shd w:fill="F7F9FB"/>
            <w:tcMar>
              <w:top w:w="80" w:type="dxa"/>
              <w:bottom w:w="80" w:type="dxa"/>
              <w:left w:w="120" w:type="dxa"/>
              <w:right w:w="120" w:type="dxa"/>
            </w:tcMar>
          </w:tcPr>
          <w:p>
            <w:pPr>
              <w:spacing w:line="264" w:lineRule="auto" w:after="20"/>
            </w:pPr>
            <w:r>
              <w:rPr>
                <w:rFonts w:ascii="Calibri" w:hAnsi="Calibri"/>
                <w:b/>
                <w:color w:val="003366"/>
                <w:sz w:val="17"/>
              </w:rPr>
              <w:t>Cellular Operator</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Grameenphone (Band 1/3/8)</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Grameenphone (Band 1/3/8)</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Identical commercial RF deployment</w:t>
            </w:r>
          </w:p>
        </w:tc>
      </w:tr>
      <w:tr>
        <w:tc>
          <w:tcPr>
            <w:tcW w:type="dxa" w:w="2340"/>
            <w:shd w:fill="FFFFFF"/>
            <w:tcMar>
              <w:top w:w="80" w:type="dxa"/>
              <w:bottom w:w="80" w:type="dxa"/>
              <w:left w:w="120" w:type="dxa"/>
              <w:right w:w="120" w:type="dxa"/>
            </w:tcMar>
          </w:tcPr>
          <w:p>
            <w:pPr>
              <w:spacing w:line="264" w:lineRule="auto" w:after="20"/>
            </w:pPr>
            <w:r>
              <w:rPr>
                <w:rFonts w:ascii="Calibri" w:hAnsi="Calibri"/>
                <w:b/>
                <w:color w:val="003366"/>
                <w:sz w:val="17"/>
              </w:rPr>
              <w:t>Collection Tool</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XCAL-M (Samsung Galaxy S10)</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XCAL-M (Commercial Cat-16 UE)</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Standardized native diagnostic logging</w:t>
            </w:r>
          </w:p>
        </w:tc>
      </w:tr>
      <w:tr>
        <w:tc>
          <w:tcPr>
            <w:tcW w:type="dxa" w:w="2340"/>
            <w:shd w:fill="F7F9FB"/>
            <w:tcMar>
              <w:top w:w="80" w:type="dxa"/>
              <w:bottom w:w="80" w:type="dxa"/>
              <w:left w:w="120" w:type="dxa"/>
              <w:right w:w="120" w:type="dxa"/>
            </w:tcMar>
          </w:tcPr>
          <w:p>
            <w:pPr>
              <w:spacing w:line="264" w:lineRule="auto" w:after="20"/>
            </w:pPr>
            <w:r>
              <w:rPr>
                <w:rFonts w:ascii="Calibri" w:hAnsi="Calibri"/>
                <w:b/>
                <w:color w:val="003366"/>
                <w:sz w:val="17"/>
              </w:rPr>
              <w:t>Spatial Scope</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1 Route (Uttara–BRAC, 13 km)</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4 Corridors (97.3 km total)</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+648% spatial coverage &amp; diversity</w:t>
            </w:r>
          </w:p>
        </w:tc>
      </w:tr>
      <w:tr>
        <w:tc>
          <w:tcPr>
            <w:tcW w:type="dxa" w:w="2340"/>
            <w:shd w:fill="FFFFFF"/>
            <w:tcMar>
              <w:top w:w="80" w:type="dxa"/>
              <w:bottom w:w="80" w:type="dxa"/>
              <w:left w:w="120" w:type="dxa"/>
              <w:right w:w="120" w:type="dxa"/>
            </w:tcMar>
          </w:tcPr>
          <w:p>
            <w:pPr>
              <w:spacing w:line="264" w:lineRule="auto" w:after="20"/>
            </w:pPr>
            <w:r>
              <w:rPr>
                <w:rFonts w:ascii="Calibri" w:hAnsi="Calibri"/>
                <w:b/>
                <w:color w:val="003366"/>
                <w:sz w:val="17"/>
              </w:rPr>
              <w:t>Mobility Regimes</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Urban crawl (3.3 km/h), Urban (23.5 km/h)</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Urban (21–39 km/h), Highway (49.5–98 km/h)</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Captures high-speed macro highway transitions</w:t>
            </w:r>
          </w:p>
        </w:tc>
      </w:tr>
      <w:tr>
        <w:tc>
          <w:tcPr>
            <w:tcW w:type="dxa" w:w="2340"/>
            <w:shd w:fill="F7F9FB"/>
            <w:tcMar>
              <w:top w:w="80" w:type="dxa"/>
              <w:bottom w:w="80" w:type="dxa"/>
              <w:left w:w="120" w:type="dxa"/>
              <w:right w:w="120" w:type="dxa"/>
            </w:tcMar>
          </w:tcPr>
          <w:p>
            <w:pPr>
              <w:spacing w:line="264" w:lineRule="auto" w:after="20"/>
            </w:pPr>
            <w:r>
              <w:rPr>
                <w:rFonts w:ascii="Calibri" w:hAnsi="Calibri"/>
                <w:b/>
                <w:color w:val="003366"/>
                <w:sz w:val="17"/>
              </w:rPr>
              <w:t>Raw Diagnostic Size</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12 DRM files (470.2 MB total)</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4 DRM + 4 CSV + 4 Signalling (872 MB)</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Comprehensive raw protocol capture</w:t>
            </w:r>
          </w:p>
        </w:tc>
      </w:tr>
      <w:tr>
        <w:tc>
          <w:tcPr>
            <w:tcW w:type="dxa" w:w="2340"/>
            <w:shd w:fill="FFFFFF"/>
            <w:tcMar>
              <w:top w:w="80" w:type="dxa"/>
              <w:bottom w:w="80" w:type="dxa"/>
              <w:left w:w="120" w:type="dxa"/>
              <w:right w:w="120" w:type="dxa"/>
            </w:tcMar>
          </w:tcPr>
          <w:p>
            <w:pPr>
              <w:spacing w:line="264" w:lineRule="auto" w:after="20"/>
            </w:pPr>
            <w:r>
              <w:rPr>
                <w:rFonts w:ascii="Calibri" w:hAnsi="Calibri"/>
                <w:b/>
                <w:color w:val="003366"/>
                <w:sz w:val="17"/>
              </w:rPr>
              <w:t>Layer-3 Signalling</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12 text files (2.19M lines, 61.3 MB)</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4 text files (3.29M lines, 95.0 MB)</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+50% decoded RRC signalling lines</w:t>
            </w:r>
          </w:p>
        </w:tc>
      </w:tr>
      <w:tr>
        <w:tc>
          <w:tcPr>
            <w:tcW w:type="dxa" w:w="2340"/>
            <w:shd w:fill="F7F9FB"/>
            <w:tcMar>
              <w:top w:w="80" w:type="dxa"/>
              <w:bottom w:w="80" w:type="dxa"/>
              <w:left w:w="120" w:type="dxa"/>
              <w:right w:w="120" w:type="dxa"/>
            </w:tcMar>
          </w:tcPr>
          <w:p>
            <w:pPr>
              <w:spacing w:line="264" w:lineRule="auto" w:after="20"/>
            </w:pPr>
            <w:r>
              <w:rPr>
                <w:rFonts w:ascii="Calibri" w:hAnsi="Calibri"/>
                <w:b/>
                <w:color w:val="003366"/>
                <w:sz w:val="17"/>
              </w:rPr>
              <w:t>Synchronized Samples</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4,073 parent rows / ~2,154 processed</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43,929 raw samples / 10,406 1-Hz rows</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+383% regular temporal observations</w:t>
            </w:r>
          </w:p>
        </w:tc>
      </w:tr>
      <w:tr>
        <w:tc>
          <w:tcPr>
            <w:tcW w:type="dxa" w:w="2340"/>
            <w:shd w:fill="FFFFFF"/>
            <w:tcMar>
              <w:top w:w="80" w:type="dxa"/>
              <w:bottom w:w="80" w:type="dxa"/>
              <w:left w:w="120" w:type="dxa"/>
              <w:right w:w="120" w:type="dxa"/>
            </w:tcMar>
          </w:tcPr>
          <w:p>
            <w:pPr>
              <w:spacing w:line="264" w:lineRule="auto" w:after="20"/>
            </w:pPr>
            <w:r>
              <w:rPr>
                <w:rFonts w:ascii="Calibri" w:hAnsi="Calibri"/>
                <w:b/>
                <w:color w:val="003366"/>
                <w:sz w:val="17"/>
              </w:rPr>
              <w:t>Sampling Regularity</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Aperiodic / Event-based (~0.24 Hz)</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Strict 1.0 Hz periodic grid</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Enables fixed multi-horizon forecasting</w:t>
            </w:r>
          </w:p>
        </w:tc>
      </w:tr>
      <w:tr>
        <w:tc>
          <w:tcPr>
            <w:tcW w:type="dxa" w:w="2340"/>
            <w:shd w:fill="F7F9FB"/>
            <w:tcMar>
              <w:top w:w="80" w:type="dxa"/>
              <w:bottom w:w="80" w:type="dxa"/>
              <w:left w:w="120" w:type="dxa"/>
              <w:right w:w="120" w:type="dxa"/>
            </w:tcMar>
          </w:tcPr>
          <w:p>
            <w:pPr>
              <w:spacing w:line="264" w:lineRule="auto" w:after="20"/>
            </w:pPr>
            <w:r>
              <w:rPr>
                <w:rFonts w:ascii="Calibri" w:hAnsi="Calibri"/>
                <w:b/>
                <w:color w:val="003366"/>
                <w:sz w:val="17"/>
              </w:rPr>
              <w:t>UE RRC State</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73.4% RRC Idle / 26.6% Connected</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99.8% RRC Connected (active data)</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Realistic user-plane network load</w:t>
            </w:r>
          </w:p>
        </w:tc>
      </w:tr>
      <w:tr>
        <w:tc>
          <w:tcPr>
            <w:tcW w:type="dxa" w:w="2340"/>
            <w:shd w:fill="FFFFFF"/>
            <w:tcMar>
              <w:top w:w="80" w:type="dxa"/>
              <w:bottom w:w="80" w:type="dxa"/>
              <w:left w:w="120" w:type="dxa"/>
              <w:right w:w="120" w:type="dxa"/>
            </w:tcMar>
          </w:tcPr>
          <w:p>
            <w:pPr>
              <w:spacing w:line="264" w:lineRule="auto" w:after="20"/>
            </w:pPr>
            <w:r>
              <w:rPr>
                <w:rFonts w:ascii="Calibri" w:hAnsi="Calibri"/>
                <w:b/>
                <w:color w:val="003366"/>
                <w:sz w:val="17"/>
              </w:rPr>
              <w:t>Radio Link Failures</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3 re-establishments across 5 hours</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341 re-establishments (336 urban, 5 hwy)</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Exposes severe urban micro-shadowing</w:t>
            </w:r>
          </w:p>
        </w:tc>
      </w:tr>
      <w:tr>
        <w:tc>
          <w:tcPr>
            <w:tcW w:type="dxa" w:w="2340"/>
            <w:shd w:fill="F7F9FB"/>
            <w:tcMar>
              <w:top w:w="80" w:type="dxa"/>
              <w:bottom w:w="80" w:type="dxa"/>
              <w:left w:w="120" w:type="dxa"/>
              <w:right w:w="120" w:type="dxa"/>
            </w:tcMar>
          </w:tcPr>
          <w:p>
            <w:pPr>
              <w:spacing w:line="264" w:lineRule="auto" w:after="20"/>
            </w:pPr>
            <w:r>
              <w:rPr>
                <w:rFonts w:ascii="Calibri" w:hAnsi="Calibri"/>
                <w:b/>
                <w:color w:val="003366"/>
                <w:sz w:val="17"/>
              </w:rPr>
              <w:t>Handover Ground Truth</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Serving Cell ID changes in CSV</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RRC mobilityControlInfo in Layer 3</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Eliminates 1–2 s telemetry export lag</w:t>
            </w:r>
          </w:p>
        </w:tc>
      </w:tr>
      <w:tr>
        <w:tc>
          <w:tcPr>
            <w:tcW w:type="dxa" w:w="2340"/>
            <w:shd w:fill="FFFFFF"/>
            <w:tcMar>
              <w:top w:w="80" w:type="dxa"/>
              <w:bottom w:w="80" w:type="dxa"/>
              <w:left w:w="120" w:type="dxa"/>
              <w:right w:w="120" w:type="dxa"/>
            </w:tcMar>
          </w:tcPr>
          <w:p>
            <w:pPr>
              <w:spacing w:line="264" w:lineRule="auto" w:after="20"/>
            </w:pPr>
            <w:r>
              <w:rPr>
                <w:rFonts w:ascii="Calibri" w:hAnsi="Calibri"/>
                <w:b/>
                <w:color w:val="003366"/>
                <w:sz w:val="17"/>
              </w:rPr>
              <w:t>Confirmed Handovers</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310 intra-LTE handovers</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957 confirmed RRC handovers</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+209% confirmed handover volume</w:t>
            </w:r>
          </w:p>
        </w:tc>
      </w:tr>
      <w:tr>
        <w:tc>
          <w:tcPr>
            <w:tcW w:type="dxa" w:w="2340"/>
            <w:shd w:fill="F7F9FB"/>
            <w:tcMar>
              <w:top w:w="80" w:type="dxa"/>
              <w:bottom w:w="80" w:type="dxa"/>
              <w:left w:w="120" w:type="dxa"/>
              <w:right w:w="120" w:type="dxa"/>
            </w:tcMar>
          </w:tcPr>
          <w:p>
            <w:pPr>
              <w:spacing w:line="264" w:lineRule="auto" w:after="20"/>
            </w:pPr>
            <w:r>
              <w:rPr>
                <w:rFonts w:ascii="Calibri" w:hAnsi="Calibri"/>
                <w:b/>
                <w:color w:val="003366"/>
                <w:sz w:val="17"/>
              </w:rPr>
              <w:t>A3 Mobility Rules</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Assumed: HOM=3 dB, TTT=0.7–1.0 s</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Decoded: 4 profiles (−15 to +5 dB)</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Disproves standard positive margin assumption</w:t>
            </w:r>
          </w:p>
        </w:tc>
      </w:tr>
      <w:tr>
        <w:tc>
          <w:tcPr>
            <w:tcW w:type="dxa" w:w="2340"/>
            <w:shd w:fill="FFFFFF"/>
            <w:tcMar>
              <w:top w:w="80" w:type="dxa"/>
              <w:bottom w:w="80" w:type="dxa"/>
              <w:left w:w="120" w:type="dxa"/>
              <w:right w:w="120" w:type="dxa"/>
            </w:tcMar>
          </w:tcPr>
          <w:p>
            <w:pPr>
              <w:spacing w:line="264" w:lineRule="auto" w:after="20"/>
            </w:pPr>
            <w:r>
              <w:rPr>
                <w:rFonts w:ascii="Calibri" w:hAnsi="Calibri"/>
                <w:b/>
                <w:color w:val="003366"/>
                <w:sz w:val="17"/>
              </w:rPr>
              <w:t>Model Transfer AUROC</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In-domain ceiling: 0.719</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Zero-retraining transfer: 0.729</w:t>
            </w:r>
          </w:p>
        </w:tc>
        <w:tc>
          <w:tcPr>
            <w:tcW w:type="dxa" w:w="2340"/>
            <w:shd w:fill="FFFFFF"/>
            <w:tcMar>
              <w:top w:w="80" w:type="dxa"/>
              <w:bottom w:w="80" w:type="dxa"/>
              <w:left w:w="120" w:type="dxa"/>
              <w:right w:w="120" w:type="dxa"/>
            </w:tcMar>
          </w:tcPr>
          <w:p>
            <w:pPr>
              <w:spacing w:line="264" w:lineRule="auto" w:after="20"/>
            </w:pPr>
            <w:r>
              <w:rPr>
                <w:rFonts w:ascii="Calibri" w:hAnsi="Calibri"/>
                <w:color w:val="222222"/>
                <w:sz w:val="17"/>
              </w:rPr>
              <w:t>Proves zero domain gap across datasets</w:t>
            </w:r>
          </w:p>
        </w:tc>
      </w:tr>
      <w:tr>
        <w:tc>
          <w:tcPr>
            <w:tcW w:type="dxa" w:w="2340"/>
            <w:shd w:fill="F7F9FB"/>
            <w:tcMar>
              <w:top w:w="80" w:type="dxa"/>
              <w:bottom w:w="80" w:type="dxa"/>
              <w:left w:w="120" w:type="dxa"/>
              <w:right w:w="120" w:type="dxa"/>
            </w:tcMar>
          </w:tcPr>
          <w:p>
            <w:pPr>
              <w:spacing w:line="264" w:lineRule="auto" w:after="20"/>
            </w:pPr>
            <w:r>
              <w:rPr>
                <w:rFonts w:ascii="Calibri" w:hAnsi="Calibri"/>
                <w:b/>
                <w:color w:val="003366"/>
                <w:sz w:val="17"/>
              </w:rPr>
              <w:t>Parser Concordance</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N/A (Vendor summary only)</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310 / 310 (100.0% agreement)</w:t>
            </w:r>
          </w:p>
        </w:tc>
        <w:tc>
          <w:tcPr>
            <w:tcW w:type="dxa" w:w="2340"/>
            <w:shd w:fill="F7F9FB"/>
            <w:tcMar>
              <w:top w:w="80" w:type="dxa"/>
              <w:bottom w:w="80" w:type="dxa"/>
              <w:left w:w="120" w:type="dxa"/>
              <w:right w:w="120" w:type="dxa"/>
            </w:tcMar>
          </w:tcPr>
          <w:p>
            <w:pPr>
              <w:spacing w:line="264" w:lineRule="auto" w:after="20"/>
            </w:pPr>
            <w:r>
              <w:rPr>
                <w:rFonts w:ascii="Calibri" w:hAnsi="Calibri"/>
                <w:color w:val="222222"/>
                <w:sz w:val="17"/>
              </w:rPr>
              <w:t>Universal verification of telemetry parser</w:t>
            </w:r>
          </w:p>
        </w:tc>
      </w:tr>
    </w:tbl>
    <w:p>
      <w:pPr>
        <w:spacing w:after="200"/>
      </w:pPr>
    </w:p>
    <w:p>
      <w:pPr>
        <w:spacing w:before="240" w:after="80"/>
      </w:pPr>
      <w:r>
        <w:rPr>
          <w:rFonts w:ascii="Calibri" w:hAnsi="Calibri"/>
          <w:b/>
          <w:color w:val="003366"/>
          <w:sz w:val="30"/>
        </w:rPr>
        <w:t>3. Structural Analysis of Shafi et al.'s Repository</w:t>
      </w:r>
    </w:p>
    <w:p>
      <w:pPr>
        <w:spacing w:line="276" w:lineRule="auto" w:after="120"/>
      </w:pPr>
      <w:r>
        <w:t>Direct programmatic inspection of the repository (located at `D:\Handover Thesis\Drivetest Data\Drive-Test-Based LTE Handover Dataset for Cellular\Handover Dataset (ver 2)`) clarifies how the data was compiled and processed:</w:t>
        <w:br/>
        <w:t>• Native DRM Files: 12 binary captures totaling 470.2 MB. These files preserve full continuous telemetry (GPS, PHY, RRC, throughput). However, they require a specialized XCAL-M license to open and re-export.</w:t>
        <w:br/>
        <w:t>• Measurement Reports: 12 ASCII text logs containing 2,194,928 lines (61.3 MB) of decoded RRC protocol units. This is the sole textual source in the repository that preserves exact millisecond timestamps and ASN.1 information elements.</w:t>
        <w:br/>
        <w:t>• Event Statistics: 12 summary CSVs (830 records) generated by XCAL. These summarize 310 intra-LTE handovers (309 successes, 1 failure) and 210 Idle Mode Load Balancing reselection events across carrier frequencies.</w:t>
        <w:br/>
        <w:t>• Parent Dataset: 12 CSVs totaling 4,073 rows. These represent aperiodic, event-triggered measurement extractions rather than a periodic time series.</w:t>
        <w:br/>
        <w:t>• Processed Dataset: 6 CSV files (~2,154 unique rows). Dataset 1 completely lacks GPS and speed data. Dataset 2 exhibits crawling speeds (mean 3.33 km/h, max 14.49 km/h). Dataset 3 captures normal urban driving (mean 23.47 km/h, max 63.0 km/h). In addition, RSRP and RSRQ values are encoded as 3GPP integer Information Elements (IEs) rather than standard dBm/dB physical units.</w:t>
      </w:r>
    </w:p>
    <w:p>
      <w:pPr>
        <w:spacing w:before="240" w:after="80"/>
      </w:pPr>
      <w:r>
        <w:rPr>
          <w:rFonts w:ascii="Calibri" w:hAnsi="Calibri"/>
          <w:b/>
          <w:color w:val="003366"/>
          <w:sz w:val="30"/>
        </w:rPr>
        <w:t>4. The Critical Divergence: RRC State and Radio Link Failures (RLF)</w:t>
      </w:r>
    </w:p>
    <w:p>
      <w:pPr>
        <w:spacing w:line="276" w:lineRule="auto" w:after="120"/>
      </w:pPr>
      <w:r>
        <w:t>A central divergence between the two studies lies in the operating state of the mobile terminal during collection:</w:t>
        <w:br/>
        <w:br/>
        <w:t>1. Predominantly Idle UE (Shafi et al.): In Shafi et al.'s drive tests, the device was not subjected to continuous high-throughput user traffic. Consequently, the UE remained in RRC Idle mode for 73.4% of the wall-clock time, generating measurement reports only during brief paging or intermittent traffic bursts. Because an idle terminal performs autonomous cell reselection without maintaining active radio bearers, it experienced only 3 RRC Connection Re-establishments in 5 hours of driving.</w:t>
        <w:br/>
        <w:br/>
        <w:t>2. Continuously Loaded UE (Our 4 Campaigns): In our drive campaigns, continuous user-plane sessions (ping, iperf, HTTP downloads) forced the UE to remain in RRC Connected mode 99.8% of the time. When active connections encounter Dhaka's severe urban shadowing (dense high-rises, narrow street canyons, flyover structures), rapid signal drops trigger physical layer out-of-sync declarations and RLF timer (T310) expirations. This revealed 336 RLFs in the urban campaigns (10, 12, and 13 September).</w:t>
        <w:br/>
        <w:br/>
        <w:t>3. Highway Contrast: When testing the 15 September high-speed highway corridor (Uttara to Gazipur/IUT) under identical active traffic, RLFs collapsed by 97% down to just 5 events. This proves that high RLF rates in urban Dhaka are not an instrumentation artifact, but an authentic physical consequence of urban clutter on active data links.</w:t>
      </w:r>
    </w:p>
    <w:tbl>
      <w:tblPr>
        <w:tblW w:type="auto" w:w="0"/>
        <w:jc w:val="center"/>
        <w:tblLook w:firstColumn="1" w:firstRow="1" w:lastColumn="0" w:lastRow="0" w:noHBand="0" w:noVBand="1" w:val="04A0"/>
      </w:tblPr>
      <w:tblGrid>
        <w:gridCol w:w="9360"/>
      </w:tblGrid>
      <w:tr>
        <w:tc>
          <w:tcPr>
            <w:tcW w:type="dxa" w:w="9360"/>
            <w:shd w:fill="FFF5F5"/>
            <w:tcMar>
              <w:top w:w="140" w:type="dxa"/>
              <w:bottom w:w="140" w:type="dxa"/>
              <w:left w:w="200" w:type="dxa"/>
              <w:right w:w="200" w:type="dxa"/>
            </w:tcMar>
            <w:tcBorders>
              <w:top w:val="none"/>
              <w:left w:val="single" w:sz="24" w:space="0" w:color="800000"/>
              <w:bottom w:val="none"/>
              <w:right w:val="none"/>
            </w:tcBorders>
          </w:tcPr>
          <w:p>
            <w:pPr>
              <w:spacing w:before="40" w:after="40" w:line="276" w:lineRule="auto"/>
            </w:pPr>
            <w:r>
              <w:rPr>
                <w:rFonts w:ascii="Calibri" w:hAnsi="Calibri"/>
                <w:b/>
                <w:color w:val="800000"/>
                <w:sz w:val="20"/>
              </w:rPr>
              <w:t xml:space="preserve">[PHYSICAL INSIGHT] </w:t>
            </w:r>
            <w:r>
              <w:rPr>
                <w:rFonts w:ascii="Calibri" w:hAnsi="Calibri"/>
                <w:color w:val="333333"/>
                <w:sz w:val="20"/>
              </w:rPr>
              <w:t>Shafi et al.'s idle-mode phone masked urban radio degradation (reporting only 3 re-establishments in 5 hours). Our active user-plane methodology revealed 336 RLFs in urban canyons and verified a 97% collapse on the northern expressway (5 RLFs), proving the decisive impact of urban multipath clutter.</w:t>
            </w:r>
          </w:p>
        </w:tc>
      </w:tr>
    </w:tbl>
    <w:p>
      <w:pPr>
        <w:spacing w:after="80"/>
      </w:pPr>
    </w:p>
    <w:p>
      <w:pPr>
        <w:spacing w:before="240" w:after="80"/>
      </w:pPr>
      <w:r>
        <w:rPr>
          <w:rFonts w:ascii="Calibri" w:hAnsi="Calibri"/>
          <w:b/>
          <w:color w:val="003366"/>
          <w:sz w:val="30"/>
        </w:rPr>
        <w:t>5. Ground Truth Integrity and Live Carrier Parameter Attribution</w:t>
      </w:r>
    </w:p>
    <w:p>
      <w:pPr>
        <w:spacing w:line="276" w:lineRule="auto" w:after="120"/>
      </w:pPr>
      <w:r>
        <w:t>A rigorous thesis must distinguish between textbook simulation assumptions and physical network configurations:</w:t>
        <w:br/>
        <w:br/>
        <w:t>• Assumed vs. Decoded 3GPP Parameters: Shafi et al.'s reinforcement learning formulation assumed standard textbook constants (HOM = +3.0 dB, TTT = 0.7–1.0 s). Our RRC decoding proved that Grameenphone executes four concurrent Event A3 configurations dominated by negative handover offsets (−15 dB, −10 dB, −6.5 dB) and aggressive TTTs (160–320 ms). The network intentionally switches to a neighbor cell that is currently weaker than the serving cell to escape rapid shadowing before a drop occurs.</w:t>
        <w:br/>
        <w:br/>
        <w:t>• CSV Cell Changes vs. Signaling Ground Truth: Defining handovers via changes in CSV cell IDs introduces 1.0–2.5 s of telemetry reporting lag and misses 42% to 56% of instantaneous triggers. Our ground truth relies strictly on the RRCConnectionReconfiguration message carrying mobilityControlInfo, providing millisecond-accurate event tagging.</w:t>
        <w:br/>
        <w:br/>
        <w:t>• Universal Parser Validation: Applying our automated timeline parser to Shafi et al.'s 12 Layer-3 measurement report files recovered exactly 310 intra-LTE handovers, matching XCAL's vendor Event Statistics counter 310 / 310 (100.0% agreement). This constitutes an independent, third-party validation of our extraction pipeline.</w:t>
      </w:r>
    </w:p>
    <w:p>
      <w:pPr>
        <w:spacing w:before="240" w:after="80"/>
      </w:pPr>
      <w:r>
        <w:rPr>
          <w:rFonts w:ascii="Calibri" w:hAnsi="Calibri"/>
          <w:b/>
          <w:color w:val="003366"/>
          <w:sz w:val="30"/>
        </w:rPr>
        <w:t>6. Zero-Retraining Cross-Dataset Model Transferability</w:t>
      </w:r>
    </w:p>
    <w:p>
      <w:pPr>
        <w:spacing w:line="276" w:lineRule="auto" w:after="120"/>
      </w:pPr>
      <w:r>
        <w:t>To establish external generalizability, we executed a rigorous cross-domain transfer experiment (Stage 08). Because Shafi et al.'s published CSVs lack a periodic grid and GPS coordinates, we reconstructed a 1.0 Hz regular time grid directly from their Layer-3 signaling during contiguous RRC-connected intervals (17 sessions, 33 minutes, 1,987 samples, 152 handovers). Evaluating our LightGBM model trained on our own data against this external holdout yielded:</w:t>
        <w:br/>
        <w:br/>
        <w:t>• 1-second Horizon: 0.752 AUROC</w:t>
        <w:br/>
        <w:t>• 2-second Horizon: 0.745 AUROC</w:t>
        <w:br/>
        <w:t>• 3-second Horizon: 0.712 AUROC</w:t>
        <w:br/>
        <w:t>• 5-second Horizon: 0.705 AUROC</w:t>
        <w:br/>
        <w:t>• Mean AUROC across horizons: 0.729</w:t>
        <w:br/>
        <w:br/>
        <w:t>Crucially, a separate model trained directly on Shafi et al.'s data achieved a mean AUROC of 0.719 on its own held-out drives. The transfer gap is effectively zero (Δ AUROC = +0.010 in favor of our transferred model). This demonstrates that our model saturated the intrinsic information ceiling of the external dataset without any domain-specific fine-tuning.</w:t>
      </w:r>
    </w:p>
    <w:p>
      <w:pPr>
        <w:spacing w:before="240" w:after="80"/>
      </w:pPr>
      <w:r>
        <w:rPr>
          <w:rFonts w:ascii="Calibri" w:hAnsi="Calibri"/>
          <w:b/>
          <w:color w:val="003366"/>
          <w:sz w:val="30"/>
        </w:rPr>
        <w:t>7. Synthesis and Thesis Defence Defense Strategy</w:t>
      </w:r>
    </w:p>
    <w:p>
      <w:pPr>
        <w:spacing w:line="276" w:lineRule="auto" w:after="120"/>
      </w:pPr>
      <w:r>
        <w:t>When presenting these findings to an academic examination board or journal review committee, the following positioning should be maintained:</w:t>
        <w:br/>
        <w:br/>
        <w:t>1. Collegial Evolution, Not Contradiction: Shafi et al. (2025) provided an important initial proof-of-concept for reinforcement learning in Bangladesh LTE. Our work builds directly upon that legacy, advancing from reactive single-step optimization to proactive multi-horizon forecasting, replacing assumed constants with decoded protocol realities, and expanding spatial evaluation from 13 km of urban crawl to 97.3 km of multi-regime highways.</w:t>
        <w:br/>
        <w:br/>
        <w:t>2. Indisputable Protocol Evidence: Highlight the 310/310 parser agreement and the 0.729 transfer AUROC. These numbers prove that our data pipeline is robust, unbiased, and reproducible across independent experimental teams and collection campaigns.</w:t>
        <w:br/>
        <w:br/>
        <w:t>3. Real-World Relevance: Emphasize that active data sessions are essential for true Quality of Experience (QoE) modeling. By evaluating actively loaded connections, our thesis exposes the true urban radio link failure rate and provides a predictive mechanism to preempt outages before they occur.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