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hesis-proposal"/>
    <w:p>
      <w:pPr>
        <w:pStyle w:val="Heading1"/>
      </w:pPr>
      <w:r>
        <w:t xml:space="preserve">THESIS PROPOSAL</w:t>
      </w:r>
    </w:p>
    <w:bookmarkStart w:id="10" w:name="X8db6d7e35b4c13b48b32ba2ba2e6ebdc8d798d2"/>
    <w:p>
      <w:pPr>
        <w:pStyle w:val="Heading2"/>
      </w:pPr>
      <w:r>
        <w:t xml:space="preserve">Uncertainty-Aware Multi-Horizon LTE Handover and QoE Forecasting Using Real-World Drive-Test Data</w:t>
      </w:r>
    </w:p>
    <w:bookmarkStart w:id="9" w:name="introduction"/>
    <w:p>
      <w:pPr>
        <w:pStyle w:val="Heading3"/>
      </w:pPr>
      <w:r>
        <w:t xml:space="preserve">1. Introduction</w:t>
      </w:r>
    </w:p>
    <w:p>
      <w:pPr>
        <w:pStyle w:val="FirstParagraph"/>
      </w:pPr>
      <w:r>
        <w:t xml:space="preserve">Seamless mobility is a fundamental requirement of cellular communication systems. In Long-Term Evolution (LTE) networks, a connected User Equipment (UE) must be transferred between serving cells as radio conditions, mobility, interference, topology and network conditions change. Poorly timed or unnecessary handovers can lead to service interruption, ping-pong handovers, reduced throughput, increased latency and, in severe cases, handover failure or radio link failure.</w:t>
      </w:r>
    </w:p>
    <w:p>
      <w:pPr>
        <w:pStyle w:val="BodyText"/>
      </w:pPr>
      <w:r>
        <w:t xml:space="preserve">Conventional LTE mobility management is primarily reactive. Measurements of serving and neighbouring cells are evaluated according to configured reporting events and handover control parameters such as hysteresis, offset and Time-to-Trigger (TTT). The trade-off between aggressive and conservative handover settings is well established: aggressive configurations may reduce late handovers but increase unnecessary or ping-pong handovers, whereas conservative configurations may suppress excessive switching at the expense of delayed mobility actions and service degradation [5], [10], [11].</w:t>
      </w:r>
    </w:p>
    <w:p>
      <w:pPr>
        <w:pStyle w:val="BodyText"/>
      </w:pPr>
      <w:r>
        <w:t xml:space="preserve">Recent machine-learning research has moved mobility management from purely reactive decision-making toward prediction. Sequential measurements are particularly relevant because a handover is not determined by an isolated RSRP or RSRQ sample; it develops through temporally evolving serving-cell quality, neighbouring-cell quality, mobility and service conditions. Recent work has therefore investigated recurrent neural networks, Transformers, transfer learning, graph models and O-RAN-based prediction [16]–[19], [33].</w:t>
      </w:r>
    </w:p>
    <w:p>
      <w:pPr>
        <w:pStyle w:val="BodyText"/>
      </w:pPr>
      <w:r>
        <w:t xml:space="preserve">However, several limitations remain. Many studies are based on simulation or geographically restricted datasets, use random sample splitting that can allow highly correlated measurements from the same journey to appear in both training and test sets, focus primarily on classification accuracy, and provide no mechanism for determining when a prediction is unreliable. Direct Quality of Experience (QoE) variables such as throughput, latency, packet loss and service interruption are also less frequently integrated with radio measurements.</w:t>
      </w:r>
    </w:p>
    <w:p>
      <w:pPr>
        <w:pStyle w:val="BodyText"/>
      </w:pPr>
      <w:r>
        <w:t xml:space="preserve">This thesis proposes a real-world LTE forecasting framework based on temporally ordered commercial drive-test measurements. The study will investigate multi-horizon prediction of upcoming handovers and related service degradation, strict generalisation to unseen drives and routes, calibrated predictive uncertainty, out-of-distribution detection and model abstention.</w:t>
      </w:r>
    </w:p>
    <w:p>
      <w:pPr>
        <w:pStyle w:val="BodyText"/>
      </w:pPr>
      <w:r>
        <w:t xml:space="preserve">The work is explicitly a</w:t>
      </w:r>
      <w:r>
        <w:t xml:space="preserve"> </w:t>
      </w:r>
      <w:r>
        <w:rPr>
          <w:b/>
          <w:bCs/>
        </w:rPr>
        <w:t xml:space="preserve">prediction and measurement study</w:t>
      </w:r>
      <w:r>
        <w:t xml:space="preserve">. It will not claim to change or optimise handover parameters in a live commercial LTE network.</w:t>
      </w:r>
    </w:p>
    <w:p>
      <w:r>
        <w:pict>
          <v:rect style="width:0;height:1.5pt" o:hralign="center" o:hrstd="t" o:hr="t"/>
        </w:pict>
      </w:r>
    </w:p>
    <w:bookmarkEnd w:id="9"/>
    <w:bookmarkEnd w:id="10"/>
    <w:bookmarkStart w:id="11" w:name="problem-statement"/>
    <w:p>
      <w:pPr>
        <w:pStyle w:val="Heading2"/>
      </w:pPr>
      <w:r>
        <w:t xml:space="preserve">2. Problem Statement</w:t>
      </w:r>
    </w:p>
    <w:p>
      <w:pPr>
        <w:pStyle w:val="FirstParagraph"/>
      </w:pPr>
      <w:r>
        <w:t xml:space="preserve">Existing LTE and next-generation handover research demonstrates that machine learning can identify patterns associated with mobility events. Nevertheless, four methodological problems limit the strength of many reported results.</w:t>
      </w:r>
    </w:p>
    <w:p>
      <w:pPr>
        <w:pStyle w:val="BodyText"/>
      </w:pPr>
      <w:r>
        <w:t xml:space="preserve">First, cellular drive-test samples are highly temporally and geographically correlated. Randomly dividing individual rows between training and test sets may place almost identical observations from the same route, cell boundary or journey in both sets. A model may consequently learn geographical or cell-specific fingerprints rather than transferable handover dynamics.</w:t>
      </w:r>
    </w:p>
    <w:p>
      <w:pPr>
        <w:pStyle w:val="BodyText"/>
      </w:pPr>
      <w:r>
        <w:t xml:space="preserve">Second, most handover prediction approaches operate at a single prediction horizon. A practical predictive mobility system should determine not only whether a handover is likely, but how prediction reliability changes when forecasting 0.5, 1, 2, 3 or 5 seconds into the future.</w:t>
      </w:r>
    </w:p>
    <w:p>
      <w:pPr>
        <w:pStyle w:val="BodyText"/>
      </w:pPr>
      <w:r>
        <w:t xml:space="preserve">Third, predictive confidence is rarely treated as a first-class mobility-management problem. A highly accurate model may still generate dangerous high-confidence errors under unfamiliar routes, cells, mobility patterns or service conditions. Predictive uncertainty, probability calibration and abstention therefore require explicit investigation.</w:t>
      </w:r>
    </w:p>
    <w:p>
      <w:pPr>
        <w:pStyle w:val="BodyText"/>
      </w:pPr>
      <w:r>
        <w:t xml:space="preserve">Fourth, radio quality alone does not fully describe service performance. Handover usefulness should ultimately relate to service continuity and QoE. Incorporating throughput, round-trip time, packet loss and interruption measurements can determine whether radio evolution corresponds to user-visible degradation.</w:t>
      </w:r>
    </w:p>
    <w:p>
      <w:pPr>
        <w:pStyle w:val="BodyText"/>
      </w:pPr>
      <w:r>
        <w:t xml:space="preserve">Accordingly, the central research problem is:</w:t>
      </w:r>
    </w:p>
    <w:p>
      <w:pPr>
        <w:pStyle w:val="BlockText"/>
      </w:pPr>
      <w:r>
        <w:rPr>
          <w:b/>
          <w:bCs/>
        </w:rPr>
        <w:t xml:space="preserve">Can temporally ordered real-world LTE RF, mobility and QoE measurements provide reliable multi-horizon early prediction of handovers and service degradation under genuinely unseen mobility conditions, while identifying cases in which the predictive model should abstain because its output is unreliable?</w:t>
      </w:r>
    </w:p>
    <w:p>
      <w:r>
        <w:pict>
          <v:rect style="width:0;height:1.5pt" o:hralign="center" o:hrstd="t" o:hr="t"/>
        </w:pict>
      </w:r>
    </w:p>
    <w:bookmarkEnd w:id="11"/>
    <w:bookmarkStart w:id="12" w:name="research-aim"/>
    <w:p>
      <w:pPr>
        <w:pStyle w:val="Heading2"/>
      </w:pPr>
      <w:r>
        <w:t xml:space="preserve">3. Research Aim</w:t>
      </w:r>
    </w:p>
    <w:p>
      <w:pPr>
        <w:pStyle w:val="FirstParagraph"/>
      </w:pPr>
      <w:r>
        <w:t xml:space="preserve">To develop and rigorously evaluate an uncertainty-aware multi-horizon sequence-learning framework for predicting LTE handovers and associated QoE degradation from real-world commercial drive-test measurements.</w:t>
      </w:r>
    </w:p>
    <w:p>
      <w:r>
        <w:pict>
          <v:rect style="width:0;height:1.5pt" o:hralign="center" o:hrstd="t" o:hr="t"/>
        </w:pict>
      </w:r>
    </w:p>
    <w:bookmarkEnd w:id="12"/>
    <w:bookmarkStart w:id="13" w:name="research-objectives"/>
    <w:p>
      <w:pPr>
        <w:pStyle w:val="Heading2"/>
      </w:pPr>
      <w:r>
        <w:t xml:space="preserve">4. Research Objectives</w:t>
      </w:r>
    </w:p>
    <w:p>
      <w:pPr>
        <w:pStyle w:val="FirstParagraph"/>
      </w:pPr>
      <w:r>
        <w:t xml:space="preserve">The study will:</w:t>
      </w:r>
    </w:p>
    <w:p>
      <w:pPr>
        <w:numPr>
          <w:ilvl w:val="0"/>
          <w:numId w:val="1001"/>
        </w:numPr>
      </w:pPr>
      <w:r>
        <w:t xml:space="preserve">Develop a substantially larger and more diverse LTE drive-test dataset than the existing foundation dataset, covering multiple routes, directions, times and repeated independent drives.</w:t>
      </w:r>
    </w:p>
    <w:p>
      <w:pPr>
        <w:numPr>
          <w:ilvl w:val="0"/>
          <w:numId w:val="1001"/>
        </w:numPr>
      </w:pPr>
      <w:r>
        <w:t xml:space="preserve">Establish a reproducible acquisition and processing pipeline combining LTE radio measurements, signalling, serving and neighbouring-cell information, mobility data and application-level QoE measurements.</w:t>
      </w:r>
    </w:p>
    <w:p>
      <w:pPr>
        <w:numPr>
          <w:ilvl w:val="0"/>
          <w:numId w:val="1001"/>
        </w:numPr>
      </w:pPr>
      <w:r>
        <w:t xml:space="preserve">Formulate LTE handover forecasting as a multi-horizon temporal prediction problem at approximately 0.5, 1, 2, 3 and 5 seconds.</w:t>
      </w:r>
    </w:p>
    <w:p>
      <w:pPr>
        <w:numPr>
          <w:ilvl w:val="0"/>
          <w:numId w:val="1001"/>
        </w:numPr>
      </w:pPr>
      <w:r>
        <w:t xml:space="preserve">Compare sequence models against strong snapshot-based baselines using identical leakage-safe grouped evaluation protocols.</w:t>
      </w:r>
    </w:p>
    <w:p>
      <w:pPr>
        <w:numPr>
          <w:ilvl w:val="0"/>
          <w:numId w:val="1001"/>
        </w:numPr>
      </w:pPr>
      <w:r>
        <w:t xml:space="preserve">Investigate target-cell prediction using candidate-neighbour scoring rather than relying solely on memorised fixed cell identities.</w:t>
      </w:r>
    </w:p>
    <w:p>
      <w:pPr>
        <w:numPr>
          <w:ilvl w:val="0"/>
          <w:numId w:val="1001"/>
        </w:numPr>
      </w:pPr>
      <w:r>
        <w:t xml:space="preserve">Predict QoE degradation associated with evolving mobility conditions using throughput, latency, packet-loss and interruption information where available.</w:t>
      </w:r>
    </w:p>
    <w:p>
      <w:pPr>
        <w:numPr>
          <w:ilvl w:val="0"/>
          <w:numId w:val="1001"/>
        </w:numPr>
      </w:pPr>
      <w:r>
        <w:t xml:space="preserve">Quantify the performance inflation produced by random row-level splitting compared with complete-drive and complete-route evaluation.</w:t>
      </w:r>
    </w:p>
    <w:p>
      <w:pPr>
        <w:numPr>
          <w:ilvl w:val="0"/>
          <w:numId w:val="1001"/>
        </w:numPr>
      </w:pPr>
      <w:r>
        <w:t xml:space="preserve">Estimate and calibrate predictive uncertainty using methods such as deep ensembles, probability calibration and carefully designed conformal prediction.</w:t>
      </w:r>
    </w:p>
    <w:p>
      <w:pPr>
        <w:numPr>
          <w:ilvl w:val="0"/>
          <w:numId w:val="1001"/>
        </w:numPr>
      </w:pPr>
      <w:r>
        <w:t xml:space="preserve">Detect distribution shift and evaluate whether uncertainty-based abstention reduces critical errors on unseen routes, days, mobility conditions and, where feasible, operators.</w:t>
      </w:r>
    </w:p>
    <w:p>
      <w:pPr>
        <w:numPr>
          <w:ilvl w:val="0"/>
          <w:numId w:val="1001"/>
        </w:numPr>
      </w:pPr>
      <w:r>
        <w:t xml:space="preserve">Evaluate model deployment characteristics including inference latency, memory requirement and model size.</w:t>
      </w:r>
    </w:p>
    <w:p>
      <w:pPr>
        <w:numPr>
          <w:ilvl w:val="0"/>
          <w:numId w:val="1001"/>
        </w:numPr>
      </w:pPr>
      <w:r>
        <w:t xml:space="preserve">Release reproducible processing, modelling and evaluation components subject to privacy, operator and institutional restrictions.</w:t>
      </w:r>
    </w:p>
    <w:p>
      <w:r>
        <w:pict>
          <v:rect style="width:0;height:1.5pt" o:hralign="center" o:hrstd="t" o:hr="t"/>
        </w:pict>
      </w:r>
    </w:p>
    <w:bookmarkEnd w:id="13"/>
    <w:bookmarkStart w:id="21" w:name="research-questions"/>
    <w:p>
      <w:pPr>
        <w:pStyle w:val="Heading2"/>
      </w:pPr>
      <w:r>
        <w:t xml:space="preserve">5. Research Questions</w:t>
      </w:r>
    </w:p>
    <w:bookmarkStart w:id="14" w:name="rq1"/>
    <w:p>
      <w:pPr>
        <w:pStyle w:val="Heading3"/>
      </w:pPr>
      <w:r>
        <w:t xml:space="preserve">RQ1</w:t>
      </w:r>
    </w:p>
    <w:p>
      <w:pPr>
        <w:pStyle w:val="FirstParagraph"/>
      </w:pPr>
      <w:r>
        <w:t xml:space="preserve">Can temporally ordered LTE RF, mobility and QoE measurements predict upcoming handovers more effectively than snapshot-based models across multiple future horizons?</w:t>
      </w:r>
    </w:p>
    <w:bookmarkEnd w:id="14"/>
    <w:bookmarkStart w:id="15" w:name="rq2"/>
    <w:p>
      <w:pPr>
        <w:pStyle w:val="Heading3"/>
      </w:pPr>
      <w:r>
        <w:t xml:space="preserve">RQ2</w:t>
      </w:r>
    </w:p>
    <w:p>
      <w:pPr>
        <w:pStyle w:val="FirstParagraph"/>
      </w:pPr>
      <w:r>
        <w:t xml:space="preserve">How well do temporal models generalise when evaluated on complete unseen drives and a geographically held-out route?</w:t>
      </w:r>
    </w:p>
    <w:bookmarkEnd w:id="15"/>
    <w:bookmarkStart w:id="16" w:name="rq3"/>
    <w:p>
      <w:pPr>
        <w:pStyle w:val="Heading3"/>
      </w:pPr>
      <w:r>
        <w:t xml:space="preserve">RQ3</w:t>
      </w:r>
    </w:p>
    <w:p>
      <w:pPr>
        <w:pStyle w:val="FirstParagraph"/>
      </w:pPr>
      <w:r>
        <w:t xml:space="preserve">How much apparent predictive performance is introduced by random row-level train/test splitting compared with grouped drive- and route-level evaluation?</w:t>
      </w:r>
    </w:p>
    <w:bookmarkEnd w:id="16"/>
    <w:bookmarkStart w:id="17" w:name="rq4"/>
    <w:p>
      <w:pPr>
        <w:pStyle w:val="Heading3"/>
      </w:pPr>
      <w:r>
        <w:t xml:space="preserve">RQ4</w:t>
      </w:r>
    </w:p>
    <w:p>
      <w:pPr>
        <w:pStyle w:val="FirstParagraph"/>
      </w:pPr>
      <w:r>
        <w:t xml:space="preserve">Can calibrated predictive uncertainty and OOD-aware abstention reduce high-risk prediction errors under geographical and operational distribution shift?</w:t>
      </w:r>
    </w:p>
    <w:bookmarkEnd w:id="17"/>
    <w:bookmarkStart w:id="18" w:name="rq5"/>
    <w:p>
      <w:pPr>
        <w:pStyle w:val="Heading3"/>
      </w:pPr>
      <w:r>
        <w:t xml:space="preserve">RQ5</w:t>
      </w:r>
    </w:p>
    <w:p>
      <w:pPr>
        <w:pStyle w:val="FirstParagraph"/>
      </w:pPr>
      <w:r>
        <w:t xml:space="preserve">Does incorporating mobility history and QoE information improve handover and service-degradation prediction compared with RF-only inputs?</w:t>
      </w:r>
    </w:p>
    <w:bookmarkEnd w:id="18"/>
    <w:bookmarkStart w:id="19" w:name="rq6"/>
    <w:p>
      <w:pPr>
        <w:pStyle w:val="Heading3"/>
      </w:pPr>
      <w:r>
        <w:t xml:space="preserve">RQ6</w:t>
      </w:r>
    </w:p>
    <w:p>
      <w:pPr>
        <w:pStyle w:val="FirstParagraph"/>
      </w:pPr>
      <w:r>
        <w:t xml:space="preserve">Can candidate-neighbour-based target-cell ranking generalise to cells that were not explicitly represented as fixed classes during training?</w:t>
      </w:r>
    </w:p>
    <w:bookmarkEnd w:id="19"/>
    <w:bookmarkStart w:id="20" w:name="rq7"/>
    <w:p>
      <w:pPr>
        <w:pStyle w:val="Heading3"/>
      </w:pPr>
      <w:r>
        <w:t xml:space="preserve">RQ7</w:t>
      </w:r>
    </w:p>
    <w:p>
      <w:pPr>
        <w:pStyle w:val="FirstParagraph"/>
      </w:pPr>
      <w:r>
        <w:t xml:space="preserve">Can compact temporal architectures such as GRU or TCN achieve performance comparable to or better than a Transformer while requiring lower inference cost?</w:t>
      </w:r>
    </w:p>
    <w:p>
      <w:r>
        <w:pict>
          <v:rect style="width:0;height:1.5pt" o:hralign="center" o:hrstd="t" o:hr="t"/>
        </w:pict>
      </w:r>
    </w:p>
    <w:bookmarkEnd w:id="20"/>
    <w:bookmarkEnd w:id="21"/>
    <w:bookmarkStart w:id="22" w:name="research-hypotheses"/>
    <w:p>
      <w:pPr>
        <w:pStyle w:val="Heading2"/>
      </w:pPr>
      <w:r>
        <w:t xml:space="preserve">6. Research Hypotheses</w:t>
      </w:r>
    </w:p>
    <w:p>
      <w:pPr>
        <w:pStyle w:val="FirstParagraph"/>
      </w:pPr>
      <w:r>
        <w:rPr>
          <w:b/>
          <w:bCs/>
        </w:rPr>
        <w:t xml:space="preserve">H1:</w:t>
      </w:r>
      <w:r>
        <w:t xml:space="preserve"> </w:t>
      </w:r>
      <w:r>
        <w:t xml:space="preserve">Sequence models will outperform snapshot baselines in event-level AUPRC and usable handover warning lead time.</w:t>
      </w:r>
    </w:p>
    <w:p>
      <w:pPr>
        <w:pStyle w:val="BodyText"/>
      </w:pPr>
      <w:r>
        <w:rPr>
          <w:b/>
          <w:bCs/>
        </w:rPr>
        <w:t xml:space="preserve">H2:</w:t>
      </w:r>
      <w:r>
        <w:t xml:space="preserve"> </w:t>
      </w:r>
      <w:r>
        <w:t xml:space="preserve">Prediction performance will decrease when moving from random row-level evaluation to complete-drive and complete-route evaluation, demonstrating measurable leakage inflation in conventional splitting.</w:t>
      </w:r>
    </w:p>
    <w:p>
      <w:pPr>
        <w:pStyle w:val="BodyText"/>
      </w:pPr>
      <w:r>
        <w:rPr>
          <w:b/>
          <w:bCs/>
        </w:rPr>
        <w:t xml:space="preserve">H3:</w:t>
      </w:r>
      <w:r>
        <w:t xml:space="preserve"> </w:t>
      </w:r>
      <w:r>
        <w:t xml:space="preserve">Combining RF, mobility history and QoE information will outperform RF-only input for predicting mobility and service-degradation events.</w:t>
      </w:r>
    </w:p>
    <w:p>
      <w:pPr>
        <w:pStyle w:val="BodyText"/>
      </w:pPr>
      <w:r>
        <w:rPr>
          <w:b/>
          <w:bCs/>
        </w:rPr>
        <w:t xml:space="preserve">H4:</w:t>
      </w:r>
      <w:r>
        <w:t xml:space="preserve"> </w:t>
      </w:r>
      <w:r>
        <w:t xml:space="preserve">Calibrated uncertainty and OOD-aware abstention will reduce critical prediction errors under distribution shift.</w:t>
      </w:r>
    </w:p>
    <w:p>
      <w:pPr>
        <w:pStyle w:val="BodyText"/>
      </w:pPr>
      <w:r>
        <w:rPr>
          <w:b/>
          <w:bCs/>
        </w:rPr>
        <w:t xml:space="preserve">H5:</w:t>
      </w:r>
      <w:r>
        <w:t xml:space="preserve"> </w:t>
      </w:r>
      <w:r>
        <w:t xml:space="preserve">Candidate-neighbour ranking will transfer more effectively to unseen cells than a fixed Cell-ID multiclass classifier.</w:t>
      </w:r>
    </w:p>
    <w:p>
      <w:pPr>
        <w:pStyle w:val="BodyText"/>
      </w:pPr>
      <w:r>
        <w:rPr>
          <w:b/>
          <w:bCs/>
        </w:rPr>
        <w:t xml:space="preserve">H6:</w:t>
      </w:r>
      <w:r>
        <w:t xml:space="preserve"> </w:t>
      </w:r>
      <w:r>
        <w:t xml:space="preserve">At the available real-world dataset scale, a compact GRU or TCN will provide a competitive accuracy–latency trade-off relative to a larger Transformer.</w:t>
      </w:r>
    </w:p>
    <w:p>
      <w:pPr>
        <w:pStyle w:val="BodyText"/>
      </w:pPr>
      <w:r>
        <w:t xml:space="preserve">Multi-task learning will be evaluated as a hypothesis rather than assumed to be superior; separate single-task models will therefore be retained as explicit controls.</w:t>
      </w:r>
    </w:p>
    <w:p>
      <w:r>
        <w:pict>
          <v:rect style="width:0;height:1.5pt" o:hralign="center" o:hrstd="t" o:hr="t"/>
        </w:pict>
      </w:r>
    </w:p>
    <w:bookmarkEnd w:id="22"/>
    <w:bookmarkEnd w:id="23"/>
    <w:bookmarkStart w:id="31" w:name="literature-review"/>
    <w:p>
      <w:pPr>
        <w:pStyle w:val="Heading1"/>
      </w:pPr>
      <w:r>
        <w:t xml:space="preserve">7. Literature Review</w:t>
      </w:r>
    </w:p>
    <w:bookmarkStart w:id="24" w:name="conventional-handover-control"/>
    <w:p>
      <w:pPr>
        <w:pStyle w:val="Heading2"/>
      </w:pPr>
      <w:r>
        <w:t xml:space="preserve">7.1 Conventional Handover Control</w:t>
      </w:r>
    </w:p>
    <w:p>
      <w:pPr>
        <w:pStyle w:val="FirstParagraph"/>
      </w:pPr>
      <w:r>
        <w:t xml:space="preserve">LTE mobility management relies on serving and neighbouring-cell measurements and configured mobility events. Parameters such as hysteresis, handover offsets and TTT determine how quickly a UE or network responds to changing radio conditions. Saad et al. [5] review the effect of handover-control parameters and demonstrate the fundamental balance between mobility robustness, unnecessary handovers and failure risk.</w:t>
      </w:r>
    </w:p>
    <w:p>
      <w:pPr>
        <w:pStyle w:val="BodyText"/>
      </w:pPr>
      <w:r>
        <w:t xml:space="preserve">Karmakar et al. [10] proposed adaptive TTT and hysteresis control for high-mobility scenarios, while Gannapathy et al. [11] investigated adaptive TTT under unpredictable wireless-channel conditions. These studies demonstrate the usefulness of dynamically responding to mobility and channel variation. However, their primary emphasis is handover-control adaptation rather than uncertainty-aware real-world handover forecasting.</w:t>
      </w:r>
    </w:p>
    <w:p>
      <w:pPr>
        <w:pStyle w:val="BodyText"/>
      </w:pPr>
      <w:r>
        <w:t xml:space="preserve">The normative LTE RRC procedures and UE measurement-reporting mechanisms are defined in 3GPP TS 36.331 [37]. In particular, LTE</w:t>
      </w:r>
      <w:r>
        <w:t xml:space="preserve"> </w:t>
      </w:r>
      <w:r>
        <w:rPr>
          <w:rStyle w:val="VerbatimChar"/>
        </w:rPr>
        <w:t xml:space="preserve">MeasurementReport</w:t>
      </w:r>
      <w:r>
        <w:t xml:space="preserve"> </w:t>
      </w:r>
      <w:r>
        <w:t xml:space="preserve">messages may contain serving-cell and neighbouring-cell measurements associated with configured measurement identities. This provides a technical basis for using UE-observed temporal measurements in predictive modelling when the necessary signalling is available from the drive-test equipment.</w:t>
      </w:r>
    </w:p>
    <w:p>
      <w:r>
        <w:pict>
          <v:rect style="width:0;height:1.5pt" o:hralign="center" o:hrstd="t" o:hr="t"/>
        </w:pict>
      </w:r>
    </w:p>
    <w:bookmarkEnd w:id="24"/>
    <w:bookmarkStart w:id="25" w:name="X6cc570dc72121c48b5a2324731a74380847006c"/>
    <w:p>
      <w:pPr>
        <w:pStyle w:val="Heading2"/>
      </w:pPr>
      <w:r>
        <w:t xml:space="preserve">7.2 Fuzzy, Rule-Based and Self-Optimising Approaches</w:t>
      </w:r>
    </w:p>
    <w:p>
      <w:pPr>
        <w:pStyle w:val="FirstParagraph"/>
      </w:pPr>
      <w:r>
        <w:t xml:space="preserve">A substantial body of mobility-management research has adapted handover parameters through fuzzy logic and self-optimisation. Hwang et al. [12] applied fuzzy logic to handover decisions in ultra-dense networks. Alraih et al. [13] proposed a robust fuzzy handover optimisation technique incorporating radio quality and UE velocity. Mbulwa et al. [14] investigated self-optimisation of handover-control parameters, while Tashan et al. [15] combined weighted and fuzzy approaches for heterogeneous networks.</w:t>
      </w:r>
    </w:p>
    <w:p>
      <w:pPr>
        <w:pStyle w:val="BodyText"/>
      </w:pPr>
      <w:r>
        <w:t xml:space="preserve">These approaches are generally computationally manageable and interpretable. However, their rules, membership functions and parameterisation may depend strongly on a particular topology or simulated environment. The proposed thesis instead focuses on learning temporal predictive structure from repeated real-world LTE measurements and testing whether this structure transfers to independently held-out drives and routes.</w:t>
      </w:r>
    </w:p>
    <w:p>
      <w:r>
        <w:pict>
          <v:rect style="width:0;height:1.5pt" o:hralign="center" o:hrstd="t" o:hr="t"/>
        </w:pict>
      </w:r>
    </w:p>
    <w:bookmarkEnd w:id="25"/>
    <w:bookmarkStart w:id="26" w:name="foundation-lte-studies-and-dataset"/>
    <w:p>
      <w:pPr>
        <w:pStyle w:val="Heading2"/>
      </w:pPr>
      <w:r>
        <w:t xml:space="preserve">7.3 Foundation LTE Studies and Dataset</w:t>
      </w:r>
    </w:p>
    <w:p>
      <w:pPr>
        <w:pStyle w:val="FirstParagraph"/>
      </w:pPr>
      <w:r>
        <w:t xml:space="preserve">The three supplied foundation studies provide the immediate research starting point [1]–[3].</w:t>
      </w:r>
    </w:p>
    <w:p>
      <w:pPr>
        <w:pStyle w:val="BodyText"/>
      </w:pPr>
      <w:r>
        <w:t xml:space="preserve">Istiaque et al. [1] compared fuzzy logic and Deep Q-Network approaches for adaptive LTE handover optimisation. Shafi et al. [2] investigated contextual-bandit reinforcement learning using a compact snapshot state representation and real-world LTE measurements. Istiaque et al. [3] combined subtractive clustering with Q-learning to reduce handover and ping-pong events.</w:t>
      </w:r>
    </w:p>
    <w:p>
      <w:pPr>
        <w:pStyle w:val="BodyText"/>
      </w:pPr>
      <w:r>
        <w:t xml:space="preserve">The associated Dhaka LTE handover dataset [4] provides a valuable real-world basis for initial reproduction, auditing and exploratory modelling.</w:t>
      </w:r>
    </w:p>
    <w:p>
      <w:pPr>
        <w:pStyle w:val="BodyText"/>
      </w:pPr>
      <w:r>
        <w:t xml:space="preserve">However, the foundation work also exposes several opportunities for improvement:</w:t>
      </w:r>
    </w:p>
    <w:p>
      <w:pPr>
        <w:pStyle w:val="Compact"/>
        <w:numPr>
          <w:ilvl w:val="0"/>
          <w:numId w:val="1002"/>
        </w:numPr>
      </w:pPr>
      <w:r>
        <w:t xml:space="preserve">limited route diversity;</w:t>
      </w:r>
    </w:p>
    <w:p>
      <w:pPr>
        <w:pStyle w:val="Compact"/>
        <w:numPr>
          <w:ilvl w:val="0"/>
          <w:numId w:val="1002"/>
        </w:numPr>
      </w:pPr>
      <w:r>
        <w:t xml:space="preserve">relatively small numbers of independent mobility trajectories;</w:t>
      </w:r>
    </w:p>
    <w:p>
      <w:pPr>
        <w:pStyle w:val="Compact"/>
        <w:numPr>
          <w:ilvl w:val="0"/>
          <w:numId w:val="1002"/>
        </w:numPr>
      </w:pPr>
      <w:r>
        <w:t xml:space="preserve">predominantly snapshot-based state representations;</w:t>
      </w:r>
    </w:p>
    <w:p>
      <w:pPr>
        <w:pStyle w:val="Compact"/>
        <w:numPr>
          <w:ilvl w:val="0"/>
          <w:numId w:val="1002"/>
        </w:numPr>
      </w:pPr>
      <w:r>
        <w:t xml:space="preserve">limited direct QoE evidence;</w:t>
      </w:r>
    </w:p>
    <w:p>
      <w:pPr>
        <w:pStyle w:val="Compact"/>
        <w:numPr>
          <w:ilvl w:val="0"/>
          <w:numId w:val="1002"/>
        </w:numPr>
      </w:pPr>
      <w:r>
        <w:t xml:space="preserve">possible sensitivity to researcher-defined event labels;</w:t>
      </w:r>
    </w:p>
    <w:p>
      <w:pPr>
        <w:pStyle w:val="Compact"/>
        <w:numPr>
          <w:ilvl w:val="0"/>
          <w:numId w:val="1002"/>
        </w:numPr>
      </w:pPr>
      <w:r>
        <w:t xml:space="preserve">insufficient basis for large temporal models;</w:t>
      </w:r>
    </w:p>
    <w:p>
      <w:pPr>
        <w:pStyle w:val="Compact"/>
        <w:numPr>
          <w:ilvl w:val="0"/>
          <w:numId w:val="1002"/>
        </w:numPr>
      </w:pPr>
      <w:r>
        <w:t xml:space="preserve">lack of strict external geographical validation;</w:t>
      </w:r>
    </w:p>
    <w:p>
      <w:pPr>
        <w:pStyle w:val="Compact"/>
        <w:numPr>
          <w:ilvl w:val="0"/>
          <w:numId w:val="1002"/>
        </w:numPr>
      </w:pPr>
      <w:r>
        <w:t xml:space="preserve">lack of calibrated predictive confidence.</w:t>
      </w:r>
    </w:p>
    <w:p>
      <w:pPr>
        <w:pStyle w:val="FirstParagraph"/>
      </w:pPr>
      <w:r>
        <w:t xml:space="preserve">The present thesis will therefore use the existing dataset primarily for audit, baseline development and early pipeline testing rather than as the sole evidence base.</w:t>
      </w:r>
    </w:p>
    <w:p>
      <w:r>
        <w:pict>
          <v:rect style="width:0;height:1.5pt" o:hralign="center" o:hrstd="t" o:hr="t"/>
        </w:pict>
      </w:r>
    </w:p>
    <w:bookmarkEnd w:id="26"/>
    <w:bookmarkStart w:id="27" w:name="real-world-drive-test-evidence"/>
    <w:p>
      <w:pPr>
        <w:pStyle w:val="Heading2"/>
      </w:pPr>
      <w:r>
        <w:t xml:space="preserve">7.4 Real-World Drive-Test Evidence</w:t>
      </w:r>
    </w:p>
    <w:p>
      <w:pPr>
        <w:pStyle w:val="FirstParagraph"/>
      </w:pPr>
      <w:r>
        <w:t xml:space="preserve">Real-network evidence is essential because handovers occur under spatially and temporally structured radio conditions that are difficult to represent completely through simulation.</w:t>
      </w:r>
    </w:p>
    <w:p>
      <w:pPr>
        <w:pStyle w:val="BodyText"/>
      </w:pPr>
      <w:r>
        <w:t xml:space="preserve">Zidic et al. [8] analysed ping-pong handovers using real 4G network data and showed that event context influences the likelihood of ping-pong behaviour. Their work demonstrates that a single aggregate ping-pong count does not capture all mobility-quality variation.</w:t>
      </w:r>
    </w:p>
    <w:p>
      <w:pPr>
        <w:pStyle w:val="BodyText"/>
      </w:pPr>
      <w:r>
        <w:t xml:space="preserve">Farthofer et al. [9] developed and published an open mobile-communications drive-test dataset containing repeated measurements collected over an extended period. Their work demonstrates the scientific value of controlled longitudinal data collection, reproducible processing and public datasets for communications-oriented machine learning.</w:t>
      </w:r>
    </w:p>
    <w:p>
      <w:pPr>
        <w:pStyle w:val="BodyText"/>
      </w:pPr>
      <w:r>
        <w:t xml:space="preserve">The proposed thesis extends this measurement-oriented perspective specifically to handover forecasting by combining radio, mobility, cell-history and application-QoE sequences while reserving independent drives and routes for external evaluation.</w:t>
      </w:r>
    </w:p>
    <w:p>
      <w:r>
        <w:pict>
          <v:rect style="width:0;height:1.5pt" o:hralign="center" o:hrstd="t" o:hr="t"/>
        </w:pict>
      </w:r>
    </w:p>
    <w:bookmarkEnd w:id="27"/>
    <w:bookmarkStart w:id="28" w:name="sequence-based-handover-prediction"/>
    <w:p>
      <w:pPr>
        <w:pStyle w:val="Heading2"/>
      </w:pPr>
      <w:r>
        <w:t xml:space="preserve">7.5 Sequence-Based Handover Prediction</w:t>
      </w:r>
    </w:p>
    <w:p>
      <w:pPr>
        <w:pStyle w:val="FirstParagraph"/>
      </w:pPr>
      <w:r>
        <w:t xml:space="preserve">A major transition in recent mobility-management research is the movement from snapshot classification toward temporal prediction.</w:t>
      </w:r>
    </w:p>
    <w:p>
      <w:pPr>
        <w:pStyle w:val="BodyText"/>
      </w:pPr>
      <w:r>
        <w:t xml:space="preserve">Kabeer et al. [16] investigated GRU, LSTM and Transformer architectures using a real multi-operator urban drive-test dataset. Their work confirms that handover behaviour can be modelled as a sequential process and that multidimensional measurement history contains information that is not represented by isolated RSRP values.</w:t>
      </w:r>
    </w:p>
    <w:p>
      <w:pPr>
        <w:pStyle w:val="BodyText"/>
      </w:pPr>
      <w:r>
        <w:t xml:space="preserve">Panitsas et al. [17] proposed prediction of future serving cells from sequential UE measurements and investigated transfer learning when the decision environment or topology changes.</w:t>
      </w:r>
    </w:p>
    <w:p>
      <w:pPr>
        <w:pStyle w:val="BodyText"/>
      </w:pPr>
      <w:r>
        <w:t xml:space="preserve">These studies reduce the novelty of simply applying another GRU, LSTM or Transformer to LTE measurements. Consequently, the proposed thesis does not claim architectural substitution as its primary contribution. Instead, novelty is sought through:</w:t>
      </w:r>
    </w:p>
    <w:p>
      <w:pPr>
        <w:pStyle w:val="Compact"/>
        <w:numPr>
          <w:ilvl w:val="0"/>
          <w:numId w:val="1003"/>
        </w:numPr>
      </w:pPr>
      <w:r>
        <w:t xml:space="preserve">multi-horizon event forecasting;</w:t>
      </w:r>
    </w:p>
    <w:p>
      <w:pPr>
        <w:pStyle w:val="Compact"/>
        <w:numPr>
          <w:ilvl w:val="0"/>
          <w:numId w:val="1003"/>
        </w:numPr>
      </w:pPr>
      <w:r>
        <w:t xml:space="preserve">strict drive/route generalisation;</w:t>
      </w:r>
    </w:p>
    <w:p>
      <w:pPr>
        <w:pStyle w:val="Compact"/>
        <w:numPr>
          <w:ilvl w:val="0"/>
          <w:numId w:val="1003"/>
        </w:numPr>
      </w:pPr>
      <w:r>
        <w:t xml:space="preserve">direct QoE-degradation prediction;</w:t>
      </w:r>
    </w:p>
    <w:p>
      <w:pPr>
        <w:pStyle w:val="Compact"/>
        <w:numPr>
          <w:ilvl w:val="0"/>
          <w:numId w:val="1003"/>
        </w:numPr>
      </w:pPr>
      <w:r>
        <w:t xml:space="preserve">formal leakage quantification;</w:t>
      </w:r>
    </w:p>
    <w:p>
      <w:pPr>
        <w:pStyle w:val="Compact"/>
        <w:numPr>
          <w:ilvl w:val="0"/>
          <w:numId w:val="1003"/>
        </w:numPr>
      </w:pPr>
      <w:r>
        <w:t xml:space="preserve">calibrated uncertainty;</w:t>
      </w:r>
    </w:p>
    <w:p>
      <w:pPr>
        <w:pStyle w:val="Compact"/>
        <w:numPr>
          <w:ilvl w:val="0"/>
          <w:numId w:val="1003"/>
        </w:numPr>
      </w:pPr>
      <w:r>
        <w:t xml:space="preserve">OOD detection and abstention;</w:t>
      </w:r>
    </w:p>
    <w:p>
      <w:pPr>
        <w:pStyle w:val="Compact"/>
        <w:numPr>
          <w:ilvl w:val="0"/>
          <w:numId w:val="1003"/>
        </w:numPr>
      </w:pPr>
      <w:r>
        <w:t xml:space="preserve">candidate-based target-cell generalisation.</w:t>
      </w:r>
    </w:p>
    <w:p>
      <w:r>
        <w:pict>
          <v:rect style="width:0;height:1.5pt" o:hralign="center" o:hrstd="t" o:hr="t"/>
        </w:pict>
      </w:r>
    </w:p>
    <w:bookmarkEnd w:id="28"/>
    <w:bookmarkStart w:id="29" w:name="X1a8e0d35b44beddffdd2afee015e76d4cdd15af"/>
    <w:p>
      <w:pPr>
        <w:pStyle w:val="Heading2"/>
      </w:pPr>
      <w:r>
        <w:t xml:space="preserve">7.6 O-RAN and Topology-Aware Mobility Prediction</w:t>
      </w:r>
    </w:p>
    <w:p>
      <w:pPr>
        <w:pStyle w:val="FirstParagraph"/>
      </w:pPr>
      <w:r>
        <w:t xml:space="preserve">Predictive mobility management is increasingly being considered within O-RAN architectures.</w:t>
      </w:r>
    </w:p>
    <w:p>
      <w:pPr>
        <w:pStyle w:val="BodyText"/>
      </w:pPr>
      <w:r>
        <w:t xml:space="preserve">Bermudez et al. [18] investigated graph-neural-network link prediction for O-RAN mobility management using user–cell relationships. Their results reinforce the importance of explicitly modelling candidate-cell relationships rather than treating cells only as unrelated classification labels.</w:t>
      </w:r>
    </w:p>
    <w:p>
      <w:pPr>
        <w:pStyle w:val="BodyText"/>
      </w:pPr>
      <w:r>
        <w:t xml:space="preserve">Dzaferagic et al. [19] demonstrated machine-learning-based handover prediction using measurements from a real O-RAN deployment. This provides evidence that predictive handover models can operate on practical RAN measurements rather than purely synthetic inputs.</w:t>
      </w:r>
    </w:p>
    <w:p>
      <w:pPr>
        <w:pStyle w:val="BodyText"/>
      </w:pPr>
      <w:r>
        <w:t xml:space="preserve">Wadud et al. [33] proposed a hierarchical predictive O-RAN framework in which longer-horizon predictive intelligence and final near-real-time control are separated.</w:t>
      </w:r>
    </w:p>
    <w:p>
      <w:pPr>
        <w:pStyle w:val="BodyText"/>
      </w:pPr>
      <w:r>
        <w:t xml:space="preserve">The proposed work does not include access to a live RAN Intelligent Controller and therefore will not claim O-RAN deployment. Its outputs may, however, be described as</w:t>
      </w:r>
      <w:r>
        <w:t xml:space="preserve"> </w:t>
      </w:r>
      <w:r>
        <w:rPr>
          <w:b/>
          <w:bCs/>
        </w:rPr>
        <w:t xml:space="preserve">O-RAN-compatible predictive information</w:t>
      </w:r>
      <w:r>
        <w:t xml:space="preserve"> </w:t>
      </w:r>
      <w:r>
        <w:t xml:space="preserve">that could later support a standards-compliant mobility-management controller.</w:t>
      </w:r>
    </w:p>
    <w:p>
      <w:r>
        <w:pict>
          <v:rect style="width:0;height:1.5pt" o:hralign="center" o:hrstd="t" o:hr="t"/>
        </w:pict>
      </w:r>
    </w:p>
    <w:bookmarkEnd w:id="29"/>
    <w:bookmarkStart w:id="30" w:name="predictive-uncertainty-and-abstention"/>
    <w:p>
      <w:pPr>
        <w:pStyle w:val="Heading2"/>
      </w:pPr>
      <w:r>
        <w:t xml:space="preserve">7.7 Predictive Uncertainty and Abstention</w:t>
      </w:r>
    </w:p>
    <w:p>
      <w:pPr>
        <w:pStyle w:val="FirstParagraph"/>
      </w:pPr>
      <w:r>
        <w:t xml:space="preserve">Conventional handover-prediction studies frequently report accuracy, precision, recall or F1 without asking whether their probability estimates are trustworthy.</w:t>
      </w:r>
    </w:p>
    <w:p>
      <w:pPr>
        <w:pStyle w:val="BodyText"/>
      </w:pPr>
      <w:r>
        <w:t xml:space="preserve">Lakshminarayanan et al. [20] demonstrated that deep ensembles provide a practical approach to predictive uncertainty and can produce increased uncertainty under unfamiliar data conditions.</w:t>
      </w:r>
    </w:p>
    <w:p>
      <w:pPr>
        <w:pStyle w:val="BodyText"/>
      </w:pPr>
      <w:r>
        <w:t xml:space="preserve">Conformal prediction provides an alternative framework for constructing prediction sets or intervals with explicit coverage objectives. However, standard conformal assumptions are complicated by time-series dependence. Barber and Pananjady [21] specifically analyse split conformal prediction under temporal dependence and show why exchangeability violations must be considered when interpreting coverage.</w:t>
      </w:r>
    </w:p>
    <w:p>
      <w:pPr>
        <w:pStyle w:val="BodyText"/>
      </w:pPr>
      <w:r>
        <w:t xml:space="preserve">For LTE drive-test sequences, this means that uncertainty calibration cannot be performed by randomly mixing temporally adjacent samples. Complete drives or appropriate temporal blocks must instead be reserved for calibration and empirical coverage testing.</w:t>
      </w:r>
    </w:p>
    <w:p>
      <w:pPr>
        <w:pStyle w:val="BodyText"/>
      </w:pPr>
      <w:r>
        <w:t xml:space="preserve">This creates a clear research opportunity: evaluate not only whether a handover predictor is correct, but whether it knows when its prediction should not be trusted.</w:t>
      </w:r>
    </w:p>
    <w:p>
      <w:r>
        <w:pict>
          <v:rect style="width:0;height:1.5pt" o:hralign="center" o:hrstd="t" o:hr="t"/>
        </w:pict>
      </w:r>
    </w:p>
    <w:bookmarkEnd w:id="30"/>
    <w:bookmarkEnd w:id="31"/>
    <w:bookmarkStart w:id="39" w:name="research-gaps"/>
    <w:p>
      <w:pPr>
        <w:pStyle w:val="Heading1"/>
      </w:pPr>
      <w:r>
        <w:t xml:space="preserve">8. Research Gaps</w:t>
      </w:r>
    </w:p>
    <w:p>
      <w:pPr>
        <w:pStyle w:val="FirstParagraph"/>
      </w:pPr>
      <w:r>
        <w:t xml:space="preserve">The literature review identifies the following gaps.</w:t>
      </w:r>
    </w:p>
    <w:bookmarkStart w:id="32" w:name="gap-1-geographic-and-temporal-leakage"/>
    <w:p>
      <w:pPr>
        <w:pStyle w:val="Heading3"/>
      </w:pPr>
      <w:r>
        <w:t xml:space="preserve">Gap 1: Geographic and temporal leakage</w:t>
      </w:r>
    </w:p>
    <w:p>
      <w:pPr>
        <w:pStyle w:val="FirstParagraph"/>
      </w:pPr>
      <w:r>
        <w:t xml:space="preserve">Adjacent LTE samples are strongly correlated. Random row-level splitting can create unrealistically favourable results.</w:t>
      </w:r>
    </w:p>
    <w:p>
      <w:pPr>
        <w:pStyle w:val="BodyText"/>
      </w:pPr>
      <w:r>
        <w:rPr>
          <w:b/>
          <w:bCs/>
        </w:rPr>
        <w:t xml:space="preserve">Proposed response:</w:t>
      </w:r>
      <w:r>
        <w:t xml:space="preserve"> </w:t>
      </w:r>
      <w:r>
        <w:t xml:space="preserve">principal evaluation using complete-drive and complete-route separation, with random splitting retained only as a leakage experiment.</w:t>
      </w:r>
    </w:p>
    <w:bookmarkEnd w:id="32"/>
    <w:bookmarkStart w:id="33" w:name="gap-2-single-horizon-prediction"/>
    <w:p>
      <w:pPr>
        <w:pStyle w:val="Heading3"/>
      </w:pPr>
      <w:r>
        <w:t xml:space="preserve">Gap 2: Single-horizon prediction</w:t>
      </w:r>
    </w:p>
    <w:p>
      <w:pPr>
        <w:pStyle w:val="FirstParagraph"/>
      </w:pPr>
      <w:r>
        <w:t xml:space="preserve">Many predictive studies answer whether a handover will occur at one future point or within one interval.</w:t>
      </w:r>
    </w:p>
    <w:p>
      <w:pPr>
        <w:pStyle w:val="BodyText"/>
      </w:pPr>
      <w:r>
        <w:rPr>
          <w:b/>
          <w:bCs/>
        </w:rPr>
        <w:t xml:space="preserve">Proposed response:</w:t>
      </w:r>
      <w:r>
        <w:t xml:space="preserve"> </w:t>
      </w:r>
      <w:r>
        <w:t xml:space="preserve">jointly evaluate approximately 0.5, 1, 2, 3 and 5 second horizons.</w:t>
      </w:r>
    </w:p>
    <w:bookmarkEnd w:id="33"/>
    <w:bookmarkStart w:id="34" w:name="gap-3-limited-qoe-integration"/>
    <w:p>
      <w:pPr>
        <w:pStyle w:val="Heading3"/>
      </w:pPr>
      <w:r>
        <w:t xml:space="preserve">Gap 3: Limited QoE integration</w:t>
      </w:r>
    </w:p>
    <w:p>
      <w:pPr>
        <w:pStyle w:val="FirstParagraph"/>
      </w:pPr>
      <w:r>
        <w:t xml:space="preserve">RF quality does not necessarily imply user-visible service performance.</w:t>
      </w:r>
    </w:p>
    <w:p>
      <w:pPr>
        <w:pStyle w:val="BodyText"/>
      </w:pPr>
      <w:r>
        <w:rPr>
          <w:b/>
          <w:bCs/>
        </w:rPr>
        <w:t xml:space="preserve">Proposed response:</w:t>
      </w:r>
      <w:r>
        <w:t xml:space="preserve"> </w:t>
      </w:r>
      <w:r>
        <w:t xml:space="preserve">collect throughput, RTT, packet loss and interruption measurements where technically available and predict service degradation alongside handover risk.</w:t>
      </w:r>
    </w:p>
    <w:bookmarkEnd w:id="34"/>
    <w:bookmarkStart w:id="35" w:name="gap-4-weak-uncertainty-treatment"/>
    <w:p>
      <w:pPr>
        <w:pStyle w:val="Heading3"/>
      </w:pPr>
      <w:r>
        <w:t xml:space="preserve">Gap 4: Weak uncertainty treatment</w:t>
      </w:r>
    </w:p>
    <w:p>
      <w:pPr>
        <w:pStyle w:val="FirstParagraph"/>
      </w:pPr>
      <w:r>
        <w:t xml:space="preserve">Most handover predictors always return a decision irrespective of unfamiliarity.</w:t>
      </w:r>
    </w:p>
    <w:p>
      <w:pPr>
        <w:pStyle w:val="BodyText"/>
      </w:pPr>
      <w:r>
        <w:rPr>
          <w:b/>
          <w:bCs/>
        </w:rPr>
        <w:t xml:space="preserve">Proposed response:</w:t>
      </w:r>
      <w:r>
        <w:t xml:space="preserve"> </w:t>
      </w:r>
      <w:r>
        <w:t xml:space="preserve">probability calibration, deep ensembles, OOD detection and explicit abstention.</w:t>
      </w:r>
    </w:p>
    <w:bookmarkEnd w:id="35"/>
    <w:bookmarkStart w:id="36" w:name="gap-5-cell-id-memorisation"/>
    <w:p>
      <w:pPr>
        <w:pStyle w:val="Heading3"/>
      </w:pPr>
      <w:r>
        <w:t xml:space="preserve">Gap 5: Cell-ID memorisation</w:t>
      </w:r>
    </w:p>
    <w:p>
      <w:pPr>
        <w:pStyle w:val="FirstParagraph"/>
      </w:pPr>
      <w:r>
        <w:t xml:space="preserve">A fixed cell-ID classifier cannot naturally predict a target cell that did not occur as a training class.</w:t>
      </w:r>
    </w:p>
    <w:p>
      <w:pPr>
        <w:pStyle w:val="BodyText"/>
      </w:pPr>
      <w:r>
        <w:rPr>
          <w:b/>
          <w:bCs/>
        </w:rPr>
        <w:t xml:space="preserve">Proposed response:</w:t>
      </w:r>
      <w:r>
        <w:t xml:space="preserve"> </w:t>
      </w:r>
      <w:r>
        <w:t xml:space="preserve">candidate-neighbour scoring/ranking using transferable radio and temporal attributes.</w:t>
      </w:r>
    </w:p>
    <w:bookmarkEnd w:id="36"/>
    <w:bookmarkStart w:id="37" w:name="X52bc7d8743d8c3704d40065d12615c0e6038bf4"/>
    <w:p>
      <w:pPr>
        <w:pStyle w:val="Heading3"/>
      </w:pPr>
      <w:r>
        <w:t xml:space="preserve">Gap 6: Limited independent real-world validation</w:t>
      </w:r>
    </w:p>
    <w:p>
      <w:pPr>
        <w:pStyle w:val="FirstParagraph"/>
      </w:pPr>
      <w:r>
        <w:t xml:space="preserve">Many datasets contain limited route/operator diversity.</w:t>
      </w:r>
    </w:p>
    <w:p>
      <w:pPr>
        <w:pStyle w:val="BodyText"/>
      </w:pPr>
      <w:r>
        <w:rPr>
          <w:b/>
          <w:bCs/>
        </w:rPr>
        <w:t xml:space="preserve">Proposed response:</w:t>
      </w:r>
      <w:r>
        <w:t xml:space="preserve"> </w:t>
      </w:r>
      <w:r>
        <w:t xml:space="preserve">repeated multi-route collection with at least one geographically locked route unavailable during model development.</w:t>
      </w:r>
    </w:p>
    <w:bookmarkEnd w:id="37"/>
    <w:bookmarkStart w:id="38" w:name="gap-7-architecture-centred-novelty"/>
    <w:p>
      <w:pPr>
        <w:pStyle w:val="Heading3"/>
      </w:pPr>
      <w:r>
        <w:t xml:space="preserve">Gap 7: Architecture-centred novelty</w:t>
      </w:r>
    </w:p>
    <w:p>
      <w:pPr>
        <w:pStyle w:val="FirstParagraph"/>
      </w:pPr>
      <w:r>
        <w:t xml:space="preserve">Replacing one neural architecture with another is increasingly insufficient.</w:t>
      </w:r>
    </w:p>
    <w:p>
      <w:pPr>
        <w:pStyle w:val="BodyText"/>
      </w:pPr>
      <w:r>
        <w:rPr>
          <w:b/>
          <w:bCs/>
        </w:rPr>
        <w:t xml:space="preserve">Proposed response:</w:t>
      </w:r>
      <w:r>
        <w:t xml:space="preserve"> </w:t>
      </w:r>
      <w:r>
        <w:t xml:space="preserve">position the contribution around data quality, generalisation, uncertainty, event-based evaluation and deployment reliability rather than architecture alone.</w:t>
      </w:r>
    </w:p>
    <w:p>
      <w:r>
        <w:pict>
          <v:rect style="width:0;height:1.5pt" o:hralign="center" o:hrstd="t" o:hr="t"/>
        </w:pict>
      </w:r>
    </w:p>
    <w:bookmarkEnd w:id="38"/>
    <w:bookmarkEnd w:id="39"/>
    <w:bookmarkStart w:id="41" w:name="proposed-novelty-and-contributions"/>
    <w:p>
      <w:pPr>
        <w:pStyle w:val="Heading1"/>
      </w:pPr>
      <w:r>
        <w:t xml:space="preserve">9. Proposed Novelty and Contributions</w:t>
      </w:r>
    </w:p>
    <w:p>
      <w:pPr>
        <w:pStyle w:val="FirstParagraph"/>
      </w:pPr>
      <w:r>
        <w:t xml:space="preserve">The proposed work is expected to contribute:</w:t>
      </w:r>
    </w:p>
    <w:p>
      <w:pPr>
        <w:numPr>
          <w:ilvl w:val="0"/>
          <w:numId w:val="1004"/>
        </w:numPr>
      </w:pPr>
      <w:r>
        <w:t xml:space="preserve">A multi-route commercial LTE RF–mobility–QoE sequence dataset with reproducible mobility-event labels.</w:t>
      </w:r>
    </w:p>
    <w:p>
      <w:pPr>
        <w:numPr>
          <w:ilvl w:val="0"/>
          <w:numId w:val="1004"/>
        </w:numPr>
      </w:pPr>
      <w:r>
        <w:t xml:space="preserve">Multi-horizon handover forecasting at approximately 0.5–5 seconds.</w:t>
      </w:r>
    </w:p>
    <w:p>
      <w:pPr>
        <w:numPr>
          <w:ilvl w:val="0"/>
          <w:numId w:val="1004"/>
        </w:numPr>
      </w:pPr>
      <w:r>
        <w:t xml:space="preserve">Event-based evaluation measuring whether each real handover was detected and how much warning time was obtained.</w:t>
      </w:r>
    </w:p>
    <w:p>
      <w:pPr>
        <w:numPr>
          <w:ilvl w:val="0"/>
          <w:numId w:val="1004"/>
        </w:numPr>
      </w:pPr>
      <w:r>
        <w:t xml:space="preserve">Formal quantification of performance inflation caused by random row-level splitting.</w:t>
      </w:r>
    </w:p>
    <w:p>
      <w:pPr>
        <w:numPr>
          <w:ilvl w:val="0"/>
          <w:numId w:val="1004"/>
        </w:numPr>
      </w:pPr>
      <w:r>
        <w:t xml:space="preserve">Strict complete-drive and complete-route generalisation assessment.</w:t>
      </w:r>
    </w:p>
    <w:p>
      <w:pPr>
        <w:numPr>
          <w:ilvl w:val="0"/>
          <w:numId w:val="1004"/>
        </w:numPr>
      </w:pPr>
      <w:r>
        <w:t xml:space="preserve">Candidate-neighbour target-cell ranking designed to support transfer to unseen cell identities.</w:t>
      </w:r>
    </w:p>
    <w:p>
      <w:pPr>
        <w:numPr>
          <w:ilvl w:val="0"/>
          <w:numId w:val="1004"/>
        </w:numPr>
      </w:pPr>
      <w:r>
        <w:t xml:space="preserve">Joint evaluation of RF-only, RF-plus-mobility and RF-plus-mobility-plus-QoE feature regimes.</w:t>
      </w:r>
    </w:p>
    <w:p>
      <w:pPr>
        <w:numPr>
          <w:ilvl w:val="0"/>
          <w:numId w:val="1004"/>
        </w:numPr>
      </w:pPr>
      <w:r>
        <w:t xml:space="preserve">Calibrated predictive uncertainty using held-out complete-drive calibration data.</w:t>
      </w:r>
    </w:p>
    <w:p>
      <w:pPr>
        <w:numPr>
          <w:ilvl w:val="0"/>
          <w:numId w:val="1004"/>
        </w:numPr>
      </w:pPr>
      <w:r>
        <w:t xml:space="preserve">OOD-aware abstention evaluated under explicitly defined geographical, temporal, mobility and operator shifts.</w:t>
      </w:r>
    </w:p>
    <w:p>
      <w:pPr>
        <w:numPr>
          <w:ilvl w:val="0"/>
          <w:numId w:val="1004"/>
        </w:numPr>
      </w:pPr>
      <w:r>
        <w:t xml:space="preserve">Accuracy–latency–memory profiling of practical temporal models.</w:t>
      </w:r>
    </w:p>
    <w:p>
      <w:pPr>
        <w:numPr>
          <w:ilvl w:val="0"/>
          <w:numId w:val="1004"/>
        </w:numPr>
      </w:pPr>
      <w:r>
        <w:t xml:space="preserve">A reproducible research pipeline and, subject to permissions, de-identified data and model artefacts.</w:t>
      </w:r>
    </w:p>
    <w:bookmarkStart w:id="40" w:name="defensible-novelty-statement"/>
    <w:p>
      <w:pPr>
        <w:pStyle w:val="Heading3"/>
      </w:pPr>
      <w:r>
        <w:t xml:space="preserve">Defensible novelty statement</w:t>
      </w:r>
    </w:p>
    <w:p>
      <w:pPr>
        <w:pStyle w:val="BlockText"/>
      </w:pPr>
      <w:r>
        <w:t xml:space="preserve">Existing studies have separately demonstrated sequence-based handover prediction, future serving-cell prediction, adaptive mobility control and O-RAN-based predictive mobility. This research will investigate whether commercial LTE drive-test sequences can support multi-horizon handover and QoE forecasting that remains reliable under strict geographical holdout, calibrated uncertainty and OOD-aware abstention, while formally quantifying leakage caused by conventional row-level evaluation.</w:t>
      </w:r>
    </w:p>
    <w:p>
      <w:r>
        <w:pict>
          <v:rect style="width:0;height:1.5pt" o:hralign="center" o:hrstd="t" o:hr="t"/>
        </w:pict>
      </w:r>
    </w:p>
    <w:bookmarkEnd w:id="40"/>
    <w:bookmarkEnd w:id="41"/>
    <w:bookmarkStart w:id="48" w:name="research-methodology"/>
    <w:p>
      <w:pPr>
        <w:pStyle w:val="Heading1"/>
      </w:pPr>
      <w:r>
        <w:t xml:space="preserve">10. Research Methodology</w:t>
      </w:r>
    </w:p>
    <w:bookmarkStart w:id="42" w:name="overall-study-design"/>
    <w:p>
      <w:pPr>
        <w:pStyle w:val="Heading2"/>
      </w:pPr>
      <w:r>
        <w:t xml:space="preserve">10.1 Overall Study Design</w:t>
      </w:r>
    </w:p>
    <w:p>
      <w:pPr>
        <w:pStyle w:val="FirstParagraph"/>
      </w:pPr>
      <w:r>
        <w:t xml:space="preserve">The thesis will use an observational repeated-drive experimental design.</w:t>
      </w:r>
    </w:p>
    <w:p>
      <w:pPr>
        <w:pStyle w:val="BodyText"/>
      </w:pPr>
      <w:r>
        <w:t xml:space="preserve">An instrumented LTE UE will travel through predefined routes while maintaining controlled data activity to generate connected-state mobility conditions. XCAL will record available UE-side LTE measurements and signalling. GNSS/GPS and application-level service tests will provide mobility and QoE information.</w:t>
      </w:r>
    </w:p>
    <w:p>
      <w:pPr>
        <w:pStyle w:val="BodyText"/>
      </w:pPr>
      <w:r>
        <w:t xml:space="preserve">Models will be developed only on predefined development domains. At least one route will remain locked until the final external evaluation.</w:t>
      </w:r>
    </w:p>
    <w:p>
      <w:r>
        <w:pict>
          <v:rect style="width:0;height:1.5pt" o:hralign="center" o:hrstd="t" o:hr="t"/>
        </w:pict>
      </w:r>
    </w:p>
    <w:bookmarkEnd w:id="42"/>
    <w:bookmarkStart w:id="45" w:name="field-measurement-architecture"/>
    <w:p>
      <w:pPr>
        <w:pStyle w:val="Heading2"/>
      </w:pPr>
      <w:r>
        <w:t xml:space="preserve">10.2 Field Measurement Architecture</w:t>
      </w:r>
    </w:p>
    <w:bookmarkStart w:id="43" w:name="required-field-equipment"/>
    <w:p>
      <w:pPr>
        <w:pStyle w:val="Heading3"/>
      </w:pPr>
      <w:r>
        <w:t xml:space="preserve">Required field equipment</w:t>
      </w:r>
    </w:p>
    <w:p>
      <w:pPr>
        <w:pStyle w:val="Compact"/>
        <w:numPr>
          <w:ilvl w:val="0"/>
          <w:numId w:val="1005"/>
        </w:numPr>
      </w:pPr>
      <w:r>
        <w:t xml:space="preserve">one XCAL-compatible Exynos LTE UE;</w:t>
      </w:r>
    </w:p>
    <w:p>
      <w:pPr>
        <w:pStyle w:val="Compact"/>
        <w:numPr>
          <w:ilvl w:val="0"/>
          <w:numId w:val="1005"/>
        </w:numPr>
      </w:pPr>
      <w:r>
        <w:t xml:space="preserve">XCAL/XCAL-M field logging system;</w:t>
      </w:r>
    </w:p>
    <w:p>
      <w:pPr>
        <w:pStyle w:val="Compact"/>
        <w:numPr>
          <w:ilvl w:val="0"/>
          <w:numId w:val="1005"/>
        </w:numPr>
      </w:pPr>
      <w:r>
        <w:t xml:space="preserve">field laptop;</w:t>
      </w:r>
    </w:p>
    <w:p>
      <w:pPr>
        <w:pStyle w:val="Compact"/>
        <w:numPr>
          <w:ilvl w:val="0"/>
          <w:numId w:val="1005"/>
        </w:numPr>
      </w:pPr>
      <w:r>
        <w:t xml:space="preserve">GNSS/GPS source;</w:t>
      </w:r>
    </w:p>
    <w:p>
      <w:pPr>
        <w:pStyle w:val="Compact"/>
        <w:numPr>
          <w:ilvl w:val="0"/>
          <w:numId w:val="1005"/>
        </w:numPr>
      </w:pPr>
      <w:r>
        <w:t xml:space="preserve">SIM for each selected operator;</w:t>
      </w:r>
    </w:p>
    <w:p>
      <w:pPr>
        <w:pStyle w:val="Compact"/>
        <w:numPr>
          <w:ilvl w:val="0"/>
          <w:numId w:val="1005"/>
        </w:numPr>
      </w:pPr>
      <w:r>
        <w:t xml:space="preserve">stable UE mounting;</w:t>
      </w:r>
    </w:p>
    <w:p>
      <w:pPr>
        <w:pStyle w:val="Compact"/>
        <w:numPr>
          <w:ilvl w:val="0"/>
          <w:numId w:val="1005"/>
        </w:numPr>
      </w:pPr>
      <w:r>
        <w:t xml:space="preserve">vehicle power/inverter or suitable battery system;</w:t>
      </w:r>
    </w:p>
    <w:p>
      <w:pPr>
        <w:pStyle w:val="Compact"/>
        <w:numPr>
          <w:ilvl w:val="0"/>
          <w:numId w:val="1005"/>
        </w:numPr>
      </w:pPr>
      <w:r>
        <w:t xml:space="preserve">external data storage and backup.</w:t>
      </w:r>
    </w:p>
    <w:bookmarkEnd w:id="43"/>
    <w:bookmarkStart w:id="44" w:name="required-remote-infrastructure"/>
    <w:p>
      <w:pPr>
        <w:pStyle w:val="Heading3"/>
      </w:pPr>
      <w:r>
        <w:t xml:space="preserve">Required remote infrastructure</w:t>
      </w:r>
    </w:p>
    <w:p>
      <w:pPr>
        <w:pStyle w:val="FirstParagraph"/>
      </w:pPr>
      <w:r>
        <w:t xml:space="preserve">A second UE is</w:t>
      </w:r>
      <w:r>
        <w:t xml:space="preserve"> </w:t>
      </w:r>
      <w:r>
        <w:rPr>
          <w:b/>
          <w:bCs/>
        </w:rPr>
        <w:t xml:space="preserve">not required</w:t>
      </w:r>
      <w:r>
        <w:t xml:space="preserve"> </w:t>
      </w:r>
      <w:r>
        <w:t xml:space="preserve">for the primary thesis.</w:t>
      </w:r>
    </w:p>
    <w:p>
      <w:pPr>
        <w:pStyle w:val="BodyText"/>
      </w:pPr>
      <w:r>
        <w:t xml:space="preserve">Application-level QoE tests will instead use a remote IP endpoint such as:</w:t>
      </w:r>
    </w:p>
    <w:p>
      <w:pPr>
        <w:pStyle w:val="Compact"/>
        <w:numPr>
          <w:ilvl w:val="0"/>
          <w:numId w:val="1006"/>
        </w:numPr>
      </w:pPr>
      <w:r>
        <w:t xml:space="preserve">controlled iPerf server;</w:t>
      </w:r>
    </w:p>
    <w:p>
      <w:pPr>
        <w:pStyle w:val="Compact"/>
        <w:numPr>
          <w:ilvl w:val="0"/>
          <w:numId w:val="1006"/>
        </w:numPr>
      </w:pPr>
      <w:r>
        <w:t xml:space="preserve">HTTP/HTTPS server;</w:t>
      </w:r>
    </w:p>
    <w:p>
      <w:pPr>
        <w:pStyle w:val="Compact"/>
        <w:numPr>
          <w:ilvl w:val="0"/>
          <w:numId w:val="1006"/>
        </w:numPr>
      </w:pPr>
      <w:r>
        <w:t xml:space="preserve">FTP server where appropriate;</w:t>
      </w:r>
    </w:p>
    <w:p>
      <w:pPr>
        <w:pStyle w:val="Compact"/>
        <w:numPr>
          <w:ilvl w:val="0"/>
          <w:numId w:val="1006"/>
        </w:numPr>
      </w:pPr>
      <w:r>
        <w:t xml:space="preserve">reliable host for ICMP or equivalent RTT measurement.</w:t>
      </w:r>
    </w:p>
    <w:p>
      <w:pPr>
        <w:pStyle w:val="FirstParagraph"/>
      </w:pPr>
      <w:r>
        <w:t xml:space="preserve">Where institutional/network resources permit, the remote server should:</w:t>
      </w:r>
    </w:p>
    <w:p>
      <w:pPr>
        <w:pStyle w:val="Compact"/>
        <w:numPr>
          <w:ilvl w:val="0"/>
          <w:numId w:val="1007"/>
        </w:numPr>
      </w:pPr>
      <w:r>
        <w:t xml:space="preserve">have a stable location;</w:t>
      </w:r>
    </w:p>
    <w:p>
      <w:pPr>
        <w:pStyle w:val="Compact"/>
        <w:numPr>
          <w:ilvl w:val="0"/>
          <w:numId w:val="1007"/>
        </w:numPr>
      </w:pPr>
      <w:r>
        <w:t xml:space="preserve">use a high-capacity wired connection;</w:t>
      </w:r>
    </w:p>
    <w:p>
      <w:pPr>
        <w:pStyle w:val="Compact"/>
        <w:numPr>
          <w:ilvl w:val="0"/>
          <w:numId w:val="1007"/>
        </w:numPr>
      </w:pPr>
      <w:r>
        <w:t xml:space="preserve">avoid becoming the throughput bottleneck;</w:t>
      </w:r>
    </w:p>
    <w:p>
      <w:pPr>
        <w:pStyle w:val="Compact"/>
        <w:numPr>
          <w:ilvl w:val="0"/>
          <w:numId w:val="1007"/>
        </w:numPr>
      </w:pPr>
      <w:r>
        <w:t xml:space="preserve">retain consistent configuration throughout the campaign;</w:t>
      </w:r>
    </w:p>
    <w:p>
      <w:pPr>
        <w:pStyle w:val="Compact"/>
        <w:numPr>
          <w:ilvl w:val="0"/>
          <w:numId w:val="1007"/>
        </w:numPr>
      </w:pPr>
      <w:r>
        <w:t xml:space="preserve">optionally record server-side timestamps and transfer statistics.</w:t>
      </w:r>
    </w:p>
    <w:p>
      <w:pPr>
        <w:pStyle w:val="FirstParagraph"/>
      </w:pPr>
      <w:r>
        <w:t xml:space="preserve">A second UE may be used only for optional repeatability, multi-device benchmarking, simultaneous-operator comparison or mobile-to-mobile testing.</w:t>
      </w:r>
    </w:p>
    <w:p>
      <w:pPr>
        <w:pStyle w:val="BodyText"/>
      </w:pPr>
      <w:r>
        <w:t xml:space="preserve">Network-side eNodeB/OAM data are not required for the core study. If operator-side scheduler or cell-load information becomes available, it will be treated as an additional contextual feature rather than a prerequisite.</w:t>
      </w:r>
    </w:p>
    <w:p>
      <w:r>
        <w:pict>
          <v:rect style="width:0;height:1.5pt" o:hralign="center" o:hrstd="t" o:hr="t"/>
        </w:pict>
      </w:r>
    </w:p>
    <w:bookmarkEnd w:id="44"/>
    <w:bookmarkEnd w:id="45"/>
    <w:bookmarkStart w:id="46" w:name="xcal-feasibility-gate"/>
    <w:p>
      <w:pPr>
        <w:pStyle w:val="Heading2"/>
      </w:pPr>
      <w:r>
        <w:t xml:space="preserve">10.3 XCAL Feasibility Gate</w:t>
      </w:r>
    </w:p>
    <w:p>
      <w:pPr>
        <w:pStyle w:val="FirstParagraph"/>
      </w:pPr>
      <w:r>
        <w:t xml:space="preserve">Before the main campaign, a dedicated connected-mode pilot will determine exactly which variables are available under the current XCAL licence.</w:t>
      </w:r>
    </w:p>
    <w:p>
      <w:pPr>
        <w:pStyle w:val="BodyText"/>
      </w:pPr>
      <w:r>
        <w:t xml:space="preserve">The pilot will inspect:</w:t>
      </w:r>
    </w:p>
    <w:p>
      <w:pPr>
        <w:pStyle w:val="Compact"/>
        <w:numPr>
          <w:ilvl w:val="0"/>
          <w:numId w:val="1008"/>
        </w:numPr>
      </w:pPr>
      <w:r>
        <w:t xml:space="preserve">serving-cell identity;</w:t>
      </w:r>
    </w:p>
    <w:p>
      <w:pPr>
        <w:pStyle w:val="Compact"/>
        <w:numPr>
          <w:ilvl w:val="0"/>
          <w:numId w:val="1008"/>
        </w:numPr>
      </w:pPr>
      <w:r>
        <w:t xml:space="preserve">serving RSRP/RSRQ;</w:t>
      </w:r>
    </w:p>
    <w:p>
      <w:pPr>
        <w:pStyle w:val="Compact"/>
        <w:numPr>
          <w:ilvl w:val="0"/>
          <w:numId w:val="1008"/>
        </w:numPr>
      </w:pPr>
      <w:r>
        <w:t xml:space="preserve">SINR/CINR where available;</w:t>
      </w:r>
    </w:p>
    <w:p>
      <w:pPr>
        <w:pStyle w:val="Compact"/>
        <w:numPr>
          <w:ilvl w:val="0"/>
          <w:numId w:val="1008"/>
        </w:numPr>
      </w:pPr>
      <w:r>
        <w:t xml:space="preserve">neighbouring-cell RSRP/RSRQ;</w:t>
      </w:r>
    </w:p>
    <w:p>
      <w:pPr>
        <w:pStyle w:val="Compact"/>
        <w:numPr>
          <w:ilvl w:val="0"/>
          <w:numId w:val="1008"/>
        </w:numPr>
      </w:pPr>
      <w:r>
        <w:t xml:space="preserve">EARFCN/band;</w:t>
      </w:r>
    </w:p>
    <w:p>
      <w:pPr>
        <w:pStyle w:val="Compact"/>
        <w:numPr>
          <w:ilvl w:val="0"/>
          <w:numId w:val="1008"/>
        </w:numPr>
      </w:pPr>
      <w:r>
        <w:t xml:space="preserve">timestamps and sampling frequency;</w:t>
      </w:r>
    </w:p>
    <w:p>
      <w:pPr>
        <w:pStyle w:val="Compact"/>
        <w:numPr>
          <w:ilvl w:val="0"/>
          <w:numId w:val="1008"/>
        </w:numPr>
      </w:pPr>
      <w:r>
        <w:t xml:space="preserve">GPS and speed;</w:t>
      </w:r>
    </w:p>
    <w:p>
      <w:pPr>
        <w:pStyle w:val="Compact"/>
        <w:numPr>
          <w:ilvl w:val="0"/>
          <w:numId w:val="1008"/>
        </w:numPr>
      </w:pPr>
      <w:r>
        <w:t xml:space="preserve">LTE</w:t>
      </w:r>
      <w:r>
        <w:t xml:space="preserve"> </w:t>
      </w:r>
      <w:r>
        <w:rPr>
          <w:rStyle w:val="VerbatimChar"/>
        </w:rPr>
        <w:t xml:space="preserve">MeasurementReport</w:t>
      </w:r>
      <w:r>
        <w:t xml:space="preserve">;</w:t>
      </w:r>
    </w:p>
    <w:p>
      <w:pPr>
        <w:pStyle w:val="Compact"/>
        <w:numPr>
          <w:ilvl w:val="0"/>
          <w:numId w:val="1008"/>
        </w:numPr>
      </w:pPr>
      <w:r>
        <w:rPr>
          <w:rStyle w:val="VerbatimChar"/>
        </w:rPr>
        <w:t xml:space="preserve">RRCConnectionReconfiguration</w:t>
      </w:r>
      <w:r>
        <w:t xml:space="preserve">;</w:t>
      </w:r>
    </w:p>
    <w:p>
      <w:pPr>
        <w:pStyle w:val="Compact"/>
        <w:numPr>
          <w:ilvl w:val="0"/>
          <w:numId w:val="1008"/>
        </w:numPr>
      </w:pPr>
      <w:r>
        <w:rPr>
          <w:rStyle w:val="VerbatimChar"/>
        </w:rPr>
        <w:t xml:space="preserve">measConfig</w:t>
      </w:r>
      <w:r>
        <w:t xml:space="preserve">;</w:t>
      </w:r>
    </w:p>
    <w:p>
      <w:pPr>
        <w:pStyle w:val="Compact"/>
        <w:numPr>
          <w:ilvl w:val="0"/>
          <w:numId w:val="1008"/>
        </w:numPr>
      </w:pPr>
      <w:r>
        <w:rPr>
          <w:rStyle w:val="VerbatimChar"/>
        </w:rPr>
        <w:t xml:space="preserve">mobilityControlInfo</w:t>
      </w:r>
      <w:r>
        <w:t xml:space="preserve">;</w:t>
      </w:r>
    </w:p>
    <w:p>
      <w:pPr>
        <w:pStyle w:val="Compact"/>
        <w:numPr>
          <w:ilvl w:val="0"/>
          <w:numId w:val="1008"/>
        </w:numPr>
      </w:pPr>
      <w:r>
        <w:rPr>
          <w:rStyle w:val="VerbatimChar"/>
        </w:rPr>
        <w:t xml:space="preserve">RRCConnectionReconfigurationComplete</w:t>
      </w:r>
      <w:r>
        <w:t xml:space="preserve">;</w:t>
      </w:r>
    </w:p>
    <w:p>
      <w:pPr>
        <w:pStyle w:val="Compact"/>
        <w:numPr>
          <w:ilvl w:val="0"/>
          <w:numId w:val="1008"/>
        </w:numPr>
      </w:pPr>
      <w:r>
        <w:t xml:space="preserve">re-establishment messages;</w:t>
      </w:r>
    </w:p>
    <w:p>
      <w:pPr>
        <w:pStyle w:val="Compact"/>
        <w:numPr>
          <w:ilvl w:val="0"/>
          <w:numId w:val="1008"/>
        </w:numPr>
      </w:pPr>
      <w:r>
        <w:t xml:space="preserve">throughput;</w:t>
      </w:r>
    </w:p>
    <w:p>
      <w:pPr>
        <w:pStyle w:val="Compact"/>
        <w:numPr>
          <w:ilvl w:val="0"/>
          <w:numId w:val="1008"/>
        </w:numPr>
      </w:pPr>
      <w:r>
        <w:t xml:space="preserve">RTT;</w:t>
      </w:r>
    </w:p>
    <w:p>
      <w:pPr>
        <w:pStyle w:val="Compact"/>
        <w:numPr>
          <w:ilvl w:val="0"/>
          <w:numId w:val="1008"/>
        </w:numPr>
      </w:pPr>
      <w:r>
        <w:t xml:space="preserve">packet loss;</w:t>
      </w:r>
    </w:p>
    <w:p>
      <w:pPr>
        <w:pStyle w:val="Compact"/>
        <w:numPr>
          <w:ilvl w:val="0"/>
          <w:numId w:val="1008"/>
        </w:numPr>
      </w:pPr>
      <w:r>
        <w:t xml:space="preserve">service interruption.</w:t>
      </w:r>
    </w:p>
    <w:p>
      <w:pPr>
        <w:pStyle w:val="FirstParagraph"/>
      </w:pPr>
      <w:r>
        <w:t xml:space="preserve">The existing supplied XCAL capture does not demonstrate a complete intra-LTE connected-mode handover. Therefore, full signalling availability cannot currently be assumed.</w:t>
      </w:r>
    </w:p>
    <w:p>
      <w:pPr>
        <w:pStyle w:val="BodyText"/>
      </w:pPr>
      <w:r>
        <w:t xml:space="preserve">If continuous RF and serving-cell transitions are available but detailed A3 configuration is not, the thesis remains viable and will predict</w:t>
      </w:r>
      <w:r>
        <w:t xml:space="preserve"> </w:t>
      </w:r>
      <w:r>
        <w:rPr>
          <w:b/>
          <w:bCs/>
        </w:rPr>
        <w:t xml:space="preserve">observed handover/cell-transition events</w:t>
      </w:r>
      <w:r>
        <w:t xml:space="preserve">.</w:t>
      </w:r>
    </w:p>
    <w:p>
      <w:pPr>
        <w:pStyle w:val="BodyText"/>
      </w:pPr>
      <w:r>
        <w:t xml:space="preserve">Handover failure and RLF will be primary outcomes only if sufficient genuine signalling-confirmed events can be collected.</w:t>
      </w:r>
    </w:p>
    <w:p>
      <w:r>
        <w:pict>
          <v:rect style="width:0;height:1.5pt" o:hralign="center" o:hrstd="t" o:hr="t"/>
        </w:pict>
      </w:r>
    </w:p>
    <w:bookmarkEnd w:id="46"/>
    <w:bookmarkStart w:id="47" w:name="xcal-field-dictionary"/>
    <w:p>
      <w:pPr>
        <w:pStyle w:val="Heading2"/>
      </w:pPr>
      <w:r>
        <w:t xml:space="preserve">10.4 XCAL Field Dictionary</w:t>
      </w:r>
    </w:p>
    <w:p>
      <w:pPr>
        <w:pStyle w:val="FirstParagraph"/>
      </w:pPr>
      <w:r>
        <w:t xml:space="preserve">The pilot will produce a formal field dictionary with at least: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Availability</w:t>
            </w:r>
          </w:p>
        </w:tc>
        <w:tc>
          <w:tcPr/>
          <w:p>
            <w:pPr>
              <w:pStyle w:val="Compact"/>
            </w:pPr>
            <w:r>
              <w:t xml:space="preserve">Native sampling rate</w:t>
            </w:r>
          </w:p>
        </w:tc>
        <w:tc>
          <w:tcPr/>
          <w:p>
            <w:pPr>
              <w:pStyle w:val="Compact"/>
            </w:pPr>
            <w:r>
              <w:t xml:space="preserve">Timestamp resolution</w:t>
            </w:r>
          </w:p>
        </w:tc>
        <w:tc>
          <w:tcPr/>
          <w:p>
            <w:pPr>
              <w:pStyle w:val="Compact"/>
            </w:pPr>
            <w:r>
              <w:t xml:space="preserve">Missingness</w:t>
            </w:r>
          </w:p>
        </w:tc>
        <w:tc>
          <w:tcPr/>
          <w:p>
            <w:pPr>
              <w:pStyle w:val="Compact"/>
            </w:pPr>
            <w:r>
              <w:t xml:space="preserve">Export format</w:t>
            </w:r>
          </w:p>
        </w:tc>
      </w:tr>
      <w:tr>
        <w:tc>
          <w:tcPr/>
          <w:p>
            <w:pPr>
              <w:pStyle w:val="Compact"/>
            </w:pPr>
            <w:r>
              <w:t xml:space="preserve">Serving RSRP</w:t>
            </w:r>
          </w:p>
        </w:tc>
        <w:tc>
          <w:tcPr/>
          <w:p>
            <w:pPr>
              <w:pStyle w:val="Compact"/>
            </w:pPr>
            <w:r>
              <w:t xml:space="preserve">Pilot result</w:t>
            </w:r>
          </w:p>
        </w:tc>
        <w:tc>
          <w:tcPr/>
          <w:p>
            <w:pPr>
              <w:pStyle w:val="Compact"/>
            </w:pPr>
            <w:r>
              <w:t xml:space="preserve">Pilot result</w:t>
            </w:r>
          </w:p>
        </w:tc>
        <w:tc>
          <w:tcPr/>
          <w:p>
            <w:pPr>
              <w:pStyle w:val="Compact"/>
            </w:pPr>
            <w:r>
              <w:t xml:space="preserve">Pilot result</w:t>
            </w:r>
          </w:p>
        </w:tc>
        <w:tc>
          <w:tcPr/>
          <w:p>
            <w:pPr>
              <w:pStyle w:val="Compact"/>
            </w:pPr>
            <w:r>
              <w:t xml:space="preserve">Pilot result</w:t>
            </w:r>
          </w:p>
        </w:tc>
        <w:tc>
          <w:tcPr/>
          <w:p>
            <w:pPr>
              <w:pStyle w:val="Compact"/>
            </w:pPr>
            <w:r>
              <w:t xml:space="preserve">Pilot result</w:t>
            </w:r>
          </w:p>
        </w:tc>
      </w:tr>
      <w:tr>
        <w:tc>
          <w:tcPr/>
          <w:p>
            <w:pPr>
              <w:pStyle w:val="Compact"/>
            </w:pPr>
            <w:r>
              <w:t xml:space="preserve">Serving RSRQ</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SINR/CINR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Neighbour RSRP/RSRQ</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Serving cell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RRC events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GPS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Speed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Throughput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RTT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Packet loss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No sequence-window duration or synchronization tolerance will be finalised until these native measurement rates are known.</w:t>
      </w:r>
    </w:p>
    <w:p>
      <w:r>
        <w:pict>
          <v:rect style="width:0;height:1.5pt" o:hralign="center" o:hrstd="t" o:hr="t"/>
        </w:pict>
      </w:r>
    </w:p>
    <w:bookmarkEnd w:id="47"/>
    <w:bookmarkEnd w:id="48"/>
    <w:bookmarkStart w:id="49" w:name="experimental-route-design"/>
    <w:p>
      <w:pPr>
        <w:pStyle w:val="Heading1"/>
      </w:pPr>
      <w:r>
        <w:t xml:space="preserve">11. Experimental Route Design</w:t>
      </w:r>
    </w:p>
    <w:p>
      <w:pPr>
        <w:pStyle w:val="FirstParagraph"/>
      </w:pPr>
      <w:r>
        <w:t xml:space="preserve">The preferred campaign will contain approximately four route classes:</w:t>
      </w:r>
    </w:p>
    <w:p>
      <w:pPr>
        <w:pStyle w:val="Compact"/>
        <w:numPr>
          <w:ilvl w:val="0"/>
          <w:numId w:val="1009"/>
        </w:numPr>
      </w:pPr>
      <w:r>
        <w:t xml:space="preserve">dense urban;</w:t>
      </w:r>
    </w:p>
    <w:p>
      <w:pPr>
        <w:pStyle w:val="Compact"/>
        <w:numPr>
          <w:ilvl w:val="0"/>
          <w:numId w:val="1009"/>
        </w:numPr>
      </w:pPr>
      <w:r>
        <w:t xml:space="preserve">urban arterial;</w:t>
      </w:r>
    </w:p>
    <w:p>
      <w:pPr>
        <w:pStyle w:val="Compact"/>
        <w:numPr>
          <w:ilvl w:val="0"/>
          <w:numId w:val="1009"/>
        </w:numPr>
      </w:pPr>
      <w:r>
        <w:t xml:space="preserve">suburban/highway;</w:t>
      </w:r>
    </w:p>
    <w:p>
      <w:pPr>
        <w:pStyle w:val="Compact"/>
        <w:numPr>
          <w:ilvl w:val="0"/>
          <w:numId w:val="1009"/>
        </w:numPr>
      </w:pPr>
      <w:r>
        <w:t xml:space="preserve">urban canyon or another radio-complex environment where available.</w:t>
      </w:r>
    </w:p>
    <w:p>
      <w:pPr>
        <w:pStyle w:val="FirstParagraph"/>
      </w:pPr>
      <w:r>
        <w:t xml:space="preserve">Each route should be repeated:</w:t>
      </w:r>
    </w:p>
    <w:p>
      <w:pPr>
        <w:pStyle w:val="Compact"/>
        <w:numPr>
          <w:ilvl w:val="0"/>
          <w:numId w:val="1010"/>
        </w:numPr>
      </w:pPr>
      <w:r>
        <w:t xml:space="preserve">in both directions where meaningful;</w:t>
      </w:r>
    </w:p>
    <w:p>
      <w:pPr>
        <w:pStyle w:val="Compact"/>
        <w:numPr>
          <w:ilvl w:val="0"/>
          <w:numId w:val="1010"/>
        </w:numPr>
      </w:pPr>
      <w:r>
        <w:t xml:space="preserve">at different times of day;</w:t>
      </w:r>
    </w:p>
    <w:p>
      <w:pPr>
        <w:pStyle w:val="Compact"/>
        <w:numPr>
          <w:ilvl w:val="0"/>
          <w:numId w:val="1010"/>
        </w:numPr>
      </w:pPr>
      <w:r>
        <w:t xml:space="preserve">under predefined traffic/service modes;</w:t>
      </w:r>
    </w:p>
    <w:p>
      <w:pPr>
        <w:pStyle w:val="Compact"/>
        <w:numPr>
          <w:ilvl w:val="0"/>
          <w:numId w:val="1010"/>
        </w:numPr>
      </w:pPr>
      <w:r>
        <w:t xml:space="preserve">across multiple days;</w:t>
      </w:r>
    </w:p>
    <w:p>
      <w:pPr>
        <w:pStyle w:val="Compact"/>
        <w:numPr>
          <w:ilvl w:val="0"/>
          <w:numId w:val="1010"/>
        </w:numPr>
      </w:pPr>
      <w:r>
        <w:t xml:space="preserve">preferably with more than one operator if resources allow.</w:t>
      </w:r>
    </w:p>
    <w:p>
      <w:pPr>
        <w:pStyle w:val="FirstParagraph"/>
      </w:pPr>
      <w:r>
        <w:t xml:space="preserve">The dataset target will prioritise:</w:t>
      </w:r>
    </w:p>
    <w:p>
      <w:pPr>
        <w:pStyle w:val="BodyText"/>
      </w:pPr>
      <w:r>
        <w:t xml:space="preserve">[</w:t>
      </w:r>
      <w:r>
        <w:t xml:space="preserve"> </w:t>
      </w:r>
      <w:r>
        <w:t xml:space="preserve"> </w:t>
      </w:r>
      <w:r>
        <w:t xml:space="preserve">&gt;</w:t>
      </w:r>
      <w:r>
        <w:t xml:space="preserve"> </w:t>
      </w:r>
      <w:r>
        <w:t xml:space="preserve"> </w:t>
      </w:r>
      <w:r>
        <w:t xml:space="preserve">&gt;</w:t>
      </w:r>
      <w:r>
        <w:t xml:space="preserve"> </w:t>
      </w:r>
      <w:r>
        <w:t xml:space="preserve"> </w:t>
      </w:r>
      <w:r>
        <w:t xml:space="preserve">&gt;</w:t>
      </w:r>
      <w:r>
        <w:t xml:space="preserve"> </w:t>
      </w:r>
      <w:r>
        <w:t xml:space="preserve">.</w:t>
      </w:r>
      <w:r>
        <w:t xml:space="preserve"> </w:t>
      </w:r>
      <w:r>
        <w:t xml:space="preserve">]</w:t>
      </w:r>
    </w:p>
    <w:p>
      <w:pPr>
        <w:pStyle w:val="BodyText"/>
      </w:pPr>
      <w:r>
        <w:t xml:space="preserve">A desirable target remains approximately 1,000 observed handovers, but this will not be treated as a rigid statistical threshold.</w:t>
      </w:r>
    </w:p>
    <w:p>
      <w:pPr>
        <w:pStyle w:val="BodyText"/>
      </w:pPr>
      <w:r>
        <w:t xml:space="preserve">The earlier 100,000–300,000-row target will be treated only as a storage/planning estimate because row count depends strongly on sampling frequency.</w:t>
      </w:r>
    </w:p>
    <w:p>
      <w:pPr>
        <w:pStyle w:val="BodyText"/>
      </w:pPr>
      <w:r>
        <w:t xml:space="preserve">A minimum of approximately three routes and 60 repeated drives is desirable; approximately four routes and 120 drives would provide a stronger external-validation design where field resources permit.</w:t>
      </w:r>
    </w:p>
    <w:p>
      <w:r>
        <w:pict>
          <v:rect style="width:0;height:1.5pt" o:hralign="center" o:hrstd="t" o:hr="t"/>
        </w:pict>
      </w:r>
    </w:p>
    <w:bookmarkEnd w:id="49"/>
    <w:bookmarkStart w:id="50" w:name="data-partitioning-strategy"/>
    <w:p>
      <w:pPr>
        <w:pStyle w:val="Heading1"/>
      </w:pPr>
      <w:r>
        <w:t xml:space="preserve">12. Data Partitioning Strategy</w:t>
      </w:r>
    </w:p>
    <w:p>
      <w:pPr>
        <w:pStyle w:val="FirstParagraph"/>
      </w:pPr>
      <w:r>
        <w:t xml:space="preserve">The dataset will be partitioned by complete groups rather than individual measurements.</w:t>
      </w:r>
    </w:p>
    <w:p>
      <w:pPr>
        <w:pStyle w:val="BodyText"/>
      </w:pPr>
      <w:r>
        <w:t xml:space="preserve">Conceptually:</w:t>
      </w:r>
    </w:p>
    <w:p>
      <w:pPr>
        <w:pStyle w:val="BodyText"/>
      </w:pPr>
      <w:r>
        <w:rPr>
          <w:b/>
          <w:bCs/>
        </w:rPr>
        <w:t xml:space="preserve">Development domain</w:t>
      </w:r>
    </w:p>
    <w:p>
      <w:pPr>
        <w:pStyle w:val="Compact"/>
        <w:numPr>
          <w:ilvl w:val="0"/>
          <w:numId w:val="1011"/>
        </w:numPr>
      </w:pPr>
      <w:r>
        <w:t xml:space="preserve">training drives;</w:t>
      </w:r>
    </w:p>
    <w:p>
      <w:pPr>
        <w:pStyle w:val="Compact"/>
        <w:numPr>
          <w:ilvl w:val="0"/>
          <w:numId w:val="1011"/>
        </w:numPr>
      </w:pPr>
      <w:r>
        <w:t xml:space="preserve">grouped validation drives;</w:t>
      </w:r>
    </w:p>
    <w:p>
      <w:pPr>
        <w:pStyle w:val="Compact"/>
        <w:numPr>
          <w:ilvl w:val="0"/>
          <w:numId w:val="1011"/>
        </w:numPr>
      </w:pPr>
      <w:r>
        <w:t xml:space="preserve">dedicated calibration drives.</w:t>
      </w:r>
    </w:p>
    <w:p>
      <w:pPr>
        <w:pStyle w:val="FirstParagraph"/>
      </w:pPr>
      <w:r>
        <w:rPr>
          <w:b/>
          <w:bCs/>
        </w:rPr>
        <w:t xml:space="preserve">Locked external domain</w:t>
      </w:r>
    </w:p>
    <w:p>
      <w:pPr>
        <w:pStyle w:val="Compact"/>
        <w:numPr>
          <w:ilvl w:val="0"/>
          <w:numId w:val="1012"/>
        </w:numPr>
      </w:pPr>
      <w:r>
        <w:t xml:space="preserve">complete external route.</w:t>
      </w:r>
    </w:p>
    <w:p>
      <w:pPr>
        <w:pStyle w:val="FirstParagraph"/>
      </w:pPr>
      <w:r>
        <w:rPr>
          <w:b/>
          <w:bCs/>
        </w:rPr>
        <w:t xml:space="preserve">Optional external domain</w:t>
      </w:r>
    </w:p>
    <w:p>
      <w:pPr>
        <w:pStyle w:val="Compact"/>
        <w:numPr>
          <w:ilvl w:val="0"/>
          <w:numId w:val="1013"/>
        </w:numPr>
      </w:pPr>
      <w:r>
        <w:t xml:space="preserve">unseen operator and/or device.</w:t>
      </w:r>
    </w:p>
    <w:p>
      <w:pPr>
        <w:pStyle w:val="FirstParagraph"/>
      </w:pPr>
      <w:r>
        <w:t xml:space="preserve">No measurement from a drive assigned to one group will appear in another group.</w:t>
      </w:r>
    </w:p>
    <w:p>
      <w:pPr>
        <w:pStyle w:val="BodyText"/>
      </w:pPr>
      <w:r>
        <w:t xml:space="preserve">All:</w:t>
      </w:r>
    </w:p>
    <w:p>
      <w:pPr>
        <w:pStyle w:val="Compact"/>
        <w:numPr>
          <w:ilvl w:val="0"/>
          <w:numId w:val="1014"/>
        </w:numPr>
      </w:pPr>
      <w:r>
        <w:t xml:space="preserve">preprocessing parameters;</w:t>
      </w:r>
    </w:p>
    <w:p>
      <w:pPr>
        <w:pStyle w:val="Compact"/>
        <w:numPr>
          <w:ilvl w:val="0"/>
          <w:numId w:val="1014"/>
        </w:numPr>
      </w:pPr>
      <w:r>
        <w:t xml:space="preserve">imputation values;</w:t>
      </w:r>
    </w:p>
    <w:p>
      <w:pPr>
        <w:pStyle w:val="Compact"/>
        <w:numPr>
          <w:ilvl w:val="0"/>
          <w:numId w:val="1014"/>
        </w:numPr>
      </w:pPr>
      <w:r>
        <w:t xml:space="preserve">scaling statistics;</w:t>
      </w:r>
    </w:p>
    <w:p>
      <w:pPr>
        <w:pStyle w:val="Compact"/>
        <w:numPr>
          <w:ilvl w:val="0"/>
          <w:numId w:val="1014"/>
        </w:numPr>
      </w:pPr>
      <w:r>
        <w:t xml:space="preserve">feature-selection decisions;</w:t>
      </w:r>
    </w:p>
    <w:p>
      <w:pPr>
        <w:pStyle w:val="Compact"/>
        <w:numPr>
          <w:ilvl w:val="0"/>
          <w:numId w:val="1014"/>
        </w:numPr>
      </w:pPr>
      <w:r>
        <w:t xml:space="preserve">hyperparameters;</w:t>
      </w:r>
    </w:p>
    <w:p>
      <w:pPr>
        <w:pStyle w:val="Compact"/>
        <w:numPr>
          <w:ilvl w:val="0"/>
          <w:numId w:val="1014"/>
        </w:numPr>
      </w:pPr>
      <w:r>
        <w:t xml:space="preserve">uncertainty-calibration parameters;</w:t>
      </w:r>
    </w:p>
    <w:p>
      <w:pPr>
        <w:pStyle w:val="Compact"/>
        <w:numPr>
          <w:ilvl w:val="0"/>
          <w:numId w:val="1014"/>
        </w:numPr>
      </w:pPr>
      <w:r>
        <w:t xml:space="preserve">abstention thresholds</w:t>
      </w:r>
    </w:p>
    <w:p>
      <w:pPr>
        <w:pStyle w:val="FirstParagraph"/>
      </w:pPr>
      <w:r>
        <w:t xml:space="preserve">will be determined without access to the locked external-test route.</w:t>
      </w:r>
    </w:p>
    <w:p>
      <w:pPr>
        <w:pStyle w:val="BodyText"/>
      </w:pPr>
      <w:r>
        <w:t xml:space="preserve">Random row-level splitting will be implemented only as a controlled experiment for quantifying leakage.</w:t>
      </w:r>
    </w:p>
    <w:p>
      <w:r>
        <w:pict>
          <v:rect style="width:0;height:1.5pt" o:hralign="center" o:hrstd="t" o:hr="t"/>
        </w:pict>
      </w:r>
    </w:p>
    <w:bookmarkEnd w:id="50"/>
    <w:bookmarkStart w:id="51" w:name="data-synchronisation-and-quality-control"/>
    <w:p>
      <w:pPr>
        <w:pStyle w:val="Heading1"/>
      </w:pPr>
      <w:r>
        <w:t xml:space="preserve">13. Data Synchronisation and Quality Control</w:t>
      </w:r>
    </w:p>
    <w:p>
      <w:pPr>
        <w:pStyle w:val="FirstParagraph"/>
      </w:pPr>
      <w:r>
        <w:t xml:space="preserve">RF, signalling, GPS and application logs may contain different clocks and sampling intervals.</w:t>
      </w:r>
    </w:p>
    <w:p>
      <w:pPr>
        <w:pStyle w:val="BodyText"/>
      </w:pPr>
      <w:r>
        <w:t xml:space="preserve">Processing will therefore:</w:t>
      </w:r>
    </w:p>
    <w:p>
      <w:pPr>
        <w:pStyle w:val="Compact"/>
        <w:numPr>
          <w:ilvl w:val="0"/>
          <w:numId w:val="1015"/>
        </w:numPr>
      </w:pPr>
      <w:r>
        <w:t xml:space="preserve">preserve immutable raw timestamps;</w:t>
      </w:r>
    </w:p>
    <w:p>
      <w:pPr>
        <w:pStyle w:val="Compact"/>
        <w:numPr>
          <w:ilvl w:val="0"/>
          <w:numId w:val="1015"/>
        </w:numPr>
      </w:pPr>
      <w:r>
        <w:t xml:space="preserve">convert each log to a common time representation;</w:t>
      </w:r>
    </w:p>
    <w:p>
      <w:pPr>
        <w:pStyle w:val="Compact"/>
        <w:numPr>
          <w:ilvl w:val="0"/>
          <w:numId w:val="1015"/>
        </w:numPr>
      </w:pPr>
      <w:r>
        <w:t xml:space="preserve">estimate clock offset and, where required, clock drift;</w:t>
      </w:r>
    </w:p>
    <w:p>
      <w:pPr>
        <w:pStyle w:val="Compact"/>
        <w:numPr>
          <w:ilvl w:val="0"/>
          <w:numId w:val="1015"/>
        </w:numPr>
      </w:pPr>
      <w:r>
        <w:t xml:space="preserve">align RF, GPS, signalling and QoE streams;</w:t>
      </w:r>
    </w:p>
    <w:p>
      <w:pPr>
        <w:pStyle w:val="Compact"/>
        <w:numPr>
          <w:ilvl w:val="0"/>
          <w:numId w:val="1015"/>
        </w:numPr>
      </w:pPr>
      <w:r>
        <w:t xml:space="preserve">retain event timestamps without destructive interpolation;</w:t>
      </w:r>
    </w:p>
    <w:p>
      <w:pPr>
        <w:pStyle w:val="Compact"/>
        <w:numPr>
          <w:ilvl w:val="0"/>
          <w:numId w:val="1015"/>
        </w:numPr>
      </w:pPr>
      <w:r>
        <w:t xml:space="preserve">identify logging gaps;</w:t>
      </w:r>
    </w:p>
    <w:p>
      <w:pPr>
        <w:pStyle w:val="Compact"/>
        <w:numPr>
          <w:ilvl w:val="0"/>
          <w:numId w:val="1015"/>
        </w:numPr>
      </w:pPr>
      <w:r>
        <w:t xml:space="preserve">record interpolated observations explicitly;</w:t>
      </w:r>
    </w:p>
    <w:p>
      <w:pPr>
        <w:pStyle w:val="Compact"/>
        <w:numPr>
          <w:ilvl w:val="0"/>
          <w:numId w:val="1015"/>
        </w:numPr>
      </w:pPr>
      <w:r>
        <w:t xml:space="preserve">calculate per-drive synchronization quality.</w:t>
      </w:r>
    </w:p>
    <w:p>
      <w:pPr>
        <w:pStyle w:val="FirstParagraph"/>
      </w:pPr>
      <w:r>
        <w:t xml:space="preserve">An acceptance tolerance will be defined after the XCAL pilot reveals the measurement resolutions.</w:t>
      </w:r>
    </w:p>
    <w:p>
      <w:pPr>
        <w:pStyle w:val="BodyText"/>
      </w:pPr>
      <w:r>
        <w:t xml:space="preserve">Drives with irrecoverable timing uncertainty will be rejected according to pre-specified quality-control criteria.</w:t>
      </w:r>
    </w:p>
    <w:p>
      <w:r>
        <w:pict>
          <v:rect style="width:0;height:1.5pt" o:hralign="center" o:hrstd="t" o:hr="t"/>
        </w:pict>
      </w:r>
    </w:p>
    <w:bookmarkEnd w:id="51"/>
    <w:bookmarkStart w:id="57" w:name="feature-construction"/>
    <w:p>
      <w:pPr>
        <w:pStyle w:val="Heading1"/>
      </w:pPr>
      <w:r>
        <w:t xml:space="preserve">14. Feature Construction</w:t>
      </w:r>
    </w:p>
    <w:p>
      <w:pPr>
        <w:pStyle w:val="FirstParagraph"/>
      </w:pPr>
      <w:r>
        <w:t xml:space="preserve">Candidate variables include the following.</w:t>
      </w:r>
    </w:p>
    <w:bookmarkStart w:id="52" w:name="rf-features"/>
    <w:p>
      <w:pPr>
        <w:pStyle w:val="Heading2"/>
      </w:pPr>
      <w:r>
        <w:t xml:space="preserve">14.1 RF Features</w:t>
      </w:r>
    </w:p>
    <w:p>
      <w:pPr>
        <w:pStyle w:val="Compact"/>
        <w:numPr>
          <w:ilvl w:val="0"/>
          <w:numId w:val="1016"/>
        </w:numPr>
      </w:pPr>
      <w:r>
        <w:t xml:space="preserve">serving-cell RSRP;</w:t>
      </w:r>
    </w:p>
    <w:p>
      <w:pPr>
        <w:pStyle w:val="Compact"/>
        <w:numPr>
          <w:ilvl w:val="0"/>
          <w:numId w:val="1016"/>
        </w:numPr>
      </w:pPr>
      <w:r>
        <w:t xml:space="preserve">serving-cell RSRQ;</w:t>
      </w:r>
    </w:p>
    <w:p>
      <w:pPr>
        <w:pStyle w:val="Compact"/>
        <w:numPr>
          <w:ilvl w:val="0"/>
          <w:numId w:val="1016"/>
        </w:numPr>
      </w:pPr>
      <w:r>
        <w:t xml:space="preserve">SINR/CINR;</w:t>
      </w:r>
    </w:p>
    <w:p>
      <w:pPr>
        <w:pStyle w:val="Compact"/>
        <w:numPr>
          <w:ilvl w:val="0"/>
          <w:numId w:val="1016"/>
        </w:numPr>
      </w:pPr>
      <w:r>
        <w:t xml:space="preserve">top-k neighbouring-cell RSRP/RSRQ;</w:t>
      </w:r>
    </w:p>
    <w:p>
      <w:pPr>
        <w:pStyle w:val="Compact"/>
        <w:numPr>
          <w:ilvl w:val="0"/>
          <w:numId w:val="1016"/>
        </w:numPr>
      </w:pPr>
      <w:r>
        <w:t xml:space="preserve">serving-to-neighbour RF gaps;</w:t>
      </w:r>
    </w:p>
    <w:p>
      <w:pPr>
        <w:pStyle w:val="Compact"/>
        <w:numPr>
          <w:ilvl w:val="0"/>
          <w:numId w:val="1016"/>
        </w:numPr>
      </w:pPr>
      <w:r>
        <w:t xml:space="preserve">neighbour rank;</w:t>
      </w:r>
    </w:p>
    <w:p>
      <w:pPr>
        <w:pStyle w:val="Compact"/>
        <w:numPr>
          <w:ilvl w:val="0"/>
          <w:numId w:val="1016"/>
        </w:numPr>
      </w:pPr>
      <w:r>
        <w:t xml:space="preserve">rolling mean and variance;</w:t>
      </w:r>
    </w:p>
    <w:p>
      <w:pPr>
        <w:pStyle w:val="Compact"/>
        <w:numPr>
          <w:ilvl w:val="0"/>
          <w:numId w:val="1016"/>
        </w:numPr>
      </w:pPr>
      <w:r>
        <w:t xml:space="preserve">first-order RF derivatives;</w:t>
      </w:r>
    </w:p>
    <w:p>
      <w:pPr>
        <w:pStyle w:val="Compact"/>
        <w:numPr>
          <w:ilvl w:val="0"/>
          <w:numId w:val="1016"/>
        </w:numPr>
      </w:pPr>
      <w:r>
        <w:t xml:space="preserve">second-order RF derivatives;</w:t>
      </w:r>
    </w:p>
    <w:p>
      <w:pPr>
        <w:pStyle w:val="Compact"/>
        <w:numPr>
          <w:ilvl w:val="0"/>
          <w:numId w:val="1016"/>
        </w:numPr>
      </w:pPr>
      <w:r>
        <w:t xml:space="preserve">short-window fading/variability measures.</w:t>
      </w:r>
    </w:p>
    <w:bookmarkEnd w:id="52"/>
    <w:bookmarkStart w:id="53" w:name="mobility-features"/>
    <w:p>
      <w:pPr>
        <w:pStyle w:val="Heading2"/>
      </w:pPr>
      <w:r>
        <w:t xml:space="preserve">14.2 Mobility Features</w:t>
      </w:r>
    </w:p>
    <w:p>
      <w:pPr>
        <w:pStyle w:val="Compact"/>
        <w:numPr>
          <w:ilvl w:val="0"/>
          <w:numId w:val="1017"/>
        </w:numPr>
      </w:pPr>
      <w:r>
        <w:t xml:space="preserve">speed;</w:t>
      </w:r>
    </w:p>
    <w:p>
      <w:pPr>
        <w:pStyle w:val="Compact"/>
        <w:numPr>
          <w:ilvl w:val="0"/>
          <w:numId w:val="1017"/>
        </w:numPr>
      </w:pPr>
      <w:r>
        <w:t xml:space="preserve">acceleration;</w:t>
      </w:r>
    </w:p>
    <w:p>
      <w:pPr>
        <w:pStyle w:val="Compact"/>
        <w:numPr>
          <w:ilvl w:val="0"/>
          <w:numId w:val="1017"/>
        </w:numPr>
      </w:pPr>
      <w:r>
        <w:t xml:space="preserve">bearing;</w:t>
      </w:r>
    </w:p>
    <w:p>
      <w:pPr>
        <w:pStyle w:val="Compact"/>
        <w:numPr>
          <w:ilvl w:val="0"/>
          <w:numId w:val="1017"/>
        </w:numPr>
      </w:pPr>
      <w:r>
        <w:t xml:space="preserve">bearing change;</w:t>
      </w:r>
    </w:p>
    <w:p>
      <w:pPr>
        <w:pStyle w:val="Compact"/>
        <w:numPr>
          <w:ilvl w:val="0"/>
          <w:numId w:val="1017"/>
        </w:numPr>
      </w:pPr>
      <w:r>
        <w:t xml:space="preserve">travelled distance;</w:t>
      </w:r>
    </w:p>
    <w:p>
      <w:pPr>
        <w:pStyle w:val="Compact"/>
        <w:numPr>
          <w:ilvl w:val="0"/>
          <w:numId w:val="1017"/>
        </w:numPr>
      </w:pPr>
      <w:r>
        <w:t xml:space="preserve">stop duration;</w:t>
      </w:r>
    </w:p>
    <w:p>
      <w:pPr>
        <w:pStyle w:val="Compact"/>
        <w:numPr>
          <w:ilvl w:val="0"/>
          <w:numId w:val="1017"/>
        </w:numPr>
      </w:pPr>
      <w:r>
        <w:t xml:space="preserve">mobility-state indicators.</w:t>
      </w:r>
    </w:p>
    <w:bookmarkEnd w:id="53"/>
    <w:bookmarkStart w:id="54" w:name="cell-history-features"/>
    <w:p>
      <w:pPr>
        <w:pStyle w:val="Heading2"/>
      </w:pPr>
      <w:r>
        <w:t xml:space="preserve">14.3 Cell-History Features</w:t>
      </w:r>
    </w:p>
    <w:p>
      <w:pPr>
        <w:pStyle w:val="Compact"/>
        <w:numPr>
          <w:ilvl w:val="0"/>
          <w:numId w:val="1018"/>
        </w:numPr>
      </w:pPr>
      <w:r>
        <w:t xml:space="preserve">time since previous handover;</w:t>
      </w:r>
    </w:p>
    <w:p>
      <w:pPr>
        <w:pStyle w:val="Compact"/>
        <w:numPr>
          <w:ilvl w:val="0"/>
          <w:numId w:val="1018"/>
        </w:numPr>
      </w:pPr>
      <w:r>
        <w:t xml:space="preserve">current serving-cell dwell;</w:t>
      </w:r>
    </w:p>
    <w:p>
      <w:pPr>
        <w:pStyle w:val="Compact"/>
        <w:numPr>
          <w:ilvl w:val="0"/>
          <w:numId w:val="1018"/>
        </w:numPr>
      </w:pPr>
      <w:r>
        <w:t xml:space="preserve">prior transition sequence;</w:t>
      </w:r>
    </w:p>
    <w:p>
      <w:pPr>
        <w:pStyle w:val="Compact"/>
        <w:numPr>
          <w:ilvl w:val="0"/>
          <w:numId w:val="1018"/>
        </w:numPr>
      </w:pPr>
      <w:r>
        <w:t xml:space="preserve">return-to-source history;</w:t>
      </w:r>
    </w:p>
    <w:p>
      <w:pPr>
        <w:pStyle w:val="Compact"/>
        <w:numPr>
          <w:ilvl w:val="0"/>
          <w:numId w:val="1018"/>
        </w:numPr>
      </w:pPr>
      <w:r>
        <w:t xml:space="preserve">previous-cell relationship.</w:t>
      </w:r>
    </w:p>
    <w:bookmarkEnd w:id="54"/>
    <w:bookmarkStart w:id="55" w:name="qoe-features"/>
    <w:p>
      <w:pPr>
        <w:pStyle w:val="Heading2"/>
      </w:pPr>
      <w:r>
        <w:t xml:space="preserve">14.4 QoE Features</w:t>
      </w:r>
    </w:p>
    <w:p>
      <w:pPr>
        <w:pStyle w:val="FirstParagraph"/>
      </w:pPr>
      <w:r>
        <w:t xml:space="preserve">Where available:</w:t>
      </w:r>
    </w:p>
    <w:p>
      <w:pPr>
        <w:pStyle w:val="Compact"/>
        <w:numPr>
          <w:ilvl w:val="0"/>
          <w:numId w:val="1019"/>
        </w:numPr>
      </w:pPr>
      <w:r>
        <w:t xml:space="preserve">downlink throughput;</w:t>
      </w:r>
    </w:p>
    <w:p>
      <w:pPr>
        <w:pStyle w:val="Compact"/>
        <w:numPr>
          <w:ilvl w:val="0"/>
          <w:numId w:val="1019"/>
        </w:numPr>
      </w:pPr>
      <w:r>
        <w:t xml:space="preserve">uplink throughput;</w:t>
      </w:r>
    </w:p>
    <w:p>
      <w:pPr>
        <w:pStyle w:val="Compact"/>
        <w:numPr>
          <w:ilvl w:val="0"/>
          <w:numId w:val="1019"/>
        </w:numPr>
      </w:pPr>
      <w:r>
        <w:t xml:space="preserve">RTT;</w:t>
      </w:r>
    </w:p>
    <w:p>
      <w:pPr>
        <w:pStyle w:val="Compact"/>
        <w:numPr>
          <w:ilvl w:val="0"/>
          <w:numId w:val="1019"/>
        </w:numPr>
      </w:pPr>
      <w:r>
        <w:t xml:space="preserve">jitter;</w:t>
      </w:r>
    </w:p>
    <w:p>
      <w:pPr>
        <w:pStyle w:val="Compact"/>
        <w:numPr>
          <w:ilvl w:val="0"/>
          <w:numId w:val="1019"/>
        </w:numPr>
      </w:pPr>
      <w:r>
        <w:t xml:space="preserve">packet loss;</w:t>
      </w:r>
    </w:p>
    <w:p>
      <w:pPr>
        <w:pStyle w:val="Compact"/>
        <w:numPr>
          <w:ilvl w:val="0"/>
          <w:numId w:val="1019"/>
        </w:numPr>
      </w:pPr>
      <w:r>
        <w:t xml:space="preserve">service interruption;</w:t>
      </w:r>
    </w:p>
    <w:p>
      <w:pPr>
        <w:pStyle w:val="Compact"/>
        <w:numPr>
          <w:ilvl w:val="0"/>
          <w:numId w:val="1019"/>
        </w:numPr>
      </w:pPr>
      <w:r>
        <w:t xml:space="preserve">transfer completion time;</w:t>
      </w:r>
    </w:p>
    <w:p>
      <w:pPr>
        <w:pStyle w:val="Compact"/>
        <w:numPr>
          <w:ilvl w:val="0"/>
          <w:numId w:val="1019"/>
        </w:numPr>
      </w:pPr>
      <w:r>
        <w:t xml:space="preserve">recent QoE trends.</w:t>
      </w:r>
    </w:p>
    <w:bookmarkEnd w:id="55"/>
    <w:bookmarkStart w:id="56" w:name="contextual-features"/>
    <w:p>
      <w:pPr>
        <w:pStyle w:val="Heading2"/>
      </w:pPr>
      <w:r>
        <w:t xml:space="preserve">14.5 Contextual Features</w:t>
      </w:r>
    </w:p>
    <w:p>
      <w:pPr>
        <w:pStyle w:val="FirstParagraph"/>
      </w:pPr>
      <w:r>
        <w:t xml:space="preserve">Potential contextual variables include:</w:t>
      </w:r>
    </w:p>
    <w:p>
      <w:pPr>
        <w:pStyle w:val="Compact"/>
        <w:numPr>
          <w:ilvl w:val="0"/>
          <w:numId w:val="1020"/>
        </w:numPr>
      </w:pPr>
      <w:r>
        <w:t xml:space="preserve">operator;</w:t>
      </w:r>
    </w:p>
    <w:p>
      <w:pPr>
        <w:pStyle w:val="Compact"/>
        <w:numPr>
          <w:ilvl w:val="0"/>
          <w:numId w:val="1020"/>
        </w:numPr>
      </w:pPr>
      <w:r>
        <w:t xml:space="preserve">LTE band;</w:t>
      </w:r>
    </w:p>
    <w:p>
      <w:pPr>
        <w:pStyle w:val="Compact"/>
        <w:numPr>
          <w:ilvl w:val="0"/>
          <w:numId w:val="1020"/>
        </w:numPr>
      </w:pPr>
      <w:r>
        <w:t xml:space="preserve">EARFCN;</w:t>
      </w:r>
    </w:p>
    <w:p>
      <w:pPr>
        <w:pStyle w:val="Compact"/>
        <w:numPr>
          <w:ilvl w:val="0"/>
          <w:numId w:val="1020"/>
        </w:numPr>
      </w:pPr>
      <w:r>
        <w:t xml:space="preserve">traffic/service mode;</w:t>
      </w:r>
    </w:p>
    <w:p>
      <w:pPr>
        <w:pStyle w:val="Compact"/>
        <w:numPr>
          <w:ilvl w:val="0"/>
          <w:numId w:val="1020"/>
        </w:numPr>
      </w:pPr>
      <w:r>
        <w:t xml:space="preserve">time period;</w:t>
      </w:r>
    </w:p>
    <w:p>
      <w:pPr>
        <w:pStyle w:val="Compact"/>
        <w:numPr>
          <w:ilvl w:val="0"/>
          <w:numId w:val="1020"/>
        </w:numPr>
      </w:pPr>
      <w:r>
        <w:t xml:space="preserve">route class;</w:t>
      </w:r>
    </w:p>
    <w:p>
      <w:pPr>
        <w:pStyle w:val="Compact"/>
        <w:numPr>
          <w:ilvl w:val="0"/>
          <w:numId w:val="1020"/>
        </w:numPr>
      </w:pPr>
      <w:r>
        <w:t xml:space="preserve">weather or environmental metadata where consistently recorded.</w:t>
      </w:r>
    </w:p>
    <w:p>
      <w:r>
        <w:pict>
          <v:rect style="width:0;height:1.5pt" o:hralign="center" o:hrstd="t" o:hr="t"/>
        </w:pict>
      </w:r>
    </w:p>
    <w:bookmarkEnd w:id="56"/>
    <w:bookmarkEnd w:id="57"/>
    <w:bookmarkStart w:id="60" w:name="geographic-fingerprint-ablation"/>
    <w:p>
      <w:pPr>
        <w:pStyle w:val="Heading1"/>
      </w:pPr>
      <w:r>
        <w:t xml:space="preserve">15. Geographic-Fingerprint Ablation</w:t>
      </w:r>
    </w:p>
    <w:p>
      <w:pPr>
        <w:pStyle w:val="FirstParagraph"/>
      </w:pPr>
      <w:r>
        <w:t xml:space="preserve">To determine whether the model genuinely learns transferable radio dynamics or merely memorises geography, two major feature regimes will be evaluated.</w:t>
      </w:r>
    </w:p>
    <w:bookmarkStart w:id="58" w:name="regime-a-topology-agnostic"/>
    <w:p>
      <w:pPr>
        <w:pStyle w:val="Heading3"/>
      </w:pPr>
      <w:r>
        <w:t xml:space="preserve">Regime A — Topology-Agnostic</w:t>
      </w:r>
    </w:p>
    <w:p>
      <w:pPr>
        <w:pStyle w:val="FirstParagraph"/>
      </w:pPr>
      <w:r>
        <w:t xml:space="preserve">Exclude explicit location identifiers such as:</w:t>
      </w:r>
    </w:p>
    <w:p>
      <w:pPr>
        <w:pStyle w:val="Compact"/>
        <w:numPr>
          <w:ilvl w:val="0"/>
          <w:numId w:val="1021"/>
        </w:numPr>
      </w:pPr>
      <w:r>
        <w:t xml:space="preserve">absolute GPS coordinates;</w:t>
      </w:r>
    </w:p>
    <w:p>
      <w:pPr>
        <w:pStyle w:val="Compact"/>
        <w:numPr>
          <w:ilvl w:val="0"/>
          <w:numId w:val="1021"/>
        </w:numPr>
      </w:pPr>
      <w:r>
        <w:t xml:space="preserve">route ID;</w:t>
      </w:r>
    </w:p>
    <w:p>
      <w:pPr>
        <w:pStyle w:val="Compact"/>
        <w:numPr>
          <w:ilvl w:val="0"/>
          <w:numId w:val="1021"/>
        </w:numPr>
      </w:pPr>
      <w:r>
        <w:t xml:space="preserve">fixed serving-cell identity where possible.</w:t>
      </w:r>
    </w:p>
    <w:p>
      <w:pPr>
        <w:pStyle w:val="FirstParagraph"/>
      </w:pPr>
      <w:r>
        <w:t xml:space="preserve">Use relative measurements such as:</w:t>
      </w:r>
    </w:p>
    <w:p>
      <w:pPr>
        <w:pStyle w:val="Compact"/>
        <w:numPr>
          <w:ilvl w:val="0"/>
          <w:numId w:val="1022"/>
        </w:numPr>
      </w:pPr>
      <w:r>
        <w:t xml:space="preserve">serving RF;</w:t>
      </w:r>
    </w:p>
    <w:p>
      <w:pPr>
        <w:pStyle w:val="Compact"/>
        <w:numPr>
          <w:ilvl w:val="0"/>
          <w:numId w:val="1022"/>
        </w:numPr>
      </w:pPr>
      <w:r>
        <w:t xml:space="preserve">candidate-neighbour RF;</w:t>
      </w:r>
    </w:p>
    <w:p>
      <w:pPr>
        <w:pStyle w:val="Compact"/>
        <w:numPr>
          <w:ilvl w:val="0"/>
          <w:numId w:val="1022"/>
        </w:numPr>
      </w:pPr>
      <w:r>
        <w:t xml:space="preserve">RF gaps;</w:t>
      </w:r>
    </w:p>
    <w:p>
      <w:pPr>
        <w:pStyle w:val="Compact"/>
        <w:numPr>
          <w:ilvl w:val="0"/>
          <w:numId w:val="1022"/>
        </w:numPr>
      </w:pPr>
      <w:r>
        <w:t xml:space="preserve">trends;</w:t>
      </w:r>
    </w:p>
    <w:p>
      <w:pPr>
        <w:pStyle w:val="Compact"/>
        <w:numPr>
          <w:ilvl w:val="0"/>
          <w:numId w:val="1022"/>
        </w:numPr>
      </w:pPr>
      <w:r>
        <w:t xml:space="preserve">ranks;</w:t>
      </w:r>
    </w:p>
    <w:p>
      <w:pPr>
        <w:pStyle w:val="Compact"/>
        <w:numPr>
          <w:ilvl w:val="0"/>
          <w:numId w:val="1022"/>
        </w:numPr>
      </w:pPr>
      <w:r>
        <w:t xml:space="preserve">mobility;</w:t>
      </w:r>
    </w:p>
    <w:p>
      <w:pPr>
        <w:pStyle w:val="Compact"/>
        <w:numPr>
          <w:ilvl w:val="0"/>
          <w:numId w:val="1022"/>
        </w:numPr>
      </w:pPr>
      <w:r>
        <w:t xml:space="preserve">history;</w:t>
      </w:r>
    </w:p>
    <w:p>
      <w:pPr>
        <w:pStyle w:val="Compact"/>
        <w:numPr>
          <w:ilvl w:val="0"/>
          <w:numId w:val="1022"/>
        </w:numPr>
      </w:pPr>
      <w:r>
        <w:t xml:space="preserve">QoE.</w:t>
      </w:r>
    </w:p>
    <w:bookmarkEnd w:id="58"/>
    <w:bookmarkStart w:id="59" w:name="regime-b-context-rich"/>
    <w:p>
      <w:pPr>
        <w:pStyle w:val="Heading3"/>
      </w:pPr>
      <w:r>
        <w:t xml:space="preserve">Regime B — Context-Rich</w:t>
      </w:r>
    </w:p>
    <w:p>
      <w:pPr>
        <w:pStyle w:val="FirstParagraph"/>
      </w:pPr>
      <w:r>
        <w:t xml:space="preserve">Allow:</w:t>
      </w:r>
    </w:p>
    <w:p>
      <w:pPr>
        <w:pStyle w:val="Compact"/>
        <w:numPr>
          <w:ilvl w:val="0"/>
          <w:numId w:val="1023"/>
        </w:numPr>
      </w:pPr>
      <w:r>
        <w:t xml:space="preserve">location;</w:t>
      </w:r>
    </w:p>
    <w:p>
      <w:pPr>
        <w:pStyle w:val="Compact"/>
        <w:numPr>
          <w:ilvl w:val="0"/>
          <w:numId w:val="1023"/>
        </w:numPr>
      </w:pPr>
      <w:r>
        <w:t xml:space="preserve">route;</w:t>
      </w:r>
    </w:p>
    <w:p>
      <w:pPr>
        <w:pStyle w:val="Compact"/>
        <w:numPr>
          <w:ilvl w:val="0"/>
          <w:numId w:val="1023"/>
        </w:numPr>
      </w:pPr>
      <w:r>
        <w:t xml:space="preserve">cell identity;</w:t>
      </w:r>
    </w:p>
    <w:p>
      <w:pPr>
        <w:pStyle w:val="Compact"/>
        <w:numPr>
          <w:ilvl w:val="0"/>
          <w:numId w:val="1023"/>
        </w:numPr>
      </w:pPr>
      <w:r>
        <w:t xml:space="preserve">other deployment-specific context.</w:t>
      </w:r>
    </w:p>
    <w:p>
      <w:pPr>
        <w:pStyle w:val="FirstParagraph"/>
      </w:pPr>
      <w:r>
        <w:t xml:space="preserve">Comparing the regimes will quantify the value and potential leakage risk associated with geographical knowledge.</w:t>
      </w:r>
    </w:p>
    <w:p>
      <w:r>
        <w:pict>
          <v:rect style="width:0;height:1.5pt" o:hralign="center" o:hrstd="t" o:hr="t"/>
        </w:pict>
      </w:r>
    </w:p>
    <w:bookmarkEnd w:id="59"/>
    <w:bookmarkEnd w:id="60"/>
    <w:bookmarkStart w:id="67" w:name="label-construction"/>
    <w:p>
      <w:pPr>
        <w:pStyle w:val="Heading1"/>
      </w:pPr>
      <w:r>
        <w:t xml:space="preserve">16. Label Construction</w:t>
      </w:r>
    </w:p>
    <w:p>
      <w:pPr>
        <w:pStyle w:val="FirstParagraph"/>
      </w:pPr>
      <w:r>
        <w:t xml:space="preserve">Operational labels will be defined before final model development.</w:t>
      </w:r>
    </w:p>
    <w:bookmarkStart w:id="61" w:name="multi-horizon-handover-labels"/>
    <w:p>
      <w:pPr>
        <w:pStyle w:val="Heading2"/>
      </w:pPr>
      <w:r>
        <w:t xml:space="preserve">16.1 Multi-Horizon Handover Labels</w:t>
      </w:r>
    </w:p>
    <w:p>
      <w:pPr>
        <w:pStyle w:val="FirstParagraph"/>
      </w:pPr>
      <w:r>
        <w:t xml:space="preserve">For each observation time (t),</w:t>
      </w:r>
    </w:p>
    <w:p>
      <w:pPr>
        <w:pStyle w:val="BodyText"/>
      </w:pPr>
      <w:r>
        <w:t xml:space="preserve">[</w:t>
      </w:r>
      <w:r>
        <w:t xml:space="preserve"> </w:t>
      </w:r>
      <w:r>
        <w:t xml:space="preserve">y_t^{(h)} =</w:t>
      </w:r>
    </w:p>
    <w:p>
      <w:pPr>
        <w:pStyle w:val="BodyText"/>
      </w:pPr>
      <w:r>
        <w:t xml:space="preserve">]</w:t>
      </w:r>
    </w:p>
    <w:p>
      <w:pPr>
        <w:pStyle w:val="BodyText"/>
      </w:pPr>
      <w:r>
        <w:t xml:space="preserve">where:</w:t>
      </w:r>
    </w:p>
    <w:p>
      <w:pPr>
        <w:pStyle w:val="BodyText"/>
      </w:pPr>
      <w:r>
        <w:t xml:space="preserve">[</w:t>
      </w:r>
      <w:r>
        <w:t xml:space="preserve"> </w:t>
      </w:r>
      <w:r>
        <w:t xml:space="preserve">h</w:t>
      </w:r>
      <w:r>
        <w:t xml:space="preserve"> </w:t>
      </w:r>
      <w:r>
        <w:t xml:space="preserve">{0.5,1,2,3,5} </w:t>
      </w:r>
      <w:r>
        <w:t xml:space="preserve">.</w:t>
      </w:r>
      <w:r>
        <w:t xml:space="preserve"> </w:t>
      </w:r>
      <w:r>
        <w:t xml:space="preserve">]</w:t>
      </w:r>
    </w:p>
    <w:p>
      <w:pPr>
        <w:pStyle w:val="BodyText"/>
      </w:pPr>
      <w:r>
        <w:t xml:space="preserve">Rules will explicitly address:</w:t>
      </w:r>
    </w:p>
    <w:p>
      <w:pPr>
        <w:pStyle w:val="Compact"/>
        <w:numPr>
          <w:ilvl w:val="0"/>
          <w:numId w:val="1024"/>
        </w:numPr>
      </w:pPr>
      <w:r>
        <w:t xml:space="preserve">trace boundaries;</w:t>
      </w:r>
    </w:p>
    <w:p>
      <w:pPr>
        <w:pStyle w:val="Compact"/>
        <w:numPr>
          <w:ilvl w:val="0"/>
          <w:numId w:val="1024"/>
        </w:numPr>
      </w:pPr>
      <w:r>
        <w:t xml:space="preserve">missing logging intervals;</w:t>
      </w:r>
    </w:p>
    <w:p>
      <w:pPr>
        <w:pStyle w:val="Compact"/>
        <w:numPr>
          <w:ilvl w:val="0"/>
          <w:numId w:val="1024"/>
        </w:numPr>
      </w:pPr>
      <w:r>
        <w:t xml:space="preserve">post-handover exclusion windows;</w:t>
      </w:r>
    </w:p>
    <w:p>
      <w:pPr>
        <w:pStyle w:val="Compact"/>
        <w:numPr>
          <w:ilvl w:val="0"/>
          <w:numId w:val="1024"/>
        </w:numPr>
      </w:pPr>
      <w:r>
        <w:t xml:space="preserve">multiple HOs within one horizon;</w:t>
      </w:r>
    </w:p>
    <w:p>
      <w:pPr>
        <w:pStyle w:val="Compact"/>
        <w:numPr>
          <w:ilvl w:val="0"/>
          <w:numId w:val="1024"/>
        </w:numPr>
      </w:pPr>
      <w:r>
        <w:t xml:space="preserve">RRC idle periods;</w:t>
      </w:r>
    </w:p>
    <w:p>
      <w:pPr>
        <w:pStyle w:val="Compact"/>
        <w:numPr>
          <w:ilvl w:val="0"/>
          <w:numId w:val="1024"/>
        </w:numPr>
      </w:pPr>
      <w:r>
        <w:t xml:space="preserve">ambiguous cell changes;</w:t>
      </w:r>
    </w:p>
    <w:p>
      <w:pPr>
        <w:pStyle w:val="Compact"/>
        <w:numPr>
          <w:ilvl w:val="0"/>
          <w:numId w:val="1024"/>
        </w:numPr>
      </w:pPr>
      <w:r>
        <w:t xml:space="preserve">intra-LTE HO versus idle-mode reselection.</w:t>
      </w:r>
    </w:p>
    <w:bookmarkEnd w:id="61"/>
    <w:bookmarkStart w:id="62" w:name="target-cell"/>
    <w:p>
      <w:pPr>
        <w:pStyle w:val="Heading2"/>
      </w:pPr>
      <w:r>
        <w:t xml:space="preserve">16.2 Target Cell</w:t>
      </w:r>
    </w:p>
    <w:p>
      <w:pPr>
        <w:pStyle w:val="FirstParagraph"/>
      </w:pPr>
      <w:r>
        <w:t xml:space="preserve">For each genuine HO event, the destination cell will be identified where reliable signalling or cell-transition evidence is available.</w:t>
      </w:r>
    </w:p>
    <w:bookmarkEnd w:id="62"/>
    <w:bookmarkStart w:id="63" w:name="dwell-time"/>
    <w:p>
      <w:pPr>
        <w:pStyle w:val="Heading2"/>
      </w:pPr>
      <w:r>
        <w:t xml:space="preserve">16.3 Dwell Time</w:t>
      </w:r>
    </w:p>
    <w:p>
      <w:pPr>
        <w:pStyle w:val="FirstParagraph"/>
      </w:pPr>
      <w:r>
        <w:t xml:space="preserve">Target-cell dwell will be defined as the elapsed duration until the next valid serving-cell transition.</w:t>
      </w:r>
    </w:p>
    <w:bookmarkEnd w:id="63"/>
    <w:bookmarkStart w:id="64" w:name="ping-pong-and-short-stay"/>
    <w:p>
      <w:pPr>
        <w:pStyle w:val="Heading2"/>
      </w:pPr>
      <w:r>
        <w:t xml:space="preserve">16.4 Ping-Pong and Short Stay</w:t>
      </w:r>
    </w:p>
    <w:p>
      <w:pPr>
        <w:pStyle w:val="FirstParagraph"/>
      </w:pPr>
      <w:r>
        <w:t xml:space="preserve">A reproducible temporal definition will be selected before final analysis. The label specification will distinguish:</w:t>
      </w:r>
    </w:p>
    <w:p>
      <w:pPr>
        <w:pStyle w:val="Compact"/>
        <w:numPr>
          <w:ilvl w:val="0"/>
          <w:numId w:val="1025"/>
        </w:numPr>
      </w:pPr>
      <w:r>
        <w:t xml:space="preserve">return to the previous source cell;</w:t>
      </w:r>
    </w:p>
    <w:p>
      <w:pPr>
        <w:pStyle w:val="Compact"/>
        <w:numPr>
          <w:ilvl w:val="0"/>
          <w:numId w:val="1025"/>
        </w:numPr>
      </w:pPr>
      <w:r>
        <w:t xml:space="preserve">short target-cell residence;</w:t>
      </w:r>
    </w:p>
    <w:p>
      <w:pPr>
        <w:pStyle w:val="Compact"/>
        <w:numPr>
          <w:ilvl w:val="0"/>
          <w:numId w:val="1025"/>
        </w:numPr>
      </w:pPr>
      <w:r>
        <w:t xml:space="preserve">QoE-associated versus purely temporal events where data allow.</w:t>
      </w:r>
    </w:p>
    <w:bookmarkEnd w:id="64"/>
    <w:bookmarkStart w:id="65" w:name="qoe-degradation"/>
    <w:p>
      <w:pPr>
        <w:pStyle w:val="Heading2"/>
      </w:pPr>
      <w:r>
        <w:t xml:space="preserve">16.5 QoE Degradation</w:t>
      </w:r>
    </w:p>
    <w:p>
      <w:pPr>
        <w:pStyle w:val="FirstParagraph"/>
      </w:pPr>
      <w:r>
        <w:t xml:space="preserve">The exact operational threshold will be finalised after the pilot establishes available QoE fields and normal measurement ranges, but before the main modelling stage.</w:t>
      </w:r>
    </w:p>
    <w:p>
      <w:pPr>
        <w:pStyle w:val="BodyText"/>
      </w:pPr>
      <w:r>
        <w:t xml:space="preserve">Candidate criteria include:</w:t>
      </w:r>
    </w:p>
    <w:p>
      <w:pPr>
        <w:pStyle w:val="Compact"/>
        <w:numPr>
          <w:ilvl w:val="0"/>
          <w:numId w:val="1026"/>
        </w:numPr>
      </w:pPr>
      <w:r>
        <w:t xml:space="preserve">substantial throughput degradation;</w:t>
      </w:r>
    </w:p>
    <w:p>
      <w:pPr>
        <w:pStyle w:val="Compact"/>
        <w:numPr>
          <w:ilvl w:val="0"/>
          <w:numId w:val="1026"/>
        </w:numPr>
      </w:pPr>
      <w:r>
        <w:t xml:space="preserve">elevated RTT;</w:t>
      </w:r>
    </w:p>
    <w:p>
      <w:pPr>
        <w:pStyle w:val="Compact"/>
        <w:numPr>
          <w:ilvl w:val="0"/>
          <w:numId w:val="1026"/>
        </w:numPr>
      </w:pPr>
      <w:r>
        <w:t xml:space="preserve">packet loss;</w:t>
      </w:r>
    </w:p>
    <w:p>
      <w:pPr>
        <w:pStyle w:val="Compact"/>
        <w:numPr>
          <w:ilvl w:val="0"/>
          <w:numId w:val="1026"/>
        </w:numPr>
      </w:pPr>
      <w:r>
        <w:t xml:space="preserve">service interruption;</w:t>
      </w:r>
    </w:p>
    <w:p>
      <w:pPr>
        <w:pStyle w:val="Compact"/>
        <w:numPr>
          <w:ilvl w:val="0"/>
          <w:numId w:val="1026"/>
        </w:numPr>
      </w:pPr>
      <w:r>
        <w:t xml:space="preserve">combined QoE degradation.</w:t>
      </w:r>
    </w:p>
    <w:p>
      <w:pPr>
        <w:pStyle w:val="FirstParagraph"/>
      </w:pPr>
      <w:r>
        <w:t xml:space="preserve">No threshold will be selected after inspecting external-test model performance.</w:t>
      </w:r>
    </w:p>
    <w:bookmarkEnd w:id="65"/>
    <w:bookmarkStart w:id="66" w:name="hof-and-rlf"/>
    <w:p>
      <w:pPr>
        <w:pStyle w:val="Heading2"/>
      </w:pPr>
      <w:r>
        <w:t xml:space="preserve">16.6 HOF and RLF</w:t>
      </w:r>
    </w:p>
    <w:p>
      <w:pPr>
        <w:pStyle w:val="FirstParagraph"/>
      </w:pPr>
      <w:r>
        <w:t xml:space="preserve">Handover failure and radio-link failure will remain secondary/exploratory unless sufficient signalling-confirmed events are captured.</w:t>
      </w:r>
    </w:p>
    <w:p>
      <w:pPr>
        <w:pStyle w:val="BodyText"/>
      </w:pPr>
      <w:r>
        <w:t xml:space="preserve">Low RSRP alone will not be labelled as an RLF.</w:t>
      </w:r>
    </w:p>
    <w:p>
      <w:r>
        <w:pict>
          <v:rect style="width:0;height:1.5pt" o:hralign="center" o:hrstd="t" o:hr="t"/>
        </w:pict>
      </w:r>
    </w:p>
    <w:bookmarkEnd w:id="66"/>
    <w:bookmarkEnd w:id="67"/>
    <w:bookmarkStart w:id="68" w:name="target-cell-prediction-method"/>
    <w:p>
      <w:pPr>
        <w:pStyle w:val="Heading1"/>
      </w:pPr>
      <w:r>
        <w:t xml:space="preserve">17. Target-Cell Prediction Method</w:t>
      </w:r>
    </w:p>
    <w:p>
      <w:pPr>
        <w:pStyle w:val="FirstParagraph"/>
      </w:pPr>
      <w:r>
        <w:t xml:space="preserve">A conventional fixed softmax classifier over Cell IDs creates a major external-validation problem. If the training set contains cells (A,B,C,D) and the held-out route contains previously unseen cells (X,Y,Z), the classifier cannot naturally output (X,Y,Z).</w:t>
      </w:r>
    </w:p>
    <w:p>
      <w:pPr>
        <w:pStyle w:val="BodyText"/>
      </w:pPr>
      <w:r>
        <w:t xml:space="preserve">The primary target-cell method will therefore use</w:t>
      </w:r>
      <w:r>
        <w:t xml:space="preserve"> </w:t>
      </w:r>
      <w:r>
        <w:rPr>
          <w:b/>
          <w:bCs/>
        </w:rPr>
        <w:t xml:space="preserve">candidate-neighbour ranking</w:t>
      </w:r>
      <w:r>
        <w:t xml:space="preserve">.</w:t>
      </w:r>
    </w:p>
    <w:p>
      <w:pPr>
        <w:pStyle w:val="BodyText"/>
      </w:pPr>
      <w:r>
        <w:t xml:space="preserve">For candidate neighbour (i), the model will compute:</w:t>
      </w:r>
    </w:p>
    <w:p>
      <w:pPr>
        <w:pStyle w:val="BodyText"/>
      </w:pPr>
      <w:r>
        <w:t xml:space="preserve">[</w:t>
      </w:r>
      <w:r>
        <w:t xml:space="preserve"> </w:t>
      </w:r>
      <w:r>
        <w:t xml:space="preserve">s_i =</w:t>
      </w:r>
      <w:r>
        <w:t xml:space="preserve"> </w:t>
      </w:r>
      <w:r>
        <w:t xml:space="preserve">f(</w:t>
      </w:r>
      <w:r>
        <w:t xml:space="preserve"> </w:t>
      </w:r>
      <w:r>
        <w:t xml:space="preserve">R_i,</w:t>
      </w:r>
      <w:r>
        <w:t xml:space="preserve"> </w:t>
      </w:r>
      <w:r>
        <w:t xml:space="preserve">R_i,</w:t>
      </w:r>
      <w:r>
        <w:t xml:space="preserve"> </w:t>
      </w:r>
      <w:r>
        <w:t xml:space="preserve">Q_i,</w:t>
      </w:r>
      <w:r>
        <w:t xml:space="preserve"> </w:t>
      </w:r>
      <w:r>
        <w:t xml:space="preserve">_i,</w:t>
      </w:r>
      <w:r>
        <w:t xml:space="preserve"> </w:t>
      </w:r>
      <w:r>
        <w:t xml:space="preserve">_i,</w:t>
      </w:r>
      <w:r>
        <w:t xml:space="preserve"> </w:t>
      </w:r>
      <w:r>
        <w:t xml:space="preserve">,</w:t>
      </w:r>
      <w:r>
        <w:t xml:space="preserve"> </w:t>
      </w:r>
      <w:r>
        <w:t xml:space="preserve"> </w:t>
      </w:r>
      <w:r>
        <w:t xml:space="preserve">)</w:t>
      </w:r>
      <w:r>
        <w:t xml:space="preserve"> </w:t>
      </w:r>
      <w:r>
        <w:t xml:space="preserve">]</w:t>
      </w:r>
    </w:p>
    <w:p>
      <w:pPr>
        <w:pStyle w:val="BodyText"/>
      </w:pPr>
      <w:r>
        <w:t xml:space="preserve">where (s_i) represents the predicted suitability/probability of candidate (i) becoming the next serving cell.</w:t>
      </w:r>
    </w:p>
    <w:p>
      <w:pPr>
        <w:pStyle w:val="BodyText"/>
      </w:pPr>
      <w:r>
        <w:t xml:space="preserve">The predicted target is:</w:t>
      </w:r>
    </w:p>
    <w:p>
      <w:pPr>
        <w:pStyle w:val="BodyText"/>
      </w:pPr>
      <w:r>
        <w:t xml:space="preserve">[</w:t>
      </w:r>
      <w:r>
        <w:t xml:space="preserve"> </w:t>
      </w:r>
      <w:r>
        <w:t xml:space="preserve"> </w:t>
      </w:r>
      <w:r>
        <w:t xml:space="preserve">=</w:t>
      </w:r>
      <w:r>
        <w:t xml:space="preserve"> </w:t>
      </w:r>
      <w:r>
        <w:t xml:space="preserve">_i s_i.</w:t>
      </w:r>
      <w:r>
        <w:t xml:space="preserve"> </w:t>
      </w:r>
      <w:r>
        <w:t xml:space="preserve">]</w:t>
      </w:r>
    </w:p>
    <w:p>
      <w:pPr>
        <w:pStyle w:val="BodyText"/>
      </w:pPr>
      <w:r>
        <w:t xml:space="preserve">A fixed Cell-ID classifier may still be implemented as a baseline for known-route performance.</w:t>
      </w:r>
    </w:p>
    <w:p>
      <w:r>
        <w:pict>
          <v:rect style="width:0;height:1.5pt" o:hralign="center" o:hrstd="t" o:hr="t"/>
        </w:pict>
      </w:r>
    </w:p>
    <w:bookmarkEnd w:id="68"/>
    <w:bookmarkStart w:id="73" w:name="baseline-models"/>
    <w:p>
      <w:pPr>
        <w:pStyle w:val="Heading1"/>
      </w:pPr>
      <w:r>
        <w:t xml:space="preserve">18. Baseline Models</w:t>
      </w:r>
    </w:p>
    <w:p>
      <w:pPr>
        <w:pStyle w:val="FirstParagraph"/>
      </w:pPr>
      <w:r>
        <w:t xml:space="preserve">The model comparison will be intentionally limited to scientifically informative baselines.</w:t>
      </w:r>
    </w:p>
    <w:bookmarkStart w:id="69" w:name="trivialrule-baseline"/>
    <w:p>
      <w:pPr>
        <w:pStyle w:val="Heading3"/>
      </w:pPr>
      <w:r>
        <w:t xml:space="preserve">Trivial/rule baseline</w:t>
      </w:r>
    </w:p>
    <w:p>
      <w:pPr>
        <w:pStyle w:val="Compact"/>
        <w:numPr>
          <w:ilvl w:val="0"/>
          <w:numId w:val="1027"/>
        </w:numPr>
      </w:pPr>
      <w:r>
        <w:t xml:space="preserve">persistence/no-HO baseline;</w:t>
      </w:r>
    </w:p>
    <w:p>
      <w:pPr>
        <w:pStyle w:val="Compact"/>
        <w:numPr>
          <w:ilvl w:val="0"/>
          <w:numId w:val="1027"/>
        </w:numPr>
      </w:pPr>
      <w:r>
        <w:t xml:space="preserve">simple RF-gap or trend-based rule;</w:t>
      </w:r>
    </w:p>
    <w:p>
      <w:pPr>
        <w:pStyle w:val="Compact"/>
        <w:numPr>
          <w:ilvl w:val="0"/>
          <w:numId w:val="1027"/>
        </w:numPr>
      </w:pPr>
      <w:r>
        <w:t xml:space="preserve">conventional A3-inspired rule where required parameters are available.</w:t>
      </w:r>
    </w:p>
    <w:bookmarkEnd w:id="69"/>
    <w:bookmarkStart w:id="70" w:name="classical-statistical-baseline"/>
    <w:p>
      <w:pPr>
        <w:pStyle w:val="Heading3"/>
      </w:pPr>
      <w:r>
        <w:t xml:space="preserve">Classical statistical baseline</w:t>
      </w:r>
    </w:p>
    <w:p>
      <w:pPr>
        <w:pStyle w:val="Compact"/>
        <w:numPr>
          <w:ilvl w:val="0"/>
          <w:numId w:val="1028"/>
        </w:numPr>
      </w:pPr>
      <w:r>
        <w:t xml:space="preserve">logistic regression.</w:t>
      </w:r>
    </w:p>
    <w:bookmarkEnd w:id="70"/>
    <w:bookmarkStart w:id="71" w:name="strong-tabular-baseline"/>
    <w:p>
      <w:pPr>
        <w:pStyle w:val="Heading3"/>
      </w:pPr>
      <w:r>
        <w:t xml:space="preserve">Strong tabular baseline</w:t>
      </w:r>
    </w:p>
    <w:p>
      <w:pPr>
        <w:pStyle w:val="Compact"/>
        <w:numPr>
          <w:ilvl w:val="0"/>
          <w:numId w:val="1029"/>
        </w:numPr>
      </w:pPr>
      <w:r>
        <w:t xml:space="preserve">XGBoost or LightGBM.</w:t>
      </w:r>
    </w:p>
    <w:bookmarkEnd w:id="71"/>
    <w:bookmarkStart w:id="72" w:name="snapshot-neural-baseline"/>
    <w:p>
      <w:pPr>
        <w:pStyle w:val="Heading3"/>
      </w:pPr>
      <w:r>
        <w:t xml:space="preserve">Snapshot neural baseline</w:t>
      </w:r>
    </w:p>
    <w:p>
      <w:pPr>
        <w:pStyle w:val="Compact"/>
        <w:numPr>
          <w:ilvl w:val="0"/>
          <w:numId w:val="1030"/>
        </w:numPr>
      </w:pPr>
      <w:r>
        <w:t xml:space="preserve">compact MLP where justified.</w:t>
      </w:r>
    </w:p>
    <w:p>
      <w:pPr>
        <w:pStyle w:val="FirstParagraph"/>
      </w:pPr>
      <w:r>
        <w:t xml:space="preserve">These models will use exactly the same grouped development and test domains as the temporal models.</w:t>
      </w:r>
    </w:p>
    <w:p>
      <w:r>
        <w:pict>
          <v:rect style="width:0;height:1.5pt" o:hralign="center" o:hrstd="t" o:hr="t"/>
        </w:pict>
      </w:r>
    </w:p>
    <w:bookmarkEnd w:id="72"/>
    <w:bookmarkEnd w:id="73"/>
    <w:bookmarkStart w:id="74" w:name="temporal-models"/>
    <w:p>
      <w:pPr>
        <w:pStyle w:val="Heading1"/>
      </w:pPr>
      <w:r>
        <w:t xml:space="preserve">19. Temporal Models</w:t>
      </w:r>
    </w:p>
    <w:p>
      <w:pPr>
        <w:pStyle w:val="FirstParagraph"/>
      </w:pPr>
      <w:r>
        <w:t xml:space="preserve">The primary temporal architectures will be:</w:t>
      </w:r>
    </w:p>
    <w:p>
      <w:pPr>
        <w:pStyle w:val="Compact"/>
        <w:numPr>
          <w:ilvl w:val="0"/>
          <w:numId w:val="1031"/>
        </w:numPr>
      </w:pPr>
      <w:r>
        <w:t xml:space="preserve">GRU;</w:t>
      </w:r>
    </w:p>
    <w:p>
      <w:pPr>
        <w:pStyle w:val="Compact"/>
        <w:numPr>
          <w:ilvl w:val="0"/>
          <w:numId w:val="1031"/>
        </w:numPr>
      </w:pPr>
      <w:r>
        <w:t xml:space="preserve">TCN;</w:t>
      </w:r>
    </w:p>
    <w:p>
      <w:pPr>
        <w:pStyle w:val="Compact"/>
        <w:numPr>
          <w:ilvl w:val="0"/>
          <w:numId w:val="1031"/>
        </w:numPr>
      </w:pPr>
      <w:r>
        <w:t xml:space="preserve">Transformer.</w:t>
      </w:r>
    </w:p>
    <w:p>
      <w:pPr>
        <w:pStyle w:val="FirstParagraph"/>
      </w:pPr>
      <w:r>
        <w:t xml:space="preserve">LSTM may be retained for direct comparability with published sequence literature [16].</w:t>
      </w:r>
    </w:p>
    <w:p>
      <w:pPr>
        <w:pStyle w:val="BodyText"/>
      </w:pPr>
      <w:r>
        <w:t xml:space="preserve">HMM and additional neural architectures will not be included unless they answer a specific research question.</w:t>
      </w:r>
    </w:p>
    <w:p>
      <w:pPr>
        <w:pStyle w:val="BodyText"/>
      </w:pPr>
      <w:r>
        <w:t xml:space="preserve">A typical sequence input is:</w:t>
      </w:r>
    </w:p>
    <w:p>
      <w:pPr>
        <w:pStyle w:val="BodyText"/>
      </w:pPr>
      <w:r>
        <w:t xml:space="preserve">[</w:t>
      </w:r>
      <w:r>
        <w:t xml:space="preserve"> </w:t>
      </w:r>
      <w:r>
        <w:t xml:space="preserve">X_{t-L:t}</w:t>
      </w:r>
      <w:r>
        <w:t xml:space="preserve"> </w:t>
      </w:r>
      <w:r>
        <w:t xml:space="preserve">=</w:t>
      </w:r>
      <w:r>
        <w:t xml:space="preserve"> </w:t>
      </w:r>
      <w:r>
        <w:t xml:space="preserve">[x_{t-L},…,x_t]</w:t>
      </w:r>
      <w:r>
        <w:t xml:space="preserve"> </w:t>
      </w:r>
      <w:r>
        <w:t xml:space="preserve">]</w:t>
      </w:r>
    </w:p>
    <w:p>
      <w:pPr>
        <w:pStyle w:val="BodyText"/>
      </w:pPr>
      <w:r>
        <w:t xml:space="preserve">which is encoded as:</w:t>
      </w:r>
    </w:p>
    <w:p>
      <w:pPr>
        <w:pStyle w:val="BodyText"/>
      </w:pPr>
      <w:r>
        <w:t xml:space="preserve">[</w:t>
      </w:r>
      <w:r>
        <w:t xml:space="preserve"> </w:t>
      </w:r>
      <w:r>
        <w:t xml:space="preserve">z_t = f_</w:t>
      </w:r>
      <w:r>
        <w:t xml:space="preserve">(X_{t-L:t}).</w:t>
      </w:r>
      <w:r>
        <w:t xml:space="preserve"> </w:t>
      </w:r>
      <w:r>
        <w:t xml:space="preserve">]</w:t>
      </w:r>
    </w:p>
    <w:p>
      <w:pPr>
        <w:pStyle w:val="BodyText"/>
      </w:pPr>
      <w:r>
        <w:t xml:space="preserve">Prediction heads may then estimate:</w:t>
      </w:r>
    </w:p>
    <w:p>
      <w:pPr>
        <w:pStyle w:val="BodyText"/>
      </w:pPr>
      <w:r>
        <w:t xml:space="preserve">[</w:t>
      </w:r>
      <w:r>
        <w:t xml:space="preserve"> </w:t>
      </w:r>
      <w:r>
        <w:t xml:space="preserve">P(HO_{t+h}),</w:t>
      </w:r>
      <w:r>
        <w:t xml:space="preserve"> </w:t>
      </w:r>
      <w:r>
        <w:t xml:space="preserve">]</w:t>
      </w:r>
    </w:p>
    <w:p>
      <w:pPr>
        <w:pStyle w:val="BodyText"/>
      </w:pPr>
      <w:r>
        <w:t xml:space="preserve">[</w:t>
      </w:r>
      <w:r>
        <w:t xml:space="preserve"> </w:t>
      </w:r>
      <w:r>
        <w:t xml:space="preserve">P(QoE degradation_{t+h}),</w:t>
      </w:r>
      <w:r>
        <w:t xml:space="preserve"> </w:t>
      </w:r>
      <w:r>
        <w:t xml:space="preserve">]</w:t>
      </w:r>
    </w:p>
    <w:p>
      <w:pPr>
        <w:pStyle w:val="BodyText"/>
      </w:pPr>
      <w:r>
        <w:t xml:space="preserve">[</w:t>
      </w:r>
      <w:r>
        <w:t xml:space="preserve"> </w:t>
      </w:r>
      <w:r>
        <w:t xml:space="preserve">P(target=i),</w:t>
      </w:r>
      <w:r>
        <w:t xml:space="preserve"> </w:t>
      </w:r>
      <w:r>
        <w:t xml:space="preserve">]</w:t>
      </w:r>
    </w:p>
    <w:p>
      <w:pPr>
        <w:pStyle w:val="BodyText"/>
      </w:pPr>
      <w:r>
        <w:t xml:space="preserve">and, where appropriate,</w:t>
      </w:r>
    </w:p>
    <w:p>
      <w:pPr>
        <w:pStyle w:val="BodyText"/>
      </w:pPr>
      <w:r>
        <w:t xml:space="preserve">[</w:t>
      </w:r>
      <w:r>
        <w:t xml:space="preserve"> </w:t>
      </w:r>
      <w:r>
        <w:t xml:space="preserve">_{dwell}.</w:t>
      </w:r>
      <w:r>
        <w:t xml:space="preserve"> </w:t>
      </w:r>
      <w:r>
        <w:t xml:space="preserve">]</w:t>
      </w:r>
    </w:p>
    <w:p>
      <w:pPr>
        <w:pStyle w:val="BodyText"/>
      </w:pPr>
      <w:r>
        <w:t xml:space="preserve">The sequence length (L) will be tuned only within grouped development data.</w:t>
      </w:r>
    </w:p>
    <w:p>
      <w:r>
        <w:pict>
          <v:rect style="width:0;height:1.5pt" o:hralign="center" o:hrstd="t" o:hr="t"/>
        </w:pict>
      </w:r>
    </w:p>
    <w:bookmarkEnd w:id="74"/>
    <w:bookmarkStart w:id="77" w:name="single-task-and-multi-task-learning"/>
    <w:p>
      <w:pPr>
        <w:pStyle w:val="Heading1"/>
      </w:pPr>
      <w:r>
        <w:t xml:space="preserve">20. Single-Task and Multi-Task Learning</w:t>
      </w:r>
    </w:p>
    <w:p>
      <w:pPr>
        <w:pStyle w:val="FirstParagraph"/>
      </w:pPr>
      <w:r>
        <w:t xml:space="preserve">Multi-task learning will not automatically be treated as the proposed superior model.</w:t>
      </w:r>
    </w:p>
    <w:p>
      <w:pPr>
        <w:pStyle w:val="BodyText"/>
      </w:pPr>
      <w:r>
        <w:t xml:space="preserve">Two approaches will be compared:</w:t>
      </w:r>
    </w:p>
    <w:bookmarkStart w:id="75" w:name="separate-models"/>
    <w:p>
      <w:pPr>
        <w:pStyle w:val="Heading3"/>
      </w:pPr>
      <w:r>
        <w:t xml:space="preserve">Separate Models</w:t>
      </w:r>
    </w:p>
    <w:p>
      <w:pPr>
        <w:pStyle w:val="FirstParagraph"/>
      </w:pPr>
      <w:r>
        <w:t xml:space="preserve">Independent models for:</w:t>
      </w:r>
    </w:p>
    <w:p>
      <w:pPr>
        <w:pStyle w:val="Compact"/>
        <w:numPr>
          <w:ilvl w:val="0"/>
          <w:numId w:val="1032"/>
        </w:numPr>
      </w:pPr>
      <w:r>
        <w:t xml:space="preserve">HO prediction;</w:t>
      </w:r>
    </w:p>
    <w:p>
      <w:pPr>
        <w:pStyle w:val="Compact"/>
        <w:numPr>
          <w:ilvl w:val="0"/>
          <w:numId w:val="1032"/>
        </w:numPr>
      </w:pPr>
      <w:r>
        <w:t xml:space="preserve">target-cell prediction;</w:t>
      </w:r>
    </w:p>
    <w:p>
      <w:pPr>
        <w:pStyle w:val="Compact"/>
        <w:numPr>
          <w:ilvl w:val="0"/>
          <w:numId w:val="1032"/>
        </w:numPr>
      </w:pPr>
      <w:r>
        <w:t xml:space="preserve">QoE degradation;</w:t>
      </w:r>
    </w:p>
    <w:p>
      <w:pPr>
        <w:pStyle w:val="Compact"/>
        <w:numPr>
          <w:ilvl w:val="0"/>
          <w:numId w:val="1032"/>
        </w:numPr>
      </w:pPr>
      <w:r>
        <w:t xml:space="preserve">dwell-time regression.</w:t>
      </w:r>
    </w:p>
    <w:bookmarkEnd w:id="75"/>
    <w:bookmarkStart w:id="76" w:name="shared-temporal-encoder"/>
    <w:p>
      <w:pPr>
        <w:pStyle w:val="Heading3"/>
      </w:pPr>
      <w:r>
        <w:t xml:space="preserve">Shared Temporal Encoder</w:t>
      </w:r>
    </w:p>
    <w:p>
      <w:pPr>
        <w:pStyle w:val="FirstParagraph"/>
      </w:pPr>
      <w:r>
        <w:t xml:space="preserve">A common encoder with task-specific heads.</w:t>
      </w:r>
    </w:p>
    <w:p>
      <w:pPr>
        <w:pStyle w:val="BodyText"/>
      </w:pPr>
      <w:r>
        <w:t xml:space="preserve">An ablation will determine whether auxiliary tasks improve or degrade the main handover predictor.</w:t>
      </w:r>
    </w:p>
    <w:p>
      <w:pPr>
        <w:pStyle w:val="BodyText"/>
      </w:pPr>
      <w:r>
        <w:t xml:space="preserve">Negative transfer will be reported rather than hidden.</w:t>
      </w:r>
    </w:p>
    <w:p>
      <w:r>
        <w:pict>
          <v:rect style="width:0;height:1.5pt" o:hralign="center" o:hrstd="t" o:hr="t"/>
        </w:pict>
      </w:r>
    </w:p>
    <w:bookmarkEnd w:id="76"/>
    <w:bookmarkEnd w:id="77"/>
    <w:bookmarkStart w:id="81" w:name="predictive-uncertainty-and-calibration"/>
    <w:p>
      <w:pPr>
        <w:pStyle w:val="Heading1"/>
      </w:pPr>
      <w:r>
        <w:t xml:space="preserve">21. Predictive Uncertainty and Calibration</w:t>
      </w:r>
    </w:p>
    <w:p>
      <w:pPr>
        <w:pStyle w:val="FirstParagraph"/>
      </w:pPr>
      <w:r>
        <w:t xml:space="preserve">The primary uncertainty strategy will include:</w:t>
      </w:r>
    </w:p>
    <w:bookmarkStart w:id="78" w:name="deep-ensembles"/>
    <w:p>
      <w:pPr>
        <w:pStyle w:val="Heading3"/>
      </w:pPr>
      <w:r>
        <w:t xml:space="preserve">Deep Ensembles</w:t>
      </w:r>
    </w:p>
    <w:p>
      <w:pPr>
        <w:pStyle w:val="FirstParagraph"/>
      </w:pPr>
      <w:r>
        <w:t xml:space="preserve">Multiple independently initialised sequence models will provide predictive disagreement and approximate epistemic uncertainty [20].</w:t>
      </w:r>
    </w:p>
    <w:bookmarkEnd w:id="78"/>
    <w:bookmarkStart w:id="79" w:name="probability-calibration"/>
    <w:p>
      <w:pPr>
        <w:pStyle w:val="Heading3"/>
      </w:pPr>
      <w:r>
        <w:t xml:space="preserve">Probability Calibration</w:t>
      </w:r>
    </w:p>
    <w:p>
      <w:pPr>
        <w:pStyle w:val="FirstParagraph"/>
      </w:pPr>
      <w:r>
        <w:t xml:space="preserve">Classification probabilities will be calibrated using a dedicated calibration subset of complete drives, for example through temperature scaling where appropriate.</w:t>
      </w:r>
    </w:p>
    <w:bookmarkEnd w:id="79"/>
    <w:bookmarkStart w:id="80" w:name="conformal-prediction"/>
    <w:p>
      <w:pPr>
        <w:pStyle w:val="Heading3"/>
      </w:pPr>
      <w:r>
        <w:t xml:space="preserve">Conformal Prediction</w:t>
      </w:r>
    </w:p>
    <w:p>
      <w:pPr>
        <w:pStyle w:val="FirstParagraph"/>
      </w:pPr>
      <w:r>
        <w:t xml:space="preserve">Conformal prediction sets or regression intervals may be evaluated for applicable outputs.</w:t>
      </w:r>
    </w:p>
    <w:p>
      <w:pPr>
        <w:pStyle w:val="BodyText"/>
      </w:pPr>
      <w:r>
        <w:t xml:space="preserve">Because LTE measurements form temporally dependent sequences, classical exchangeability assumptions will not be assumed without qualification. Calibration will use complete drives or suitable temporal blocks, and empirical coverage on independent drives will be reported [21].</w:t>
      </w:r>
    </w:p>
    <w:p>
      <w:r>
        <w:pict>
          <v:rect style="width:0;height:1.5pt" o:hralign="center" o:hrstd="t" o:hr="t"/>
        </w:pict>
      </w:r>
    </w:p>
    <w:bookmarkEnd w:id="80"/>
    <w:bookmarkEnd w:id="81"/>
    <w:bookmarkStart w:id="83" w:name="ood-detection-and-abstention"/>
    <w:p>
      <w:pPr>
        <w:pStyle w:val="Heading1"/>
      </w:pPr>
      <w:r>
        <w:t xml:space="preserve">22. OOD Detection and Abstention</w:t>
      </w:r>
    </w:p>
    <w:p>
      <w:pPr>
        <w:pStyle w:val="FirstParagraph"/>
      </w:pPr>
      <w:r>
        <w:t xml:space="preserve">OOD will be defined as explicit experimental distribution shifts rather than an abstract score alone.</w:t>
      </w:r>
    </w:p>
    <w:bookmarkStart w:id="82" w:name="ood-scenarios"/>
    <w:p>
      <w:pPr>
        <w:pStyle w:val="Heading3"/>
      </w:pPr>
      <w:r>
        <w:t xml:space="preserve">OOD scenarios</w:t>
      </w:r>
    </w:p>
    <w:p>
      <w:pPr>
        <w:pStyle w:val="Compact"/>
        <w:numPr>
          <w:ilvl w:val="0"/>
          <w:numId w:val="1033"/>
        </w:numPr>
      </w:pPr>
      <w:r>
        <w:rPr>
          <w:b/>
          <w:bCs/>
        </w:rPr>
        <w:t xml:space="preserve">Geographic shift:</w:t>
      </w:r>
      <w:r>
        <w:t xml:space="preserve"> </w:t>
      </w:r>
      <w:r>
        <w:t xml:space="preserve">held-out route.</w:t>
      </w:r>
    </w:p>
    <w:p>
      <w:pPr>
        <w:pStyle w:val="Compact"/>
        <w:numPr>
          <w:ilvl w:val="0"/>
          <w:numId w:val="1033"/>
        </w:numPr>
      </w:pPr>
      <w:r>
        <w:rPr>
          <w:b/>
          <w:bCs/>
        </w:rPr>
        <w:t xml:space="preserve">Temporal shift:</w:t>
      </w:r>
      <w:r>
        <w:t xml:space="preserve"> </w:t>
      </w:r>
      <w:r>
        <w:t xml:space="preserve">different day/time period.</w:t>
      </w:r>
    </w:p>
    <w:p>
      <w:pPr>
        <w:pStyle w:val="Compact"/>
        <w:numPr>
          <w:ilvl w:val="0"/>
          <w:numId w:val="1033"/>
        </w:numPr>
      </w:pPr>
      <w:r>
        <w:rPr>
          <w:b/>
          <w:bCs/>
        </w:rPr>
        <w:t xml:space="preserve">Mobility shift:</w:t>
      </w:r>
      <w:r>
        <w:t xml:space="preserve"> </w:t>
      </w:r>
      <w:r>
        <w:t xml:space="preserve">substantially different speed distribution.</w:t>
      </w:r>
    </w:p>
    <w:p>
      <w:pPr>
        <w:pStyle w:val="Compact"/>
        <w:numPr>
          <w:ilvl w:val="0"/>
          <w:numId w:val="1033"/>
        </w:numPr>
      </w:pPr>
      <w:r>
        <w:rPr>
          <w:b/>
          <w:bCs/>
        </w:rPr>
        <w:t xml:space="preserve">Operator shift:</w:t>
      </w:r>
      <w:r>
        <w:t xml:space="preserve"> </w:t>
      </w:r>
      <w:r>
        <w:t xml:space="preserve">different operator, if available.</w:t>
      </w:r>
    </w:p>
    <w:p>
      <w:pPr>
        <w:pStyle w:val="Compact"/>
        <w:numPr>
          <w:ilvl w:val="0"/>
          <w:numId w:val="1033"/>
        </w:numPr>
      </w:pPr>
      <w:r>
        <w:rPr>
          <w:b/>
          <w:bCs/>
        </w:rPr>
        <w:t xml:space="preserve">Service shift:</w:t>
      </w:r>
      <w:r>
        <w:t xml:space="preserve"> </w:t>
      </w:r>
      <w:r>
        <w:t xml:space="preserve">different application/traffic condition.</w:t>
      </w:r>
    </w:p>
    <w:p>
      <w:pPr>
        <w:pStyle w:val="Compact"/>
        <w:numPr>
          <w:ilvl w:val="0"/>
          <w:numId w:val="1033"/>
        </w:numPr>
      </w:pPr>
      <w:r>
        <w:rPr>
          <w:b/>
          <w:bCs/>
        </w:rPr>
        <w:t xml:space="preserve">Device shift:</w:t>
      </w:r>
      <w:r>
        <w:t xml:space="preserve"> </w:t>
      </w:r>
      <w:r>
        <w:t xml:space="preserve">optional second UE.</w:t>
      </w:r>
    </w:p>
    <w:p>
      <w:pPr>
        <w:pStyle w:val="FirstParagraph"/>
      </w:pPr>
      <w:r>
        <w:t xml:space="preserve">Candidate OOD indicators may include:</w:t>
      </w:r>
    </w:p>
    <w:p>
      <w:pPr>
        <w:pStyle w:val="Compact"/>
        <w:numPr>
          <w:ilvl w:val="0"/>
          <w:numId w:val="1034"/>
        </w:numPr>
      </w:pPr>
      <w:r>
        <w:t xml:space="preserve">ensemble disagreement;</w:t>
      </w:r>
    </w:p>
    <w:p>
      <w:pPr>
        <w:pStyle w:val="Compact"/>
        <w:numPr>
          <w:ilvl w:val="0"/>
          <w:numId w:val="1034"/>
        </w:numPr>
      </w:pPr>
      <w:r>
        <w:t xml:space="preserve">representation-space distance;</w:t>
      </w:r>
    </w:p>
    <w:p>
      <w:pPr>
        <w:pStyle w:val="Compact"/>
        <w:numPr>
          <w:ilvl w:val="0"/>
          <w:numId w:val="1034"/>
        </w:numPr>
      </w:pPr>
      <w:r>
        <w:t xml:space="preserve">Mahalanobis distance;</w:t>
      </w:r>
    </w:p>
    <w:p>
      <w:pPr>
        <w:pStyle w:val="Compact"/>
        <w:numPr>
          <w:ilvl w:val="0"/>
          <w:numId w:val="1034"/>
        </w:numPr>
      </w:pPr>
      <w:r>
        <w:t xml:space="preserve">nearest-neighbour distance;</w:t>
      </w:r>
    </w:p>
    <w:p>
      <w:pPr>
        <w:pStyle w:val="Compact"/>
        <w:numPr>
          <w:ilvl w:val="0"/>
          <w:numId w:val="1034"/>
        </w:numPr>
      </w:pPr>
      <w:r>
        <w:t xml:space="preserve">density-based support measures.</w:t>
      </w:r>
    </w:p>
    <w:p>
      <w:pPr>
        <w:pStyle w:val="FirstParagraph"/>
      </w:pPr>
      <w:r>
        <w:t xml:space="preserve">An abstention function will be evaluated:</w:t>
      </w:r>
    </w:p>
    <w:p>
      <w:pPr>
        <w:pStyle w:val="BodyText"/>
      </w:pPr>
      <w:r>
        <w:t xml:space="preserve">[</w:t>
      </w:r>
      <w:r>
        <w:t xml:space="preserve"> </w:t>
      </w:r>
      <w:r>
        <w:t xml:space="preserve">A(x)=</w:t>
      </w:r>
    </w:p>
    <w:p>
      <w:pPr>
        <w:pStyle w:val="BodyText"/>
      </w:pPr>
      <w:r>
        <w:t xml:space="preserve">]</w:t>
      </w:r>
    </w:p>
    <w:p>
      <w:pPr>
        <w:pStyle w:val="BodyText"/>
      </w:pPr>
      <w:r>
        <w:t xml:space="preserve">where (</w:t>
      </w:r>
      <w:r>
        <w:t xml:space="preserve">) is selected using validation/calibration data only.</w:t>
      </w:r>
    </w:p>
    <w:p>
      <w:pPr>
        <w:pStyle w:val="BodyText"/>
      </w:pPr>
      <w:r>
        <w:t xml:space="preserve">The main result will examine the trade-off between:</w:t>
      </w:r>
    </w:p>
    <w:p>
      <w:pPr>
        <w:pStyle w:val="BodyText"/>
      </w:pPr>
      <w:r>
        <w:t xml:space="preserve">[</w:t>
      </w:r>
      <w:r>
        <w:t xml:space="preserve"> </w:t>
      </w:r>
      <w:r>
        <w:t xml:space="preserve"> </w:t>
      </w:r>
      <w:r>
        <w:t xml:space="preserve"> </w:t>
      </w:r>
      <w:r>
        <w:t xml:space="preserve">.</w:t>
      </w:r>
      <w:r>
        <w:t xml:space="preserve"> </w:t>
      </w:r>
      <w:r>
        <w:t xml:space="preserve">]</w:t>
      </w:r>
    </w:p>
    <w:p>
      <w:pPr>
        <w:pStyle w:val="BodyText"/>
      </w:pPr>
      <w:r>
        <w:t xml:space="preserve">The external test route will not be used to select the abstention threshold.</w:t>
      </w:r>
    </w:p>
    <w:p>
      <w:r>
        <w:pict>
          <v:rect style="width:0;height:1.5pt" o:hralign="center" o:hrstd="t" o:hr="t"/>
        </w:pict>
      </w:r>
    </w:p>
    <w:bookmarkEnd w:id="82"/>
    <w:bookmarkEnd w:id="83"/>
    <w:bookmarkStart w:id="91" w:name="evaluation-metrics"/>
    <w:p>
      <w:pPr>
        <w:pStyle w:val="Heading1"/>
      </w:pPr>
      <w:r>
        <w:t xml:space="preserve">23. Evaluation Metrics</w:t>
      </w:r>
    </w:p>
    <w:bookmarkStart w:id="84" w:name="imbalanced-classification"/>
    <w:p>
      <w:pPr>
        <w:pStyle w:val="Heading2"/>
      </w:pPr>
      <w:r>
        <w:t xml:space="preserve">23.1 Imbalanced Classification</w:t>
      </w:r>
    </w:p>
    <w:p>
      <w:pPr>
        <w:pStyle w:val="Compact"/>
        <w:numPr>
          <w:ilvl w:val="0"/>
          <w:numId w:val="1035"/>
        </w:numPr>
      </w:pPr>
      <w:r>
        <w:t xml:space="preserve">AUPRC;</w:t>
      </w:r>
    </w:p>
    <w:p>
      <w:pPr>
        <w:pStyle w:val="Compact"/>
        <w:numPr>
          <w:ilvl w:val="0"/>
          <w:numId w:val="1035"/>
        </w:numPr>
      </w:pPr>
      <w:r>
        <w:t xml:space="preserve">AUROC;</w:t>
      </w:r>
    </w:p>
    <w:p>
      <w:pPr>
        <w:pStyle w:val="Compact"/>
        <w:numPr>
          <w:ilvl w:val="0"/>
          <w:numId w:val="1035"/>
        </w:numPr>
      </w:pPr>
      <w:r>
        <w:t xml:space="preserve">precision;</w:t>
      </w:r>
    </w:p>
    <w:p>
      <w:pPr>
        <w:pStyle w:val="Compact"/>
        <w:numPr>
          <w:ilvl w:val="0"/>
          <w:numId w:val="1035"/>
        </w:numPr>
      </w:pPr>
      <w:r>
        <w:t xml:space="preserve">recall;</w:t>
      </w:r>
    </w:p>
    <w:p>
      <w:pPr>
        <w:pStyle w:val="Compact"/>
        <w:numPr>
          <w:ilvl w:val="0"/>
          <w:numId w:val="1035"/>
        </w:numPr>
      </w:pPr>
      <w:r>
        <w:t xml:space="preserve">F1;</w:t>
      </w:r>
    </w:p>
    <w:p>
      <w:pPr>
        <w:pStyle w:val="Compact"/>
        <w:numPr>
          <w:ilvl w:val="0"/>
          <w:numId w:val="1035"/>
        </w:numPr>
      </w:pPr>
      <w:r>
        <w:t xml:space="preserve">recall at fixed false-positive rate.</w:t>
      </w:r>
    </w:p>
    <w:p>
      <w:pPr>
        <w:pStyle w:val="FirstParagraph"/>
      </w:pPr>
      <w:r>
        <w:t xml:space="preserve">Accuracy will not be the primary metric.</w:t>
      </w:r>
    </w:p>
    <w:bookmarkEnd w:id="84"/>
    <w:bookmarkStart w:id="85" w:name="event-level-handover-prediction"/>
    <w:p>
      <w:pPr>
        <w:pStyle w:val="Heading2"/>
      </w:pPr>
      <w:r>
        <w:t xml:space="preserve">23.2 Event-Level Handover Prediction</w:t>
      </w:r>
    </w:p>
    <w:p>
      <w:pPr>
        <w:pStyle w:val="FirstParagraph"/>
      </w:pPr>
      <w:r>
        <w:t xml:space="preserve">Each physical handover will count once regardless of how many preceding samples trigger positive predictions.</w:t>
      </w:r>
    </w:p>
    <w:p>
      <w:pPr>
        <w:pStyle w:val="BodyText"/>
      </w:pPr>
      <w:r>
        <w:t xml:space="preserve">Metrics will include:</w:t>
      </w:r>
    </w:p>
    <w:p>
      <w:pPr>
        <w:pStyle w:val="Compact"/>
        <w:numPr>
          <w:ilvl w:val="0"/>
          <w:numId w:val="1036"/>
        </w:numPr>
      </w:pPr>
      <w:r>
        <w:t xml:space="preserve">handover event detection rate;</w:t>
      </w:r>
    </w:p>
    <w:p>
      <w:pPr>
        <w:pStyle w:val="Compact"/>
        <w:numPr>
          <w:ilvl w:val="0"/>
          <w:numId w:val="1036"/>
        </w:numPr>
      </w:pPr>
      <w:r>
        <w:t xml:space="preserve">median first-warning lead time;</w:t>
      </w:r>
    </w:p>
    <w:p>
      <w:pPr>
        <w:pStyle w:val="Compact"/>
        <w:numPr>
          <w:ilvl w:val="0"/>
          <w:numId w:val="1036"/>
        </w:numPr>
      </w:pPr>
      <w:r>
        <w:t xml:space="preserve">detection rate at 0.5/1/2/3/5 s;</w:t>
      </w:r>
    </w:p>
    <w:p>
      <w:pPr>
        <w:pStyle w:val="Compact"/>
        <w:numPr>
          <w:ilvl w:val="0"/>
          <w:numId w:val="1036"/>
        </w:numPr>
      </w:pPr>
      <w:r>
        <w:t xml:space="preserve">false alarms per hour;</w:t>
      </w:r>
    </w:p>
    <w:p>
      <w:pPr>
        <w:pStyle w:val="Compact"/>
        <w:numPr>
          <w:ilvl w:val="0"/>
          <w:numId w:val="1036"/>
        </w:numPr>
      </w:pPr>
      <w:r>
        <w:t xml:space="preserve">false alarms per kilometre where route information permits;</w:t>
      </w:r>
    </w:p>
    <w:p>
      <w:pPr>
        <w:pStyle w:val="Compact"/>
        <w:numPr>
          <w:ilvl w:val="0"/>
          <w:numId w:val="1036"/>
        </w:numPr>
      </w:pPr>
      <w:r>
        <w:t xml:space="preserve">missed-event rate.</w:t>
      </w:r>
    </w:p>
    <w:bookmarkEnd w:id="85"/>
    <w:bookmarkStart w:id="86" w:name="target-cell-1"/>
    <w:p>
      <w:pPr>
        <w:pStyle w:val="Heading2"/>
      </w:pPr>
      <w:r>
        <w:t xml:space="preserve">23.3 Target Cell</w:t>
      </w:r>
    </w:p>
    <w:p>
      <w:pPr>
        <w:pStyle w:val="Compact"/>
        <w:numPr>
          <w:ilvl w:val="0"/>
          <w:numId w:val="1037"/>
        </w:numPr>
      </w:pPr>
      <w:r>
        <w:t xml:space="preserve">Top-1 accuracy;</w:t>
      </w:r>
    </w:p>
    <w:p>
      <w:pPr>
        <w:pStyle w:val="Compact"/>
        <w:numPr>
          <w:ilvl w:val="0"/>
          <w:numId w:val="1037"/>
        </w:numPr>
      </w:pPr>
      <w:r>
        <w:t xml:space="preserve">Top-k ranking accuracy;</w:t>
      </w:r>
    </w:p>
    <w:p>
      <w:pPr>
        <w:pStyle w:val="Compact"/>
        <w:numPr>
          <w:ilvl w:val="0"/>
          <w:numId w:val="1037"/>
        </w:numPr>
      </w:pPr>
      <w:r>
        <w:t xml:space="preserve">macro-F1 where meaningful;</w:t>
      </w:r>
    </w:p>
    <w:p>
      <w:pPr>
        <w:pStyle w:val="Compact"/>
        <w:numPr>
          <w:ilvl w:val="0"/>
          <w:numId w:val="1037"/>
        </w:numPr>
      </w:pPr>
      <w:r>
        <w:t xml:space="preserve">mean reciprocal rank or equivalent ranking measure;</w:t>
      </w:r>
    </w:p>
    <w:p>
      <w:pPr>
        <w:pStyle w:val="Compact"/>
        <w:numPr>
          <w:ilvl w:val="0"/>
          <w:numId w:val="1037"/>
        </w:numPr>
      </w:pPr>
      <w:r>
        <w:t xml:space="preserve">unseen-cell performance.</w:t>
      </w:r>
    </w:p>
    <w:bookmarkEnd w:id="86"/>
    <w:bookmarkStart w:id="87" w:name="qoe"/>
    <w:p>
      <w:pPr>
        <w:pStyle w:val="Heading2"/>
      </w:pPr>
      <w:r>
        <w:t xml:space="preserve">23.4 QoE</w:t>
      </w:r>
    </w:p>
    <w:p>
      <w:pPr>
        <w:pStyle w:val="FirstParagraph"/>
      </w:pPr>
      <w:r>
        <w:t xml:space="preserve">For classification:</w:t>
      </w:r>
    </w:p>
    <w:p>
      <w:pPr>
        <w:pStyle w:val="Compact"/>
        <w:numPr>
          <w:ilvl w:val="0"/>
          <w:numId w:val="1038"/>
        </w:numPr>
      </w:pPr>
      <w:r>
        <w:t xml:space="preserve">AUPRC;</w:t>
      </w:r>
    </w:p>
    <w:p>
      <w:pPr>
        <w:pStyle w:val="Compact"/>
        <w:numPr>
          <w:ilvl w:val="0"/>
          <w:numId w:val="1038"/>
        </w:numPr>
      </w:pPr>
      <w:r>
        <w:t xml:space="preserve">F1;</w:t>
      </w:r>
    </w:p>
    <w:p>
      <w:pPr>
        <w:pStyle w:val="Compact"/>
        <w:numPr>
          <w:ilvl w:val="0"/>
          <w:numId w:val="1038"/>
        </w:numPr>
      </w:pPr>
      <w:r>
        <w:t xml:space="preserve">recall at fixed false-positive rate.</w:t>
      </w:r>
    </w:p>
    <w:p>
      <w:pPr>
        <w:pStyle w:val="FirstParagraph"/>
      </w:pPr>
      <w:r>
        <w:t xml:space="preserve">For regression:</w:t>
      </w:r>
    </w:p>
    <w:p>
      <w:pPr>
        <w:pStyle w:val="Compact"/>
        <w:numPr>
          <w:ilvl w:val="0"/>
          <w:numId w:val="1039"/>
        </w:numPr>
      </w:pPr>
      <w:r>
        <w:t xml:space="preserve">MAE;</w:t>
      </w:r>
    </w:p>
    <w:p>
      <w:pPr>
        <w:pStyle w:val="Compact"/>
        <w:numPr>
          <w:ilvl w:val="0"/>
          <w:numId w:val="1039"/>
        </w:numPr>
      </w:pPr>
      <w:r>
        <w:t xml:space="preserve">RMSE;</w:t>
      </w:r>
    </w:p>
    <w:p>
      <w:pPr>
        <w:pStyle w:val="Compact"/>
        <w:numPr>
          <w:ilvl w:val="0"/>
          <w:numId w:val="1039"/>
        </w:numPr>
      </w:pPr>
      <w:r>
        <w:t xml:space="preserve">median absolute error;</w:t>
      </w:r>
    </w:p>
    <w:p>
      <w:pPr>
        <w:pStyle w:val="Compact"/>
        <w:numPr>
          <w:ilvl w:val="0"/>
          <w:numId w:val="1039"/>
        </w:numPr>
      </w:pPr>
      <w:r>
        <w:t xml:space="preserve">quantile loss where applicable.</w:t>
      </w:r>
    </w:p>
    <w:bookmarkEnd w:id="87"/>
    <w:bookmarkStart w:id="88" w:name="calibration"/>
    <w:p>
      <w:pPr>
        <w:pStyle w:val="Heading2"/>
      </w:pPr>
      <w:r>
        <w:t xml:space="preserve">23.5 Calibration</w:t>
      </w:r>
    </w:p>
    <w:p>
      <w:pPr>
        <w:pStyle w:val="Compact"/>
        <w:numPr>
          <w:ilvl w:val="0"/>
          <w:numId w:val="1040"/>
        </w:numPr>
      </w:pPr>
      <w:r>
        <w:t xml:space="preserve">Brier score;</w:t>
      </w:r>
    </w:p>
    <w:p>
      <w:pPr>
        <w:pStyle w:val="Compact"/>
        <w:numPr>
          <w:ilvl w:val="0"/>
          <w:numId w:val="1040"/>
        </w:numPr>
      </w:pPr>
      <w:r>
        <w:t xml:space="preserve">negative log likelihood;</w:t>
      </w:r>
    </w:p>
    <w:p>
      <w:pPr>
        <w:pStyle w:val="Compact"/>
        <w:numPr>
          <w:ilvl w:val="0"/>
          <w:numId w:val="1040"/>
        </w:numPr>
      </w:pPr>
      <w:r>
        <w:t xml:space="preserve">expected calibration error;</w:t>
      </w:r>
    </w:p>
    <w:p>
      <w:pPr>
        <w:pStyle w:val="Compact"/>
        <w:numPr>
          <w:ilvl w:val="0"/>
          <w:numId w:val="1040"/>
        </w:numPr>
      </w:pPr>
      <w:r>
        <w:t xml:space="preserve">reliability diagrams;</w:t>
      </w:r>
    </w:p>
    <w:p>
      <w:pPr>
        <w:pStyle w:val="Compact"/>
        <w:numPr>
          <w:ilvl w:val="0"/>
          <w:numId w:val="1040"/>
        </w:numPr>
      </w:pPr>
      <w:r>
        <w:t xml:space="preserve">conformal empirical coverage and set/interval width.</w:t>
      </w:r>
    </w:p>
    <w:bookmarkEnd w:id="88"/>
    <w:bookmarkStart w:id="89" w:name="abstention"/>
    <w:p>
      <w:pPr>
        <w:pStyle w:val="Heading2"/>
      </w:pPr>
      <w:r>
        <w:t xml:space="preserve">23.6 Abstention</w:t>
      </w:r>
    </w:p>
    <w:p>
      <w:pPr>
        <w:pStyle w:val="Compact"/>
        <w:numPr>
          <w:ilvl w:val="0"/>
          <w:numId w:val="1041"/>
        </w:numPr>
      </w:pPr>
      <w:r>
        <w:t xml:space="preserve">accuracy/risk versus coverage;</w:t>
      </w:r>
    </w:p>
    <w:p>
      <w:pPr>
        <w:pStyle w:val="Compact"/>
        <w:numPr>
          <w:ilvl w:val="0"/>
          <w:numId w:val="1041"/>
        </w:numPr>
      </w:pPr>
      <w:r>
        <w:t xml:space="preserve">false-negative risk versus coverage;</w:t>
      </w:r>
    </w:p>
    <w:p>
      <w:pPr>
        <w:pStyle w:val="Compact"/>
        <w:numPr>
          <w:ilvl w:val="0"/>
          <w:numId w:val="1041"/>
        </w:numPr>
      </w:pPr>
      <w:r>
        <w:t xml:space="preserve">external-route acceptance rate;</w:t>
      </w:r>
    </w:p>
    <w:p>
      <w:pPr>
        <w:pStyle w:val="Compact"/>
        <w:numPr>
          <w:ilvl w:val="0"/>
          <w:numId w:val="1041"/>
        </w:numPr>
      </w:pPr>
      <w:r>
        <w:t xml:space="preserve">OOD rejection rate.</w:t>
      </w:r>
    </w:p>
    <w:bookmarkEnd w:id="89"/>
    <w:bookmarkStart w:id="90" w:name="deployment"/>
    <w:p>
      <w:pPr>
        <w:pStyle w:val="Heading2"/>
      </w:pPr>
      <w:r>
        <w:t xml:space="preserve">23.7 Deployment</w:t>
      </w:r>
    </w:p>
    <w:p>
      <w:pPr>
        <w:pStyle w:val="Compact"/>
        <w:numPr>
          <w:ilvl w:val="0"/>
          <w:numId w:val="1042"/>
        </w:numPr>
      </w:pPr>
      <w:r>
        <w:t xml:space="preserve">CPU inference latency;</w:t>
      </w:r>
    </w:p>
    <w:p>
      <w:pPr>
        <w:pStyle w:val="Compact"/>
        <w:numPr>
          <w:ilvl w:val="0"/>
          <w:numId w:val="1042"/>
        </w:numPr>
      </w:pPr>
      <w:r>
        <w:t xml:space="preserve">GPU inference latency where relevant;</w:t>
      </w:r>
    </w:p>
    <w:p>
      <w:pPr>
        <w:pStyle w:val="Compact"/>
        <w:numPr>
          <w:ilvl w:val="0"/>
          <w:numId w:val="1042"/>
        </w:numPr>
      </w:pPr>
      <w:r>
        <w:t xml:space="preserve">model size;</w:t>
      </w:r>
    </w:p>
    <w:p>
      <w:pPr>
        <w:pStyle w:val="Compact"/>
        <w:numPr>
          <w:ilvl w:val="0"/>
          <w:numId w:val="1042"/>
        </w:numPr>
      </w:pPr>
      <w:r>
        <w:t xml:space="preserve">peak memory;</w:t>
      </w:r>
    </w:p>
    <w:p>
      <w:pPr>
        <w:pStyle w:val="Compact"/>
        <w:numPr>
          <w:ilvl w:val="0"/>
          <w:numId w:val="1042"/>
        </w:numPr>
      </w:pPr>
      <w:r>
        <w:t xml:space="preserve">predictions per second.</w:t>
      </w:r>
    </w:p>
    <w:p>
      <w:r>
        <w:pict>
          <v:rect style="width:0;height:1.5pt" o:hralign="center" o:hrstd="t" o:hr="t"/>
        </w:pict>
      </w:r>
    </w:p>
    <w:bookmarkEnd w:id="90"/>
    <w:bookmarkEnd w:id="91"/>
    <w:bookmarkStart w:id="92" w:name="statistical-analysis"/>
    <w:p>
      <w:pPr>
        <w:pStyle w:val="Heading1"/>
      </w:pPr>
      <w:r>
        <w:t xml:space="preserve">24. Statistical Analysis</w:t>
      </w:r>
    </w:p>
    <w:p>
      <w:pPr>
        <w:pStyle w:val="FirstParagraph"/>
      </w:pPr>
      <w:r>
        <w:t xml:space="preserve">Statistical inference will treat independent drives or trips as the resampling unit rather than individual temporally adjacent rows.</w:t>
      </w:r>
    </w:p>
    <w:p>
      <w:pPr>
        <w:pStyle w:val="BodyText"/>
      </w:pPr>
      <w:r>
        <w:t xml:space="preserve">The study will use, where appropriate:</w:t>
      </w:r>
    </w:p>
    <w:p>
      <w:pPr>
        <w:pStyle w:val="Compact"/>
        <w:numPr>
          <w:ilvl w:val="0"/>
          <w:numId w:val="1043"/>
        </w:numPr>
      </w:pPr>
      <w:r>
        <w:t xml:space="preserve">95% trip-level bootstrap confidence intervals;</w:t>
      </w:r>
    </w:p>
    <w:p>
      <w:pPr>
        <w:pStyle w:val="Compact"/>
        <w:numPr>
          <w:ilvl w:val="0"/>
          <w:numId w:val="1043"/>
        </w:numPr>
      </w:pPr>
      <w:r>
        <w:t xml:space="preserve">paired permutation tests;</w:t>
      </w:r>
    </w:p>
    <w:p>
      <w:pPr>
        <w:pStyle w:val="Compact"/>
        <w:numPr>
          <w:ilvl w:val="0"/>
          <w:numId w:val="1043"/>
        </w:numPr>
      </w:pPr>
      <w:r>
        <w:t xml:space="preserve">Wilcoxon signed-rank tests;</w:t>
      </w:r>
    </w:p>
    <w:p>
      <w:pPr>
        <w:pStyle w:val="Compact"/>
        <w:numPr>
          <w:ilvl w:val="0"/>
          <w:numId w:val="1043"/>
        </w:numPr>
      </w:pPr>
      <w:r>
        <w:t xml:space="preserve">effect sizes;</w:t>
      </w:r>
    </w:p>
    <w:p>
      <w:pPr>
        <w:pStyle w:val="Compact"/>
        <w:numPr>
          <w:ilvl w:val="0"/>
          <w:numId w:val="1043"/>
        </w:numPr>
      </w:pPr>
      <w:r>
        <w:t xml:space="preserve">correction for multiple comparisons.</w:t>
      </w:r>
    </w:p>
    <w:p>
      <w:pPr>
        <w:pStyle w:val="FirstParagraph"/>
      </w:pPr>
      <w:r>
        <w:t xml:space="preserve">All principal models will be compared on identical held-out drives.</w:t>
      </w:r>
    </w:p>
    <w:p>
      <w:r>
        <w:pict>
          <v:rect style="width:0;height:1.5pt" o:hralign="center" o:hrstd="t" o:hr="t"/>
        </w:pict>
      </w:r>
    </w:p>
    <w:bookmarkEnd w:id="92"/>
    <w:bookmarkStart w:id="96" w:name="leakage-study"/>
    <w:p>
      <w:pPr>
        <w:pStyle w:val="Heading1"/>
      </w:pPr>
      <w:r>
        <w:t xml:space="preserve">25. Leakage Study</w:t>
      </w:r>
    </w:p>
    <w:p>
      <w:pPr>
        <w:pStyle w:val="FirstParagraph"/>
      </w:pPr>
      <w:r>
        <w:t xml:space="preserve">A formal experiment will compare:</w:t>
      </w:r>
    </w:p>
    <w:bookmarkStart w:id="93" w:name="condition-a"/>
    <w:p>
      <w:pPr>
        <w:pStyle w:val="Heading3"/>
      </w:pPr>
      <w:r>
        <w:t xml:space="preserve">Condition A</w:t>
      </w:r>
    </w:p>
    <w:p>
      <w:pPr>
        <w:pStyle w:val="FirstParagraph"/>
      </w:pPr>
      <w:r>
        <w:t xml:space="preserve">Random row-level splitting.</w:t>
      </w:r>
    </w:p>
    <w:bookmarkEnd w:id="93"/>
    <w:bookmarkStart w:id="94" w:name="condition-b"/>
    <w:p>
      <w:pPr>
        <w:pStyle w:val="Heading3"/>
      </w:pPr>
      <w:r>
        <w:t xml:space="preserve">Condition B</w:t>
      </w:r>
    </w:p>
    <w:p>
      <w:pPr>
        <w:pStyle w:val="FirstParagraph"/>
      </w:pPr>
      <w:r>
        <w:t xml:space="preserve">Complete-drive grouped splitting.</w:t>
      </w:r>
    </w:p>
    <w:bookmarkEnd w:id="94"/>
    <w:bookmarkStart w:id="95" w:name="condition-c"/>
    <w:p>
      <w:pPr>
        <w:pStyle w:val="Heading3"/>
      </w:pPr>
      <w:r>
        <w:t xml:space="preserve">Condition C</w:t>
      </w:r>
    </w:p>
    <w:p>
      <w:pPr>
        <w:pStyle w:val="FirstParagraph"/>
      </w:pPr>
      <w:r>
        <w:t xml:space="preserve">Complete-route external evaluation.</w:t>
      </w:r>
    </w:p>
    <w:p>
      <w:pPr>
        <w:pStyle w:val="BodyText"/>
      </w:pPr>
      <w:r>
        <w:t xml:space="preserve">For metric (M), leakage inflation may be expressed as:</w:t>
      </w:r>
    </w:p>
    <w:p>
      <w:pPr>
        <w:pStyle w:val="BodyText"/>
      </w:pPr>
      <w:r>
        <w:t xml:space="preserve">[</w:t>
      </w:r>
      <w:r>
        <w:t xml:space="preserve"> </w:t>
      </w:r>
      <w:r>
        <w:rPr>
          <w:i/>
          <w:iCs/>
        </w:rPr>
        <w:t xml:space="preserve">M</w:t>
      </w:r>
      <w:r>
        <w:rPr>
          <w:i/>
          <w:iCs/>
        </w:rPr>
        <w:t xml:space="preserve"> </w:t>
      </w:r>
      <w:r>
        <w:rPr>
          <w:i/>
          <w:iCs/>
        </w:rPr>
        <w:t xml:space="preserve">=</w:t>
      </w:r>
      <w:r>
        <w:rPr>
          <w:i/>
          <w:iCs/>
        </w:rPr>
        <w:t xml:space="preserve"> </w:t>
      </w:r>
      <w:r>
        <w:rPr>
          <w:i/>
          <w:iCs/>
        </w:rPr>
        <w:t xml:space="preserve">M</w:t>
      </w:r>
      <w:r>
        <w:t xml:space="preserve">{random}</w:t>
      </w:r>
    </w:p>
    <w:p>
      <w:pPr>
        <w:pStyle w:val="Compact"/>
        <w:numPr>
          <w:ilvl w:val="0"/>
          <w:numId w:val="1044"/>
        </w:numPr>
      </w:pPr>
      <w:r>
        <w:t xml:space="preserve">M_{grouped}</w:t>
      </w:r>
      <w:r>
        <w:t xml:space="preserve"> </w:t>
      </w:r>
      <w:r>
        <w:t xml:space="preserve">]</w:t>
      </w:r>
    </w:p>
    <w:p>
      <w:pPr>
        <w:pStyle w:val="FirstParagraph"/>
      </w:pPr>
      <w:r>
        <w:t xml:space="preserve">and</w:t>
      </w:r>
    </w:p>
    <w:p>
      <w:pPr>
        <w:pStyle w:val="BodyText"/>
      </w:pPr>
      <w:r>
        <w:t xml:space="preserve">[</w:t>
      </w:r>
      <w:r>
        <w:t xml:space="preserve"> </w:t>
      </w:r>
      <w:r>
        <w:rPr>
          <w:i/>
          <w:iCs/>
        </w:rPr>
        <w:t xml:space="preserve">M^{route}</w:t>
      </w:r>
      <w:r>
        <w:rPr>
          <w:i/>
          <w:iCs/>
        </w:rPr>
        <w:t xml:space="preserve"> </w:t>
      </w:r>
      <w:r>
        <w:rPr>
          <w:i/>
          <w:iCs/>
        </w:rPr>
        <w:t xml:space="preserve">=</w:t>
      </w:r>
      <w:r>
        <w:rPr>
          <w:i/>
          <w:iCs/>
        </w:rPr>
        <w:t xml:space="preserve"> </w:t>
      </w:r>
      <w:r>
        <w:rPr>
          <w:i/>
          <w:iCs/>
        </w:rPr>
        <w:t xml:space="preserve">M</w:t>
      </w:r>
      <w:r>
        <w:t xml:space="preserve">{random}</w:t>
      </w:r>
    </w:p>
    <w:p>
      <w:pPr>
        <w:pStyle w:val="Compact"/>
        <w:numPr>
          <w:ilvl w:val="0"/>
          <w:numId w:val="1045"/>
        </w:numPr>
      </w:pPr>
      <w:r>
        <w:t xml:space="preserve">M_{external-route}.</w:t>
      </w:r>
      <w:r>
        <w:t xml:space="preserve"> </w:t>
      </w:r>
      <w:r>
        <w:t xml:space="preserve">]</w:t>
      </w:r>
    </w:p>
    <w:p>
      <w:pPr>
        <w:pStyle w:val="FirstParagraph"/>
      </w:pPr>
      <w:r>
        <w:t xml:space="preserve">This analysis will determine whether conventional evaluation materially exaggerates generalisation performance.</w:t>
      </w:r>
    </w:p>
    <w:p>
      <w:r>
        <w:pict>
          <v:rect style="width:0;height:1.5pt" o:hralign="center" o:hrstd="t" o:hr="t"/>
        </w:pict>
      </w:r>
    </w:p>
    <w:bookmarkEnd w:id="95"/>
    <w:bookmarkEnd w:id="96"/>
    <w:bookmarkStart w:id="114" w:name="revised-research-workflow"/>
    <w:p>
      <w:pPr>
        <w:pStyle w:val="Heading1"/>
      </w:pPr>
      <w:r>
        <w:t xml:space="preserve">26. Revised Research Workflow</w:t>
      </w:r>
    </w:p>
    <w:bookmarkStart w:id="97" w:name="r0-xcal-technical-feasibility-pilot"/>
    <w:p>
      <w:pPr>
        <w:pStyle w:val="Heading2"/>
      </w:pPr>
      <w:r>
        <w:t xml:space="preserve">R0 — XCAL Technical Feasibility Pilot</w:t>
      </w:r>
    </w:p>
    <w:p>
      <w:pPr>
        <w:pStyle w:val="FirstParagraph"/>
      </w:pPr>
      <w:r>
        <w:rPr>
          <w:b/>
          <w:bCs/>
        </w:rPr>
        <w:t xml:space="preserve">Purpose:</w:t>
      </w:r>
      <w:r>
        <w:t xml:space="preserve"> </w:t>
      </w:r>
      <w:r>
        <w:t xml:space="preserve">Determine what the current XCAL configuration can actually collect.</w:t>
      </w:r>
    </w:p>
    <w:p>
      <w:pPr>
        <w:pStyle w:val="BodyText"/>
      </w:pPr>
      <w:r>
        <w:rPr>
          <w:b/>
          <w:bCs/>
        </w:rPr>
        <w:t xml:space="preserve">Activities:</w:t>
      </w:r>
      <w:r>
        <w:t xml:space="preserve"> </w:t>
      </w:r>
      <w:r>
        <w:t xml:space="preserve">Connected-state test drives, active data sessions, RRC logging, neighbour measurement inspection and QoE export tests.</w:t>
      </w:r>
    </w:p>
    <w:p>
      <w:pPr>
        <w:pStyle w:val="BodyText"/>
      </w:pPr>
      <w:r>
        <w:rPr>
          <w:b/>
          <w:bCs/>
        </w:rPr>
        <w:t xml:space="preserve">Outputs:</w:t>
      </w:r>
      <w:r>
        <w:t xml:space="preserve"> </w:t>
      </w:r>
      <w:r>
        <w:t xml:space="preserve">Field dictionary, sampling-rate table, message availability, synchronization estimate.</w:t>
      </w:r>
    </w:p>
    <w:p>
      <w:pPr>
        <w:pStyle w:val="BodyText"/>
      </w:pPr>
      <w:r>
        <w:rPr>
          <w:b/>
          <w:bCs/>
        </w:rPr>
        <w:t xml:space="preserve">Gate:</w:t>
      </w:r>
      <w:r>
        <w:t xml:space="preserve"> </w:t>
      </w:r>
      <w:r>
        <w:t xml:space="preserve">Do not finalise experimental design until required RF/cell measurements are verified.</w:t>
      </w:r>
    </w:p>
    <w:p>
      <w:r>
        <w:pict>
          <v:rect style="width:0;height:1.5pt" o:hralign="center" o:hrstd="t" o:hr="t"/>
        </w:pict>
      </w:r>
    </w:p>
    <w:bookmarkEnd w:id="97"/>
    <w:bookmarkStart w:id="98" w:name="Xbb2c1ce082e1858225c37a9e06d2ca8f259eb6d"/>
    <w:p>
      <w:pPr>
        <w:pStyle w:val="Heading2"/>
      </w:pPr>
      <w:r>
        <w:t xml:space="preserve">R1 — Audit Existing Dataset and Foundation Studies</w:t>
      </w:r>
    </w:p>
    <w:p>
      <w:pPr>
        <w:pStyle w:val="FirstParagraph"/>
      </w:pPr>
      <w:r>
        <w:rPr>
          <w:b/>
          <w:bCs/>
        </w:rPr>
        <w:t xml:space="preserve">Purpose:</w:t>
      </w:r>
      <w:r>
        <w:t xml:space="preserve"> </w:t>
      </w:r>
      <w:r>
        <w:t xml:space="preserve">Establish a trusted legacy baseline without unnecessarily reproducing every previous RL experiment.</w:t>
      </w:r>
    </w:p>
    <w:p>
      <w:pPr>
        <w:pStyle w:val="BodyText"/>
      </w:pPr>
      <w:r>
        <w:rPr>
          <w:b/>
          <w:bCs/>
        </w:rPr>
        <w:t xml:space="preserve">Activities:</w:t>
      </w:r>
      <w:r>
        <w:t xml:space="preserve"> </w:t>
      </w:r>
      <w:r>
        <w:t xml:space="preserve">Verify dataset dimensions, labels, event counts, interpolation, splitting and key baseline results from [1]–[4].</w:t>
      </w:r>
    </w:p>
    <w:p>
      <w:pPr>
        <w:pStyle w:val="BodyText"/>
      </w:pPr>
      <w:r>
        <w:rPr>
          <w:b/>
          <w:bCs/>
        </w:rPr>
        <w:t xml:space="preserve">Outputs:</w:t>
      </w:r>
      <w:r>
        <w:t xml:space="preserve"> </w:t>
      </w:r>
      <w:r>
        <w:t xml:space="preserve">Audit report, legacy dataset specification, baseline scripts.</w:t>
      </w:r>
    </w:p>
    <w:p>
      <w:pPr>
        <w:pStyle w:val="BodyText"/>
      </w:pPr>
      <w:r>
        <w:rPr>
          <w:b/>
          <w:bCs/>
        </w:rPr>
        <w:t xml:space="preserve">Gate:</w:t>
      </w:r>
      <w:r>
        <w:t xml:space="preserve"> </w:t>
      </w:r>
      <w:r>
        <w:t xml:space="preserve">Do not use unreproduced numerical results as authoritative baselines.</w:t>
      </w:r>
    </w:p>
    <w:p>
      <w:r>
        <w:pict>
          <v:rect style="width:0;height:1.5pt" o:hralign="center" o:hrstd="t" o:hr="t"/>
        </w:pict>
      </w:r>
    </w:p>
    <w:bookmarkEnd w:id="98"/>
    <w:bookmarkStart w:id="99" w:name="r2-freeze-the-research-protocol"/>
    <w:p>
      <w:pPr>
        <w:pStyle w:val="Heading2"/>
      </w:pPr>
      <w:r>
        <w:t xml:space="preserve">R2 — Freeze the Research Protocol</w:t>
      </w:r>
    </w:p>
    <w:p>
      <w:pPr>
        <w:pStyle w:val="FirstParagraph"/>
      </w:pPr>
      <w:r>
        <w:rPr>
          <w:b/>
          <w:bCs/>
        </w:rPr>
        <w:t xml:space="preserve">Purpose:</w:t>
      </w:r>
      <w:r>
        <w:t xml:space="preserve"> </w:t>
      </w:r>
      <w:r>
        <w:t xml:space="preserve">Prevent post-hoc methodological decisions.</w:t>
      </w:r>
    </w:p>
    <w:p>
      <w:pPr>
        <w:pStyle w:val="BodyText"/>
      </w:pPr>
      <w:r>
        <w:rPr>
          <w:b/>
          <w:bCs/>
        </w:rPr>
        <w:t xml:space="preserve">Activities:</w:t>
      </w:r>
      <w:r>
        <w:t xml:space="preserve"> </w:t>
      </w:r>
      <w:r>
        <w:t xml:space="preserve">Finalise research questions, horizons, primary outcomes, event definitions, evaluation metrics and development/calibration/external domains.</w:t>
      </w:r>
    </w:p>
    <w:p>
      <w:pPr>
        <w:pStyle w:val="BodyText"/>
      </w:pPr>
      <w:r>
        <w:rPr>
          <w:b/>
          <w:bCs/>
        </w:rPr>
        <w:t xml:space="preserve">Outputs:</w:t>
      </w:r>
      <w:r>
        <w:t xml:space="preserve"> </w:t>
      </w:r>
      <w:r>
        <w:t xml:space="preserve">Pre-analysis protocol.</w:t>
      </w:r>
    </w:p>
    <w:p>
      <w:pPr>
        <w:pStyle w:val="BodyText"/>
      </w:pPr>
      <w:r>
        <w:rPr>
          <w:b/>
          <w:bCs/>
        </w:rPr>
        <w:t xml:space="preserve">Gate:</w:t>
      </w:r>
      <w:r>
        <w:t xml:space="preserve"> </w:t>
      </w:r>
      <w:r>
        <w:t xml:space="preserve">External route identified before model development.</w:t>
      </w:r>
    </w:p>
    <w:p>
      <w:r>
        <w:pict>
          <v:rect style="width:0;height:1.5pt" o:hralign="center" o:hrstd="t" o:hr="t"/>
        </w:pict>
      </w:r>
    </w:p>
    <w:bookmarkEnd w:id="99"/>
    <w:bookmarkStart w:id="100" w:name="Xa0d322fa3dfdd74e26953f10ea7eb91c53b9f3b"/>
    <w:p>
      <w:pPr>
        <w:pStyle w:val="Heading2"/>
      </w:pPr>
      <w:r>
        <w:t xml:space="preserve">R3 — Establish Privacy, Metadata and Reproducible Storage</w:t>
      </w:r>
    </w:p>
    <w:p>
      <w:pPr>
        <w:pStyle w:val="FirstParagraph"/>
      </w:pPr>
      <w:r>
        <w:rPr>
          <w:b/>
          <w:bCs/>
        </w:rPr>
        <w:t xml:space="preserve">Purpose:</w:t>
      </w:r>
      <w:r>
        <w:t xml:space="preserve"> </w:t>
      </w:r>
      <w:r>
        <w:t xml:space="preserve">Make the full campaign traceable from the first production drive.</w:t>
      </w:r>
    </w:p>
    <w:p>
      <w:pPr>
        <w:pStyle w:val="BodyText"/>
      </w:pPr>
      <w:r>
        <w:rPr>
          <w:b/>
          <w:bCs/>
        </w:rPr>
        <w:t xml:space="preserve">Activities:</w:t>
      </w:r>
      <w:r>
        <w:t xml:space="preserve"> </w:t>
      </w:r>
      <w:r>
        <w:t xml:space="preserve">Define drive IDs, directory structure, manifests, metadata schema, pseudonymisation and checksums.</w:t>
      </w:r>
    </w:p>
    <w:p>
      <w:pPr>
        <w:pStyle w:val="BodyText"/>
      </w:pPr>
      <w:r>
        <w:rPr>
          <w:b/>
          <w:bCs/>
        </w:rPr>
        <w:t xml:space="preserve">Outputs:</w:t>
      </w:r>
      <w:r>
        <w:t xml:space="preserve"> </w:t>
      </w:r>
      <w:r>
        <w:t xml:space="preserve">Versioned project repository and data-governance specification.</w:t>
      </w:r>
    </w:p>
    <w:p>
      <w:pPr>
        <w:pStyle w:val="BodyText"/>
      </w:pPr>
      <w:r>
        <w:rPr>
          <w:b/>
          <w:bCs/>
        </w:rPr>
        <w:t xml:space="preserve">Gate:</w:t>
      </w:r>
      <w:r>
        <w:t xml:space="preserve"> </w:t>
      </w:r>
      <w:r>
        <w:t xml:space="preserve">No production collection before the raw-data storage process is operational.</w:t>
      </w:r>
    </w:p>
    <w:p>
      <w:r>
        <w:pict>
          <v:rect style="width:0;height:1.5pt" o:hralign="center" o:hrstd="t" o:hr="t"/>
        </w:pict>
      </w:r>
    </w:p>
    <w:bookmarkEnd w:id="100"/>
    <w:bookmarkStart w:id="101" w:name="r4-end-to-end-micro-pilot"/>
    <w:p>
      <w:pPr>
        <w:pStyle w:val="Heading2"/>
      </w:pPr>
      <w:r>
        <w:t xml:space="preserve">R4 — End-to-End Micro-Pilot</w:t>
      </w:r>
    </w:p>
    <w:p>
      <w:pPr>
        <w:pStyle w:val="FirstParagraph"/>
      </w:pPr>
      <w:r>
        <w:rPr>
          <w:b/>
          <w:bCs/>
        </w:rPr>
        <w:t xml:space="preserve">Purpose:</w:t>
      </w:r>
      <w:r>
        <w:t xml:space="preserve"> </w:t>
      </w:r>
      <w:r>
        <w:t xml:space="preserve">Verify that one real drive can pass through the complete pipeline.</w:t>
      </w:r>
    </w:p>
    <w:p>
      <w:pPr>
        <w:pStyle w:val="BodyText"/>
      </w:pPr>
      <w:r>
        <w:rPr>
          <w:b/>
          <w:bCs/>
        </w:rPr>
        <w:t xml:space="preserve">Pipeline:</w:t>
      </w:r>
    </w:p>
    <w:p>
      <w:pPr>
        <w:pStyle w:val="BodyText"/>
      </w:pPr>
      <w:r>
        <w:t xml:space="preserve">[</w:t>
      </w:r>
      <w:r>
        <w:t xml:space="preserve"> </w:t>
      </w:r>
      <w:r>
        <w:t xml:space="preserve">XCAL</w:t>
      </w:r>
      <w:r>
        <w:t xml:space="preserve"> </w:t>
      </w:r>
      <w:r>
        <w:t xml:space="preserve"> </w:t>
      </w:r>
      <w:r>
        <w:t xml:space="preserve">export</w:t>
      </w:r>
      <w:r>
        <w:t xml:space="preserve"> </w:t>
      </w:r>
      <w:r>
        <w:t xml:space="preserve"> </w:t>
      </w:r>
      <w:r>
        <w:t xml:space="preserve">synchronisation</w:t>
      </w:r>
      <w:r>
        <w:t xml:space="preserve"> </w:t>
      </w:r>
      <w:r>
        <w:t xml:space="preserve"> </w:t>
      </w:r>
      <w:r>
        <w:t xml:space="preserve">labels</w:t>
      </w:r>
      <w:r>
        <w:t xml:space="preserve"> </w:t>
      </w:r>
      <w:r>
        <w:t xml:space="preserve"> </w:t>
      </w:r>
      <w:r>
        <w:t xml:space="preserve">sequence windows</w:t>
      </w:r>
      <w:r>
        <w:t xml:space="preserve"> </w:t>
      </w:r>
      <w:r>
        <w:t xml:space="preserve"> </w:t>
      </w:r>
      <w:r>
        <w:t xml:space="preserve">baseline model.</w:t>
      </w:r>
      <w:r>
        <w:t xml:space="preserve"> </w:t>
      </w:r>
      <w:r>
        <w:t xml:space="preserve">]</w:t>
      </w:r>
    </w:p>
    <w:p>
      <w:pPr>
        <w:pStyle w:val="BodyText"/>
      </w:pPr>
      <w:r>
        <w:rPr>
          <w:b/>
          <w:bCs/>
        </w:rPr>
        <w:t xml:space="preserve">Outputs:</w:t>
      </w:r>
      <w:r>
        <w:t xml:space="preserve"> </w:t>
      </w:r>
      <w:r>
        <w:t xml:space="preserve">Complete pilot dataset and pipeline report.</w:t>
      </w:r>
    </w:p>
    <w:p>
      <w:pPr>
        <w:pStyle w:val="BodyText"/>
      </w:pPr>
      <w:r>
        <w:rPr>
          <w:b/>
          <w:bCs/>
        </w:rPr>
        <w:t xml:space="preserve">Gate:</w:t>
      </w:r>
      <w:r>
        <w:t xml:space="preserve"> </w:t>
      </w:r>
      <w:r>
        <w:t xml:space="preserve">Do not start the main campaign until raw files can be automatically converted to labelled modelling sequences.</w:t>
      </w:r>
    </w:p>
    <w:p>
      <w:r>
        <w:pict>
          <v:rect style="width:0;height:1.5pt" o:hralign="center" o:hrstd="t" o:hr="t"/>
        </w:pict>
      </w:r>
    </w:p>
    <w:bookmarkEnd w:id="101"/>
    <w:bookmarkStart w:id="102" w:name="r5-final-route-and-condition-design"/>
    <w:p>
      <w:pPr>
        <w:pStyle w:val="Heading2"/>
      </w:pPr>
      <w:r>
        <w:t xml:space="preserve">R5 — Final Route and Condition Design</w:t>
      </w:r>
    </w:p>
    <w:p>
      <w:pPr>
        <w:pStyle w:val="FirstParagraph"/>
      </w:pPr>
      <w:r>
        <w:rPr>
          <w:b/>
          <w:bCs/>
        </w:rPr>
        <w:t xml:space="preserve">Purpose:</w:t>
      </w:r>
      <w:r>
        <w:t xml:space="preserve"> </w:t>
      </w:r>
      <w:r>
        <w:t xml:space="preserve">Maximise independent mobility diversity.</w:t>
      </w:r>
    </w:p>
    <w:p>
      <w:pPr>
        <w:pStyle w:val="BodyText"/>
      </w:pPr>
      <w:r>
        <w:rPr>
          <w:b/>
          <w:bCs/>
        </w:rPr>
        <w:t xml:space="preserve">Activities:</w:t>
      </w:r>
      <w:r>
        <w:t xml:space="preserve"> </w:t>
      </w:r>
      <w:r>
        <w:t xml:space="preserve">Finalise route classes, directions, traffic modes, repetitions, times and locked external route.</w:t>
      </w:r>
    </w:p>
    <w:p>
      <w:pPr>
        <w:pStyle w:val="BodyText"/>
      </w:pPr>
      <w:r>
        <w:rPr>
          <w:b/>
          <w:bCs/>
        </w:rPr>
        <w:t xml:space="preserve">Outputs:</w:t>
      </w:r>
      <w:r>
        <w:t xml:space="preserve"> </w:t>
      </w:r>
      <w:r>
        <w:t xml:space="preserve">Route map and campaign matrix.</w:t>
      </w:r>
    </w:p>
    <w:p>
      <w:r>
        <w:pict>
          <v:rect style="width:0;height:1.5pt" o:hralign="center" o:hrstd="t" o:hr="t"/>
        </w:pict>
      </w:r>
    </w:p>
    <w:bookmarkEnd w:id="102"/>
    <w:bookmarkStart w:id="103" w:name="r6-staged-main-data-collection"/>
    <w:p>
      <w:pPr>
        <w:pStyle w:val="Heading2"/>
      </w:pPr>
      <w:r>
        <w:t xml:space="preserve">R6 — Staged Main Data Collection</w:t>
      </w:r>
    </w:p>
    <w:p>
      <w:pPr>
        <w:pStyle w:val="FirstParagraph"/>
      </w:pPr>
      <w:r>
        <w:rPr>
          <w:b/>
          <w:bCs/>
        </w:rPr>
        <w:t xml:space="preserve">Purpose:</w:t>
      </w:r>
      <w:r>
        <w:t xml:space="preserve"> </w:t>
      </w:r>
      <w:r>
        <w:t xml:space="preserve">Collect diverse independent handover events.</w:t>
      </w:r>
    </w:p>
    <w:p>
      <w:pPr>
        <w:pStyle w:val="BodyText"/>
      </w:pPr>
      <w:r>
        <w:t xml:space="preserve">Collection will occur in multiple tranches.</w:t>
      </w:r>
    </w:p>
    <w:p>
      <w:pPr>
        <w:pStyle w:val="BodyText"/>
      </w:pPr>
      <w:r>
        <w:t xml:space="preserve">After each tranche, review:</w:t>
      </w:r>
    </w:p>
    <w:p>
      <w:pPr>
        <w:pStyle w:val="Compact"/>
        <w:numPr>
          <w:ilvl w:val="0"/>
          <w:numId w:val="1046"/>
        </w:numPr>
      </w:pPr>
      <w:r>
        <w:t xml:space="preserve">handovers per drive;</w:t>
      </w:r>
    </w:p>
    <w:p>
      <w:pPr>
        <w:pStyle w:val="Compact"/>
        <w:numPr>
          <w:ilvl w:val="0"/>
          <w:numId w:val="1046"/>
        </w:numPr>
      </w:pPr>
      <w:r>
        <w:t xml:space="preserve">neighbour-measurement missingness;</w:t>
      </w:r>
    </w:p>
    <w:p>
      <w:pPr>
        <w:pStyle w:val="Compact"/>
        <w:numPr>
          <w:ilvl w:val="0"/>
          <w:numId w:val="1046"/>
        </w:numPr>
      </w:pPr>
      <w:r>
        <w:t xml:space="preserve">synchronization quality;</w:t>
      </w:r>
    </w:p>
    <w:p>
      <w:pPr>
        <w:pStyle w:val="Compact"/>
        <w:numPr>
          <w:ilvl w:val="0"/>
          <w:numId w:val="1046"/>
        </w:numPr>
      </w:pPr>
      <w:r>
        <w:t xml:space="preserve">route coverage;</w:t>
      </w:r>
    </w:p>
    <w:p>
      <w:pPr>
        <w:pStyle w:val="Compact"/>
        <w:numPr>
          <w:ilvl w:val="0"/>
          <w:numId w:val="1046"/>
        </w:numPr>
      </w:pPr>
      <w:r>
        <w:t xml:space="preserve">QoE event rate.</w:t>
      </w:r>
    </w:p>
    <w:p>
      <w:pPr>
        <w:pStyle w:val="FirstParagraph"/>
      </w:pPr>
      <w:r>
        <w:t xml:space="preserve">Later collection will target deficiencies rather than merely increasing row count.</w:t>
      </w:r>
    </w:p>
    <w:p>
      <w:r>
        <w:pict>
          <v:rect style="width:0;height:1.5pt" o:hralign="center" o:hrstd="t" o:hr="t"/>
        </w:pict>
      </w:r>
    </w:p>
    <w:bookmarkEnd w:id="103"/>
    <w:bookmarkStart w:id="104" w:name="r7-synchronisation-and-quality-control"/>
    <w:p>
      <w:pPr>
        <w:pStyle w:val="Heading2"/>
      </w:pPr>
      <w:r>
        <w:t xml:space="preserve">R7 — Synchronisation and Quality Control</w:t>
      </w:r>
    </w:p>
    <w:p>
      <w:pPr>
        <w:pStyle w:val="FirstParagraph"/>
      </w:pPr>
      <w:r>
        <w:rPr>
          <w:b/>
          <w:bCs/>
        </w:rPr>
        <w:t xml:space="preserve">Purpose:</w:t>
      </w:r>
      <w:r>
        <w:t xml:space="preserve"> </w:t>
      </w:r>
      <w:r>
        <w:t xml:space="preserve">Create trustworthy time-aligned drives.</w:t>
      </w:r>
    </w:p>
    <w:p>
      <w:pPr>
        <w:pStyle w:val="BodyText"/>
      </w:pPr>
      <w:r>
        <w:rPr>
          <w:b/>
          <w:bCs/>
        </w:rPr>
        <w:t xml:space="preserve">Outputs:</w:t>
      </w:r>
      <w:r>
        <w:t xml:space="preserve"> </w:t>
      </w:r>
      <w:r>
        <w:t xml:space="preserve">Synchronized per-drive master tables and QC reports.</w:t>
      </w:r>
    </w:p>
    <w:p>
      <w:pPr>
        <w:pStyle w:val="BodyText"/>
      </w:pPr>
      <w:r>
        <w:rPr>
          <w:b/>
          <w:bCs/>
        </w:rPr>
        <w:t xml:space="preserve">Gate:</w:t>
      </w:r>
      <w:r>
        <w:t xml:space="preserve"> </w:t>
      </w:r>
      <w:r>
        <w:t xml:space="preserve">Reject irrecoverably misaligned drives.</w:t>
      </w:r>
    </w:p>
    <w:p>
      <w:r>
        <w:pict>
          <v:rect style="width:0;height:1.5pt" o:hralign="center" o:hrstd="t" o:hr="t"/>
        </w:pict>
      </w:r>
    </w:p>
    <w:bookmarkEnd w:id="104"/>
    <w:bookmarkStart w:id="105" w:name="r8-event-labelling"/>
    <w:p>
      <w:pPr>
        <w:pStyle w:val="Heading2"/>
      </w:pPr>
      <w:r>
        <w:t xml:space="preserve">R8 — Event Labelling</w:t>
      </w:r>
    </w:p>
    <w:p>
      <w:pPr>
        <w:pStyle w:val="FirstParagraph"/>
      </w:pPr>
      <w:r>
        <w:rPr>
          <w:b/>
          <w:bCs/>
        </w:rPr>
        <w:t xml:space="preserve">Purpose:</w:t>
      </w:r>
      <w:r>
        <w:t xml:space="preserve"> </w:t>
      </w:r>
      <w:r>
        <w:t xml:space="preserve">Construct reproducible handover and QoE targets before modelling.</w:t>
      </w:r>
    </w:p>
    <w:p>
      <w:pPr>
        <w:pStyle w:val="BodyText"/>
      </w:pPr>
      <w:r>
        <w:rPr>
          <w:b/>
          <w:bCs/>
        </w:rPr>
        <w:t xml:space="preserve">Outputs:</w:t>
      </w:r>
      <w:r>
        <w:t xml:space="preserve"> </w:t>
      </w:r>
      <w:r>
        <w:t xml:space="preserve">Label tables, annotation specification and ambiguous-event register.</w:t>
      </w:r>
    </w:p>
    <w:p>
      <w:r>
        <w:pict>
          <v:rect style="width:0;height:1.5pt" o:hralign="center" o:hrstd="t" o:hr="t"/>
        </w:pict>
      </w:r>
    </w:p>
    <w:bookmarkEnd w:id="105"/>
    <w:bookmarkStart w:id="106" w:name="X4a7a0640e45a714bb5ef8ab9ff1429c05071269"/>
    <w:p>
      <w:pPr>
        <w:pStyle w:val="Heading2"/>
      </w:pPr>
      <w:r>
        <w:t xml:space="preserve">R9 — Leakage-Safe Feature and Sequence Construction</w:t>
      </w:r>
    </w:p>
    <w:p>
      <w:pPr>
        <w:pStyle w:val="FirstParagraph"/>
      </w:pPr>
      <w:r>
        <w:rPr>
          <w:b/>
          <w:bCs/>
        </w:rPr>
        <w:t xml:space="preserve">Purpose:</w:t>
      </w:r>
      <w:r>
        <w:t xml:space="preserve"> </w:t>
      </w:r>
      <w:r>
        <w:t xml:space="preserve">Construct historical-only input sequences.</w:t>
      </w:r>
    </w:p>
    <w:p>
      <w:pPr>
        <w:pStyle w:val="BodyText"/>
      </w:pPr>
      <w:r>
        <w:t xml:space="preserve">Training data alone will determine:</w:t>
      </w:r>
    </w:p>
    <w:p>
      <w:pPr>
        <w:pStyle w:val="Compact"/>
        <w:numPr>
          <w:ilvl w:val="0"/>
          <w:numId w:val="1047"/>
        </w:numPr>
      </w:pPr>
      <w:r>
        <w:t xml:space="preserve">scaling;</w:t>
      </w:r>
    </w:p>
    <w:p>
      <w:pPr>
        <w:pStyle w:val="Compact"/>
        <w:numPr>
          <w:ilvl w:val="0"/>
          <w:numId w:val="1047"/>
        </w:numPr>
      </w:pPr>
      <w:r>
        <w:t xml:space="preserve">imputation;</w:t>
      </w:r>
    </w:p>
    <w:p>
      <w:pPr>
        <w:pStyle w:val="Compact"/>
        <w:numPr>
          <w:ilvl w:val="0"/>
          <w:numId w:val="1047"/>
        </w:numPr>
      </w:pPr>
      <w:r>
        <w:t xml:space="preserve">feature-selection thresholds;</w:t>
      </w:r>
    </w:p>
    <w:p>
      <w:pPr>
        <w:pStyle w:val="Compact"/>
        <w:numPr>
          <w:ilvl w:val="0"/>
          <w:numId w:val="1047"/>
        </w:numPr>
      </w:pPr>
      <w:r>
        <w:t xml:space="preserve">transformations.</w:t>
      </w:r>
    </w:p>
    <w:p>
      <w:pPr>
        <w:pStyle w:val="FirstParagraph"/>
      </w:pPr>
      <w:r>
        <w:t xml:space="preserve">Missingness masks will be retained where useful.</w:t>
      </w:r>
    </w:p>
    <w:p>
      <w:r>
        <w:pict>
          <v:rect style="width:0;height:1.5pt" o:hralign="center" o:hrstd="t" o:hr="t"/>
        </w:pict>
      </w:r>
    </w:p>
    <w:bookmarkEnd w:id="106"/>
    <w:bookmarkStart w:id="107" w:name="X363f1c49d0c2f29027952d06dfa96b3c39cf509"/>
    <w:p>
      <w:pPr>
        <w:pStyle w:val="Heading2"/>
      </w:pPr>
      <w:r>
        <w:t xml:space="preserve">R10 — Dataset Characterisation and Leakage Analysis</w:t>
      </w:r>
    </w:p>
    <w:p>
      <w:pPr>
        <w:pStyle w:val="FirstParagraph"/>
      </w:pPr>
      <w:r>
        <w:rPr>
          <w:b/>
          <w:bCs/>
        </w:rPr>
        <w:t xml:space="preserve">Purpose:</w:t>
      </w:r>
      <w:r>
        <w:t xml:space="preserve"> </w:t>
      </w:r>
      <w:r>
        <w:t xml:space="preserve">Understand event imbalance, geography, missingness and distribution shift.</w:t>
      </w:r>
    </w:p>
    <w:p>
      <w:pPr>
        <w:pStyle w:val="BodyText"/>
      </w:pPr>
      <w:r>
        <w:rPr>
          <w:b/>
          <w:bCs/>
        </w:rPr>
        <w:t xml:space="preserve">Outputs:</w:t>
      </w:r>
      <w:r>
        <w:t xml:space="preserve"> </w:t>
      </w:r>
      <w:r>
        <w:t xml:space="preserve">Dataset-characterisation report and random-versus-grouped leakage analysis.</w:t>
      </w:r>
    </w:p>
    <w:p>
      <w:r>
        <w:pict>
          <v:rect style="width:0;height:1.5pt" o:hralign="center" o:hrstd="t" o:hr="t"/>
        </w:pict>
      </w:r>
    </w:p>
    <w:bookmarkEnd w:id="107"/>
    <w:bookmarkStart w:id="108" w:name="r11-snapshot-baselines"/>
    <w:p>
      <w:pPr>
        <w:pStyle w:val="Heading2"/>
      </w:pPr>
      <w:r>
        <w:t xml:space="preserve">R11 — Snapshot Baselines</w:t>
      </w:r>
    </w:p>
    <w:p>
      <w:pPr>
        <w:pStyle w:val="FirstParagraph"/>
      </w:pPr>
      <w:r>
        <w:t xml:space="preserve">Train:</w:t>
      </w:r>
    </w:p>
    <w:p>
      <w:pPr>
        <w:pStyle w:val="Compact"/>
        <w:numPr>
          <w:ilvl w:val="0"/>
          <w:numId w:val="1048"/>
        </w:numPr>
      </w:pPr>
      <w:r>
        <w:t xml:space="preserve">simple rules;</w:t>
      </w:r>
    </w:p>
    <w:p>
      <w:pPr>
        <w:pStyle w:val="Compact"/>
        <w:numPr>
          <w:ilvl w:val="0"/>
          <w:numId w:val="1048"/>
        </w:numPr>
      </w:pPr>
      <w:r>
        <w:t xml:space="preserve">logistic regression;</w:t>
      </w:r>
    </w:p>
    <w:p>
      <w:pPr>
        <w:pStyle w:val="Compact"/>
        <w:numPr>
          <w:ilvl w:val="0"/>
          <w:numId w:val="1048"/>
        </w:numPr>
      </w:pPr>
      <w:r>
        <w:t xml:space="preserve">XGBoost/LightGBM;</w:t>
      </w:r>
    </w:p>
    <w:p>
      <w:pPr>
        <w:pStyle w:val="Compact"/>
        <w:numPr>
          <w:ilvl w:val="0"/>
          <w:numId w:val="1048"/>
        </w:numPr>
      </w:pPr>
      <w:r>
        <w:t xml:space="preserve">optional snapshot MLP.</w:t>
      </w:r>
    </w:p>
    <w:p>
      <w:r>
        <w:pict>
          <v:rect style="width:0;height:1.5pt" o:hralign="center" o:hrstd="t" o:hr="t"/>
        </w:pict>
      </w:r>
    </w:p>
    <w:bookmarkEnd w:id="108"/>
    <w:bookmarkStart w:id="109" w:name="r12-temporal-models"/>
    <w:p>
      <w:pPr>
        <w:pStyle w:val="Heading2"/>
      </w:pPr>
      <w:r>
        <w:t xml:space="preserve">R12 — Temporal Models</w:t>
      </w:r>
    </w:p>
    <w:p>
      <w:pPr>
        <w:pStyle w:val="FirstParagraph"/>
      </w:pPr>
      <w:r>
        <w:t xml:space="preserve">Train:</w:t>
      </w:r>
    </w:p>
    <w:p>
      <w:pPr>
        <w:pStyle w:val="Compact"/>
        <w:numPr>
          <w:ilvl w:val="0"/>
          <w:numId w:val="1049"/>
        </w:numPr>
      </w:pPr>
      <w:r>
        <w:t xml:space="preserve">GRU;</w:t>
      </w:r>
    </w:p>
    <w:p>
      <w:pPr>
        <w:pStyle w:val="Compact"/>
        <w:numPr>
          <w:ilvl w:val="0"/>
          <w:numId w:val="1049"/>
        </w:numPr>
      </w:pPr>
      <w:r>
        <w:t xml:space="preserve">TCN;</w:t>
      </w:r>
    </w:p>
    <w:p>
      <w:pPr>
        <w:pStyle w:val="Compact"/>
        <w:numPr>
          <w:ilvl w:val="0"/>
          <w:numId w:val="1049"/>
        </w:numPr>
      </w:pPr>
      <w:r>
        <w:t xml:space="preserve">Transformer;</w:t>
      </w:r>
    </w:p>
    <w:p>
      <w:pPr>
        <w:pStyle w:val="Compact"/>
        <w:numPr>
          <w:ilvl w:val="0"/>
          <w:numId w:val="1049"/>
        </w:numPr>
      </w:pPr>
      <w:r>
        <w:t xml:space="preserve">optional LSTM comparator.</w:t>
      </w:r>
    </w:p>
    <w:p>
      <w:pPr>
        <w:pStyle w:val="FirstParagraph"/>
      </w:pPr>
      <w:r>
        <w:t xml:space="preserve">Grouped hyperparameter tuning will occur exclusively within the development domain.</w:t>
      </w:r>
    </w:p>
    <w:p>
      <w:r>
        <w:pict>
          <v:rect style="width:0;height:1.5pt" o:hralign="center" o:hrstd="t" o:hr="t"/>
        </w:pict>
      </w:r>
    </w:p>
    <w:bookmarkEnd w:id="109"/>
    <w:bookmarkStart w:id="110" w:name="r13-ablation-and-multi-task-experiments"/>
    <w:p>
      <w:pPr>
        <w:pStyle w:val="Heading2"/>
      </w:pPr>
      <w:r>
        <w:t xml:space="preserve">R13 — Ablation and Multi-Task Experiments</w:t>
      </w:r>
    </w:p>
    <w:p>
      <w:pPr>
        <w:pStyle w:val="FirstParagraph"/>
      </w:pPr>
      <w:r>
        <w:t xml:space="preserve">Evaluate:</w:t>
      </w:r>
    </w:p>
    <w:p>
      <w:pPr>
        <w:pStyle w:val="Compact"/>
        <w:numPr>
          <w:ilvl w:val="0"/>
          <w:numId w:val="1050"/>
        </w:numPr>
      </w:pPr>
      <w:r>
        <w:t xml:space="preserve">RF only;</w:t>
      </w:r>
    </w:p>
    <w:p>
      <w:pPr>
        <w:pStyle w:val="Compact"/>
        <w:numPr>
          <w:ilvl w:val="0"/>
          <w:numId w:val="1050"/>
        </w:numPr>
      </w:pPr>
      <w:r>
        <w:t xml:space="preserve">RF + mobility;</w:t>
      </w:r>
    </w:p>
    <w:p>
      <w:pPr>
        <w:pStyle w:val="Compact"/>
        <w:numPr>
          <w:ilvl w:val="0"/>
          <w:numId w:val="1050"/>
        </w:numPr>
      </w:pPr>
      <w:r>
        <w:t xml:space="preserve">RF + mobility + history;</w:t>
      </w:r>
    </w:p>
    <w:p>
      <w:pPr>
        <w:pStyle w:val="Compact"/>
        <w:numPr>
          <w:ilvl w:val="0"/>
          <w:numId w:val="1050"/>
        </w:numPr>
      </w:pPr>
      <w:r>
        <w:t xml:space="preserve">RF + mobility + history + QoE;</w:t>
      </w:r>
    </w:p>
    <w:p>
      <w:pPr>
        <w:pStyle w:val="Compact"/>
        <w:numPr>
          <w:ilvl w:val="0"/>
          <w:numId w:val="1050"/>
        </w:numPr>
      </w:pPr>
      <w:r>
        <w:t xml:space="preserve">topology-agnostic versus context-rich;</w:t>
      </w:r>
    </w:p>
    <w:p>
      <w:pPr>
        <w:pStyle w:val="Compact"/>
        <w:numPr>
          <w:ilvl w:val="0"/>
          <w:numId w:val="1050"/>
        </w:numPr>
      </w:pPr>
      <w:r>
        <w:t xml:space="preserve">single-task versus multi-task;</w:t>
      </w:r>
    </w:p>
    <w:p>
      <w:pPr>
        <w:pStyle w:val="Compact"/>
        <w:numPr>
          <w:ilvl w:val="0"/>
          <w:numId w:val="1050"/>
        </w:numPr>
      </w:pPr>
      <w:r>
        <w:t xml:space="preserve">fixed Cell-ID versus candidate-neighbour ranking.</w:t>
      </w:r>
    </w:p>
    <w:p>
      <w:r>
        <w:pict>
          <v:rect style="width:0;height:1.5pt" o:hralign="center" o:hrstd="t" o:hr="t"/>
        </w:pict>
      </w:r>
    </w:p>
    <w:bookmarkEnd w:id="110"/>
    <w:bookmarkStart w:id="111" w:name="r14-calibration-ood-and-abstention"/>
    <w:p>
      <w:pPr>
        <w:pStyle w:val="Heading2"/>
      </w:pPr>
      <w:r>
        <w:t xml:space="preserve">R14 — Calibration, OOD and Abstention</w:t>
      </w:r>
    </w:p>
    <w:p>
      <w:pPr>
        <w:pStyle w:val="FirstParagraph"/>
      </w:pPr>
      <w:r>
        <w:t xml:space="preserve">Calibrate on dedicated complete drives.</w:t>
      </w:r>
    </w:p>
    <w:p>
      <w:pPr>
        <w:pStyle w:val="BodyText"/>
      </w:pPr>
      <w:r>
        <w:t xml:space="preserve">Evaluate:</w:t>
      </w:r>
    </w:p>
    <w:p>
      <w:pPr>
        <w:pStyle w:val="Compact"/>
        <w:numPr>
          <w:ilvl w:val="0"/>
          <w:numId w:val="1051"/>
        </w:numPr>
      </w:pPr>
      <w:r>
        <w:t xml:space="preserve">probability calibration;</w:t>
      </w:r>
    </w:p>
    <w:p>
      <w:pPr>
        <w:pStyle w:val="Compact"/>
        <w:numPr>
          <w:ilvl w:val="0"/>
          <w:numId w:val="1051"/>
        </w:numPr>
      </w:pPr>
      <w:r>
        <w:t xml:space="preserve">ensemble uncertainty;</w:t>
      </w:r>
    </w:p>
    <w:p>
      <w:pPr>
        <w:pStyle w:val="Compact"/>
        <w:numPr>
          <w:ilvl w:val="0"/>
          <w:numId w:val="1051"/>
        </w:numPr>
      </w:pPr>
      <w:r>
        <w:t xml:space="preserve">conformal coverage where appropriate;</w:t>
      </w:r>
    </w:p>
    <w:p>
      <w:pPr>
        <w:pStyle w:val="Compact"/>
        <w:numPr>
          <w:ilvl w:val="0"/>
          <w:numId w:val="1051"/>
        </w:numPr>
      </w:pPr>
      <w:r>
        <w:t xml:space="preserve">OOD scores;</w:t>
      </w:r>
    </w:p>
    <w:p>
      <w:pPr>
        <w:pStyle w:val="Compact"/>
        <w:numPr>
          <w:ilvl w:val="0"/>
          <w:numId w:val="1051"/>
        </w:numPr>
      </w:pPr>
      <w:r>
        <w:t xml:space="preserve">risk–coverage curves;</w:t>
      </w:r>
    </w:p>
    <w:p>
      <w:pPr>
        <w:pStyle w:val="Compact"/>
        <w:numPr>
          <w:ilvl w:val="0"/>
          <w:numId w:val="1051"/>
        </w:numPr>
      </w:pPr>
      <w:r>
        <w:t xml:space="preserve">abstention thresholds.</w:t>
      </w:r>
    </w:p>
    <w:p>
      <w:r>
        <w:pict>
          <v:rect style="width:0;height:1.5pt" o:hralign="center" o:hrstd="t" o:hr="t"/>
        </w:pict>
      </w:r>
    </w:p>
    <w:bookmarkEnd w:id="111"/>
    <w:bookmarkStart w:id="112" w:name="r15-locked-external-evaluation"/>
    <w:p>
      <w:pPr>
        <w:pStyle w:val="Heading2"/>
      </w:pPr>
      <w:r>
        <w:t xml:space="preserve">R15 — Locked External Evaluation</w:t>
      </w:r>
    </w:p>
    <w:p>
      <w:pPr>
        <w:pStyle w:val="FirstParagraph"/>
      </w:pPr>
      <w:r>
        <w:t xml:space="preserve">Only after the complete model, hyperparameters, calibration and abstention policy are frozen will the external route be used for the principal evaluation.</w:t>
      </w:r>
    </w:p>
    <w:p>
      <w:pPr>
        <w:pStyle w:val="BodyText"/>
      </w:pPr>
      <w:r>
        <w:t xml:space="preserve">Outputs will include:</w:t>
      </w:r>
    </w:p>
    <w:p>
      <w:pPr>
        <w:pStyle w:val="Compact"/>
        <w:numPr>
          <w:ilvl w:val="0"/>
          <w:numId w:val="1052"/>
        </w:numPr>
      </w:pPr>
      <w:r>
        <w:t xml:space="preserve">final performance tables;</w:t>
      </w:r>
    </w:p>
    <w:p>
      <w:pPr>
        <w:pStyle w:val="Compact"/>
        <w:numPr>
          <w:ilvl w:val="0"/>
          <w:numId w:val="1052"/>
        </w:numPr>
      </w:pPr>
      <w:r>
        <w:t xml:space="preserve">confidence intervals;</w:t>
      </w:r>
    </w:p>
    <w:p>
      <w:pPr>
        <w:pStyle w:val="Compact"/>
        <w:numPr>
          <w:ilvl w:val="0"/>
          <w:numId w:val="1052"/>
        </w:numPr>
      </w:pPr>
      <w:r>
        <w:t xml:space="preserve">event-level lead-time results;</w:t>
      </w:r>
    </w:p>
    <w:p>
      <w:pPr>
        <w:pStyle w:val="Compact"/>
        <w:numPr>
          <w:ilvl w:val="0"/>
          <w:numId w:val="1052"/>
        </w:numPr>
      </w:pPr>
      <w:r>
        <w:t xml:space="preserve">calibration;</w:t>
      </w:r>
    </w:p>
    <w:p>
      <w:pPr>
        <w:pStyle w:val="Compact"/>
        <w:numPr>
          <w:ilvl w:val="0"/>
          <w:numId w:val="1052"/>
        </w:numPr>
      </w:pPr>
      <w:r>
        <w:t xml:space="preserve">OOD performance;</w:t>
      </w:r>
    </w:p>
    <w:p>
      <w:pPr>
        <w:pStyle w:val="Compact"/>
        <w:numPr>
          <w:ilvl w:val="0"/>
          <w:numId w:val="1052"/>
        </w:numPr>
      </w:pPr>
      <w:r>
        <w:t xml:space="preserve">error analysis;</w:t>
      </w:r>
    </w:p>
    <w:p>
      <w:pPr>
        <w:pStyle w:val="Compact"/>
        <w:numPr>
          <w:ilvl w:val="0"/>
          <w:numId w:val="1052"/>
        </w:numPr>
      </w:pPr>
      <w:r>
        <w:t xml:space="preserve">deployment profiling.</w:t>
      </w:r>
    </w:p>
    <w:p>
      <w:r>
        <w:pict>
          <v:rect style="width:0;height:1.5pt" o:hralign="center" o:hrstd="t" o:hr="t"/>
        </w:pict>
      </w:r>
    </w:p>
    <w:bookmarkEnd w:id="112"/>
    <w:bookmarkStart w:id="113" w:name="X5cb2a455a610164cca40f81f304d3514d2ca1fc"/>
    <w:p>
      <w:pPr>
        <w:pStyle w:val="Heading2"/>
      </w:pPr>
      <w:r>
        <w:t xml:space="preserve">R16 — Reproducibility and Publication Package</w:t>
      </w:r>
    </w:p>
    <w:p>
      <w:pPr>
        <w:pStyle w:val="FirstParagraph"/>
      </w:pPr>
      <w:r>
        <w:t xml:space="preserve">Subject to privacy and commercial restrictions:</w:t>
      </w:r>
    </w:p>
    <w:p>
      <w:pPr>
        <w:pStyle w:val="Compact"/>
        <w:numPr>
          <w:ilvl w:val="0"/>
          <w:numId w:val="1053"/>
        </w:numPr>
      </w:pPr>
      <w:r>
        <w:t xml:space="preserve">anonymised dataset;</w:t>
      </w:r>
    </w:p>
    <w:p>
      <w:pPr>
        <w:pStyle w:val="Compact"/>
        <w:numPr>
          <w:ilvl w:val="0"/>
          <w:numId w:val="1053"/>
        </w:numPr>
      </w:pPr>
      <w:r>
        <w:t xml:space="preserve">preprocessing scripts;</w:t>
      </w:r>
    </w:p>
    <w:p>
      <w:pPr>
        <w:pStyle w:val="Compact"/>
        <w:numPr>
          <w:ilvl w:val="0"/>
          <w:numId w:val="1053"/>
        </w:numPr>
      </w:pPr>
      <w:r>
        <w:t xml:space="preserve">label generator;</w:t>
      </w:r>
    </w:p>
    <w:p>
      <w:pPr>
        <w:pStyle w:val="Compact"/>
        <w:numPr>
          <w:ilvl w:val="0"/>
          <w:numId w:val="1053"/>
        </w:numPr>
      </w:pPr>
      <w:r>
        <w:t xml:space="preserve">model code;</w:t>
      </w:r>
    </w:p>
    <w:p>
      <w:pPr>
        <w:pStyle w:val="Compact"/>
        <w:numPr>
          <w:ilvl w:val="0"/>
          <w:numId w:val="1053"/>
        </w:numPr>
      </w:pPr>
      <w:r>
        <w:t xml:space="preserve">trained checkpoints;</w:t>
      </w:r>
    </w:p>
    <w:p>
      <w:pPr>
        <w:pStyle w:val="Compact"/>
        <w:numPr>
          <w:ilvl w:val="0"/>
          <w:numId w:val="1053"/>
        </w:numPr>
      </w:pPr>
      <w:r>
        <w:t xml:space="preserve">environment specification;</w:t>
      </w:r>
    </w:p>
    <w:p>
      <w:pPr>
        <w:pStyle w:val="Compact"/>
        <w:numPr>
          <w:ilvl w:val="0"/>
          <w:numId w:val="1053"/>
        </w:numPr>
      </w:pPr>
      <w:r>
        <w:t xml:space="preserve">Docker/container configuration;</w:t>
      </w:r>
    </w:p>
    <w:p>
      <w:pPr>
        <w:pStyle w:val="Compact"/>
        <w:numPr>
          <w:ilvl w:val="0"/>
          <w:numId w:val="1053"/>
        </w:numPr>
      </w:pPr>
      <w:r>
        <w:t xml:space="preserve">manuscript.</w:t>
      </w:r>
    </w:p>
    <w:p>
      <w:r>
        <w:pict>
          <v:rect style="width:0;height:1.5pt" o:hralign="center" o:hrstd="t" o:hr="t"/>
        </w:pict>
      </w:r>
    </w:p>
    <w:bookmarkEnd w:id="113"/>
    <w:bookmarkEnd w:id="114"/>
    <w:bookmarkStart w:id="115" w:name="data-governance-and-ethics"/>
    <w:p>
      <w:pPr>
        <w:pStyle w:val="Heading1"/>
      </w:pPr>
      <w:r>
        <w:t xml:space="preserve">27. Data Governance and Ethics</w:t>
      </w:r>
    </w:p>
    <w:p>
      <w:pPr>
        <w:pStyle w:val="FirstParagraph"/>
      </w:pPr>
      <w:r>
        <w:t xml:space="preserve">The measurement dataset may contain identifiers and precise location information.</w:t>
      </w:r>
    </w:p>
    <w:p>
      <w:pPr>
        <w:pStyle w:val="BodyText"/>
      </w:pPr>
      <w:r>
        <w:t xml:space="preserve">Before research release:</w:t>
      </w:r>
    </w:p>
    <w:p>
      <w:pPr>
        <w:pStyle w:val="Compact"/>
        <w:numPr>
          <w:ilvl w:val="0"/>
          <w:numId w:val="1054"/>
        </w:numPr>
      </w:pPr>
      <w:r>
        <w:t xml:space="preserve">IMEI, IMSI, GUTI, TMSI, M-TMSI and similar identifiers will be removed or irreversibly pseudonymised;</w:t>
      </w:r>
    </w:p>
    <w:p>
      <w:pPr>
        <w:pStyle w:val="Compact"/>
        <w:numPr>
          <w:ilvl w:val="0"/>
          <w:numId w:val="1054"/>
        </w:numPr>
      </w:pPr>
      <w:r>
        <w:t xml:space="preserve">telephone numbers and calling-party information will not be released;</w:t>
      </w:r>
    </w:p>
    <w:p>
      <w:pPr>
        <w:pStyle w:val="Compact"/>
        <w:numPr>
          <w:ilvl w:val="0"/>
          <w:numId w:val="1054"/>
        </w:numPr>
      </w:pPr>
      <w:r>
        <w:t xml:space="preserve">raw NAS payloads will be inspected for embedded identifiers;</w:t>
      </w:r>
    </w:p>
    <w:p>
      <w:pPr>
        <w:pStyle w:val="Compact"/>
        <w:numPr>
          <w:ilvl w:val="0"/>
          <w:numId w:val="1054"/>
        </w:numPr>
      </w:pPr>
      <w:r>
        <w:t xml:space="preserve">absolute timestamps will be replaced by relative times where absolute timing is unnecessary;</w:t>
      </w:r>
    </w:p>
    <w:p>
      <w:pPr>
        <w:pStyle w:val="Compact"/>
        <w:numPr>
          <w:ilvl w:val="0"/>
          <w:numId w:val="1054"/>
        </w:numPr>
      </w:pPr>
      <w:r>
        <w:t xml:space="preserve">UE and cell identifiers will be consistently pseudonymised;</w:t>
      </w:r>
    </w:p>
    <w:p>
      <w:pPr>
        <w:pStyle w:val="Compact"/>
        <w:numPr>
          <w:ilvl w:val="0"/>
          <w:numId w:val="1054"/>
        </w:numPr>
      </w:pPr>
      <w:r>
        <w:t xml:space="preserve">sensitive GPS locations will be reduced in precision where appropriate;</w:t>
      </w:r>
    </w:p>
    <w:p>
      <w:pPr>
        <w:pStyle w:val="Compact"/>
        <w:numPr>
          <w:ilvl w:val="0"/>
          <w:numId w:val="1054"/>
        </w:numPr>
      </w:pPr>
      <w:r>
        <w:t xml:space="preserve">any re-identification mappings will be stored separately with restricted access.</w:t>
      </w:r>
    </w:p>
    <w:p>
      <w:pPr>
        <w:pStyle w:val="FirstParagraph"/>
      </w:pPr>
      <w:r>
        <w:t xml:space="preserve">Three data levels should be maintained:</w:t>
      </w:r>
    </w:p>
    <w:p>
      <w:pPr>
        <w:pStyle w:val="Compact"/>
        <w:numPr>
          <w:ilvl w:val="0"/>
          <w:numId w:val="1055"/>
        </w:numPr>
      </w:pPr>
      <w:r>
        <w:t xml:space="preserve">restricted immutable raw data;</w:t>
      </w:r>
    </w:p>
    <w:p>
      <w:pPr>
        <w:pStyle w:val="Compact"/>
        <w:numPr>
          <w:ilvl w:val="0"/>
          <w:numId w:val="1055"/>
        </w:numPr>
      </w:pPr>
      <w:r>
        <w:t xml:space="preserve">internal pseudonymised research data;</w:t>
      </w:r>
    </w:p>
    <w:p>
      <w:pPr>
        <w:pStyle w:val="Compact"/>
        <w:numPr>
          <w:ilvl w:val="0"/>
          <w:numId w:val="1055"/>
        </w:numPr>
      </w:pPr>
      <w:r>
        <w:t xml:space="preserve">public-release data where permitted.</w:t>
      </w:r>
    </w:p>
    <w:p>
      <w:r>
        <w:pict>
          <v:rect style="width:0;height:1.5pt" o:hralign="center" o:hrstd="t" o:hr="t"/>
        </w:pict>
      </w:r>
    </w:p>
    <w:bookmarkEnd w:id="115"/>
    <w:bookmarkStart w:id="119" w:name="required-resources"/>
    <w:p>
      <w:pPr>
        <w:pStyle w:val="Heading1"/>
      </w:pPr>
      <w:r>
        <w:t xml:space="preserve">28. Required Resources</w:t>
      </w:r>
    </w:p>
    <w:bookmarkStart w:id="116" w:name="field-resources"/>
    <w:p>
      <w:pPr>
        <w:pStyle w:val="Heading2"/>
      </w:pPr>
      <w:r>
        <w:t xml:space="preserve">Field Resources</w:t>
      </w:r>
    </w:p>
    <w:p>
      <w:pPr>
        <w:pStyle w:val="FirstParagraph"/>
      </w:pPr>
      <w:r>
        <w:rPr>
          <w:b/>
          <w:bCs/>
        </w:rPr>
        <w:t xml:space="preserve">Required</w:t>
      </w:r>
    </w:p>
    <w:p>
      <w:pPr>
        <w:pStyle w:val="Compact"/>
        <w:numPr>
          <w:ilvl w:val="0"/>
          <w:numId w:val="1056"/>
        </w:numPr>
      </w:pPr>
      <w:r>
        <w:t xml:space="preserve">one XCAL-compatible Exynos LTE UE;</w:t>
      </w:r>
    </w:p>
    <w:p>
      <w:pPr>
        <w:pStyle w:val="Compact"/>
        <w:numPr>
          <w:ilvl w:val="0"/>
          <w:numId w:val="1056"/>
        </w:numPr>
      </w:pPr>
      <w:r>
        <w:t xml:space="preserve">one operator SIM;</w:t>
      </w:r>
    </w:p>
    <w:p>
      <w:pPr>
        <w:pStyle w:val="Compact"/>
        <w:numPr>
          <w:ilvl w:val="0"/>
          <w:numId w:val="1056"/>
        </w:numPr>
      </w:pPr>
      <w:r>
        <w:t xml:space="preserve">XCAL/XCAL-M;</w:t>
      </w:r>
    </w:p>
    <w:p>
      <w:pPr>
        <w:pStyle w:val="Compact"/>
        <w:numPr>
          <w:ilvl w:val="0"/>
          <w:numId w:val="1056"/>
        </w:numPr>
      </w:pPr>
      <w:r>
        <w:t xml:space="preserve">laptop;</w:t>
      </w:r>
    </w:p>
    <w:p>
      <w:pPr>
        <w:pStyle w:val="Compact"/>
        <w:numPr>
          <w:ilvl w:val="0"/>
          <w:numId w:val="1056"/>
        </w:numPr>
      </w:pPr>
      <w:r>
        <w:t xml:space="preserve">GNSS/GPS;</w:t>
      </w:r>
    </w:p>
    <w:p>
      <w:pPr>
        <w:pStyle w:val="Compact"/>
        <w:numPr>
          <w:ilvl w:val="0"/>
          <w:numId w:val="1056"/>
        </w:numPr>
      </w:pPr>
      <w:r>
        <w:t xml:space="preserve">stable UE mount;</w:t>
      </w:r>
    </w:p>
    <w:p>
      <w:pPr>
        <w:pStyle w:val="Compact"/>
        <w:numPr>
          <w:ilvl w:val="0"/>
          <w:numId w:val="1056"/>
        </w:numPr>
      </w:pPr>
      <w:r>
        <w:t xml:space="preserve">mobile power;</w:t>
      </w:r>
    </w:p>
    <w:p>
      <w:pPr>
        <w:pStyle w:val="Compact"/>
        <w:numPr>
          <w:ilvl w:val="0"/>
          <w:numId w:val="1056"/>
        </w:numPr>
      </w:pPr>
      <w:r>
        <w:t xml:space="preserve">backup storage;</w:t>
      </w:r>
    </w:p>
    <w:p>
      <w:pPr>
        <w:pStyle w:val="Compact"/>
        <w:numPr>
          <w:ilvl w:val="0"/>
          <w:numId w:val="1056"/>
        </w:numPr>
      </w:pPr>
      <w:r>
        <w:t xml:space="preserve">remote QoE test server/endpoint.</w:t>
      </w:r>
    </w:p>
    <w:p>
      <w:pPr>
        <w:pStyle w:val="FirstParagraph"/>
      </w:pPr>
      <w:r>
        <w:rPr>
          <w:b/>
          <w:bCs/>
        </w:rPr>
        <w:t xml:space="preserve">Preferred</w:t>
      </w:r>
    </w:p>
    <w:p>
      <w:pPr>
        <w:pStyle w:val="Compact"/>
        <w:numPr>
          <w:ilvl w:val="0"/>
          <w:numId w:val="1057"/>
        </w:numPr>
      </w:pPr>
      <w:r>
        <w:t xml:space="preserve">two or more operator SIMs;</w:t>
      </w:r>
    </w:p>
    <w:p>
      <w:pPr>
        <w:pStyle w:val="Compact"/>
        <w:numPr>
          <w:ilvl w:val="0"/>
          <w:numId w:val="1057"/>
        </w:numPr>
      </w:pPr>
      <w:r>
        <w:t xml:space="preserve">external GNSS;</w:t>
      </w:r>
    </w:p>
    <w:p>
      <w:pPr>
        <w:pStyle w:val="Compact"/>
        <w:numPr>
          <w:ilvl w:val="0"/>
          <w:numId w:val="1057"/>
        </w:numPr>
      </w:pPr>
      <w:r>
        <w:t xml:space="preserve">second supported UE for repeatability;</w:t>
      </w:r>
    </w:p>
    <w:p>
      <w:pPr>
        <w:pStyle w:val="Compact"/>
        <w:numPr>
          <w:ilvl w:val="0"/>
          <w:numId w:val="1057"/>
        </w:numPr>
      </w:pPr>
      <w:r>
        <w:t xml:space="preserve">fixed controlled iPerf/HTTP server.</w:t>
      </w:r>
    </w:p>
    <w:p>
      <w:pPr>
        <w:pStyle w:val="FirstParagraph"/>
      </w:pPr>
      <w:r>
        <w:t xml:space="preserve">A second UE is not a requirement for primary RF, RRC or application-QoE collection.</w:t>
      </w:r>
    </w:p>
    <w:bookmarkEnd w:id="116"/>
    <w:bookmarkStart w:id="117" w:name="computing"/>
    <w:p>
      <w:pPr>
        <w:pStyle w:val="Heading2"/>
      </w:pPr>
      <w:r>
        <w:t xml:space="preserve">Computing</w:t>
      </w:r>
    </w:p>
    <w:p>
      <w:pPr>
        <w:pStyle w:val="FirstParagraph"/>
      </w:pPr>
      <w:r>
        <w:t xml:space="preserve">Minimum:</w:t>
      </w:r>
    </w:p>
    <w:p>
      <w:pPr>
        <w:pStyle w:val="Compact"/>
        <w:numPr>
          <w:ilvl w:val="0"/>
          <w:numId w:val="1058"/>
        </w:numPr>
      </w:pPr>
      <w:r>
        <w:t xml:space="preserve">8 CPU cores;</w:t>
      </w:r>
    </w:p>
    <w:p>
      <w:pPr>
        <w:pStyle w:val="Compact"/>
        <w:numPr>
          <w:ilvl w:val="0"/>
          <w:numId w:val="1058"/>
        </w:numPr>
      </w:pPr>
      <w:r>
        <w:t xml:space="preserve">32 GB RAM;</w:t>
      </w:r>
    </w:p>
    <w:p>
      <w:pPr>
        <w:pStyle w:val="Compact"/>
        <w:numPr>
          <w:ilvl w:val="0"/>
          <w:numId w:val="1058"/>
        </w:numPr>
      </w:pPr>
      <w:r>
        <w:t xml:space="preserve">approximately 8 GB GPU VRAM;</w:t>
      </w:r>
    </w:p>
    <w:p>
      <w:pPr>
        <w:pStyle w:val="Compact"/>
        <w:numPr>
          <w:ilvl w:val="0"/>
          <w:numId w:val="1058"/>
        </w:numPr>
      </w:pPr>
      <w:r>
        <w:t xml:space="preserve">1 TB storage.</w:t>
      </w:r>
    </w:p>
    <w:p>
      <w:pPr>
        <w:pStyle w:val="FirstParagraph"/>
      </w:pPr>
      <w:r>
        <w:t xml:space="preserve">Preferred:</w:t>
      </w:r>
    </w:p>
    <w:p>
      <w:pPr>
        <w:pStyle w:val="Compact"/>
        <w:numPr>
          <w:ilvl w:val="0"/>
          <w:numId w:val="1059"/>
        </w:numPr>
      </w:pPr>
      <w:r>
        <w:t xml:space="preserve">12–16 CPU cores;</w:t>
      </w:r>
    </w:p>
    <w:p>
      <w:pPr>
        <w:pStyle w:val="Compact"/>
        <w:numPr>
          <w:ilvl w:val="0"/>
          <w:numId w:val="1059"/>
        </w:numPr>
      </w:pPr>
      <w:r>
        <w:t xml:space="preserve">64 GB RAM;</w:t>
      </w:r>
    </w:p>
    <w:p>
      <w:pPr>
        <w:pStyle w:val="Compact"/>
        <w:numPr>
          <w:ilvl w:val="0"/>
          <w:numId w:val="1059"/>
        </w:numPr>
      </w:pPr>
      <w:r>
        <w:t xml:space="preserve">12–16 GB NVIDIA GPU;</w:t>
      </w:r>
    </w:p>
    <w:p>
      <w:pPr>
        <w:pStyle w:val="Compact"/>
        <w:numPr>
          <w:ilvl w:val="0"/>
          <w:numId w:val="1059"/>
        </w:numPr>
      </w:pPr>
      <w:r>
        <w:t xml:space="preserve">approximately 2 TB NVMe plus backup.</w:t>
      </w:r>
    </w:p>
    <w:bookmarkEnd w:id="117"/>
    <w:bookmarkStart w:id="118" w:name="software"/>
    <w:p>
      <w:pPr>
        <w:pStyle w:val="Heading2"/>
      </w:pPr>
      <w:r>
        <w:t xml:space="preserve">Software</w:t>
      </w:r>
    </w:p>
    <w:p>
      <w:pPr>
        <w:pStyle w:val="Compact"/>
        <w:numPr>
          <w:ilvl w:val="0"/>
          <w:numId w:val="1060"/>
        </w:numPr>
      </w:pPr>
      <w:r>
        <w:t xml:space="preserve">Python;</w:t>
      </w:r>
    </w:p>
    <w:p>
      <w:pPr>
        <w:pStyle w:val="Compact"/>
        <w:numPr>
          <w:ilvl w:val="0"/>
          <w:numId w:val="1060"/>
        </w:numPr>
      </w:pPr>
      <w:r>
        <w:t xml:space="preserve">pandas or Polars;</w:t>
      </w:r>
    </w:p>
    <w:p>
      <w:pPr>
        <w:pStyle w:val="Compact"/>
        <w:numPr>
          <w:ilvl w:val="0"/>
          <w:numId w:val="1060"/>
        </w:numPr>
      </w:pPr>
      <w:r>
        <w:t xml:space="preserve">NumPy;</w:t>
      </w:r>
    </w:p>
    <w:p>
      <w:pPr>
        <w:pStyle w:val="Compact"/>
        <w:numPr>
          <w:ilvl w:val="0"/>
          <w:numId w:val="1060"/>
        </w:numPr>
      </w:pPr>
      <w:r>
        <w:t xml:space="preserve">SciPy;</w:t>
      </w:r>
    </w:p>
    <w:p>
      <w:pPr>
        <w:pStyle w:val="Compact"/>
        <w:numPr>
          <w:ilvl w:val="0"/>
          <w:numId w:val="1060"/>
        </w:numPr>
      </w:pPr>
      <w:r>
        <w:t xml:space="preserve">PyArrow/Parquet;</w:t>
      </w:r>
    </w:p>
    <w:p>
      <w:pPr>
        <w:pStyle w:val="Compact"/>
        <w:numPr>
          <w:ilvl w:val="0"/>
          <w:numId w:val="1060"/>
        </w:numPr>
      </w:pPr>
      <w:r>
        <w:t xml:space="preserve">DuckDB;</w:t>
      </w:r>
    </w:p>
    <w:p>
      <w:pPr>
        <w:pStyle w:val="Compact"/>
        <w:numPr>
          <w:ilvl w:val="0"/>
          <w:numId w:val="1060"/>
        </w:numPr>
      </w:pPr>
      <w:r>
        <w:t xml:space="preserve">scikit-learn;</w:t>
      </w:r>
    </w:p>
    <w:p>
      <w:pPr>
        <w:pStyle w:val="Compact"/>
        <w:numPr>
          <w:ilvl w:val="0"/>
          <w:numId w:val="1060"/>
        </w:numPr>
      </w:pPr>
      <w:r>
        <w:t xml:space="preserve">XGBoost or LightGBM;</w:t>
      </w:r>
    </w:p>
    <w:p>
      <w:pPr>
        <w:pStyle w:val="Compact"/>
        <w:numPr>
          <w:ilvl w:val="0"/>
          <w:numId w:val="1060"/>
        </w:numPr>
      </w:pPr>
      <w:r>
        <w:t xml:space="preserve">PyTorch;</w:t>
      </w:r>
    </w:p>
    <w:p>
      <w:pPr>
        <w:pStyle w:val="Compact"/>
        <w:numPr>
          <w:ilvl w:val="0"/>
          <w:numId w:val="1060"/>
        </w:numPr>
      </w:pPr>
      <w:r>
        <w:t xml:space="preserve">QGIS;</w:t>
      </w:r>
    </w:p>
    <w:p>
      <w:pPr>
        <w:pStyle w:val="Compact"/>
        <w:numPr>
          <w:ilvl w:val="0"/>
          <w:numId w:val="1060"/>
        </w:numPr>
      </w:pPr>
      <w:r>
        <w:t xml:space="preserve">GeoPandas;</w:t>
      </w:r>
    </w:p>
    <w:p>
      <w:pPr>
        <w:pStyle w:val="Compact"/>
        <w:numPr>
          <w:ilvl w:val="0"/>
          <w:numId w:val="1060"/>
        </w:numPr>
      </w:pPr>
      <w:r>
        <w:t xml:space="preserve">Git;</w:t>
      </w:r>
    </w:p>
    <w:p>
      <w:pPr>
        <w:pStyle w:val="Compact"/>
        <w:numPr>
          <w:ilvl w:val="0"/>
          <w:numId w:val="1060"/>
        </w:numPr>
      </w:pPr>
      <w:r>
        <w:t xml:space="preserve">DVC;</w:t>
      </w:r>
    </w:p>
    <w:p>
      <w:pPr>
        <w:pStyle w:val="Compact"/>
        <w:numPr>
          <w:ilvl w:val="0"/>
          <w:numId w:val="1060"/>
        </w:numPr>
      </w:pPr>
      <w:r>
        <w:t xml:space="preserve">MLflow or Weights &amp; Biases;</w:t>
      </w:r>
    </w:p>
    <w:p>
      <w:pPr>
        <w:pStyle w:val="Compact"/>
        <w:numPr>
          <w:ilvl w:val="0"/>
          <w:numId w:val="1060"/>
        </w:numPr>
      </w:pPr>
      <w:r>
        <w:t xml:space="preserve">Optuna;</w:t>
      </w:r>
    </w:p>
    <w:p>
      <w:pPr>
        <w:pStyle w:val="Compact"/>
        <w:numPr>
          <w:ilvl w:val="0"/>
          <w:numId w:val="1060"/>
        </w:numPr>
      </w:pPr>
      <w:r>
        <w:t xml:space="preserve">ONNX Runtime;</w:t>
      </w:r>
    </w:p>
    <w:p>
      <w:pPr>
        <w:pStyle w:val="Compact"/>
        <w:numPr>
          <w:ilvl w:val="0"/>
          <w:numId w:val="1060"/>
        </w:numPr>
      </w:pPr>
      <w:r>
        <w:t xml:space="preserve">Docker;</w:t>
      </w:r>
    </w:p>
    <w:p>
      <w:pPr>
        <w:pStyle w:val="Compact"/>
        <w:numPr>
          <w:ilvl w:val="0"/>
          <w:numId w:val="1060"/>
        </w:numPr>
      </w:pPr>
      <w:r>
        <w:t xml:space="preserve">Zotero;</w:t>
      </w:r>
    </w:p>
    <w:p>
      <w:pPr>
        <w:pStyle w:val="Compact"/>
        <w:numPr>
          <w:ilvl w:val="0"/>
          <w:numId w:val="1060"/>
        </w:numPr>
      </w:pPr>
      <w:r>
        <w:t xml:space="preserve">LaTeX/Overleaf.</w:t>
      </w:r>
    </w:p>
    <w:p>
      <w:pPr>
        <w:pStyle w:val="FirstParagraph"/>
      </w:pPr>
      <w:r>
        <w:t xml:space="preserve">MATLAB may be retained for independent numerical checks and LTE-related validation where the relevant toolbox licence is available.</w:t>
      </w:r>
    </w:p>
    <w:p>
      <w:r>
        <w:pict>
          <v:rect style="width:0;height:1.5pt" o:hralign="center" o:hrstd="t" o:hr="t"/>
        </w:pict>
      </w:r>
    </w:p>
    <w:bookmarkEnd w:id="118"/>
    <w:bookmarkEnd w:id="119"/>
    <w:bookmarkStart w:id="120" w:name="expected-results"/>
    <w:p>
      <w:pPr>
        <w:pStyle w:val="Heading1"/>
      </w:pPr>
      <w:r>
        <w:t xml:space="preserve">29. Expected Results</w:t>
      </w:r>
    </w:p>
    <w:p>
      <w:pPr>
        <w:pStyle w:val="FirstParagraph"/>
      </w:pPr>
      <w:r>
        <w:t xml:space="preserve">The thesis does not assume in advance that any particular deep-learning architecture will be superior.</w:t>
      </w:r>
    </w:p>
    <w:p>
      <w:pPr>
        <w:pStyle w:val="BodyText"/>
      </w:pPr>
      <w:r>
        <w:t xml:space="preserve">Expected scientific outcomes are instead:</w:t>
      </w:r>
    </w:p>
    <w:p>
      <w:pPr>
        <w:pStyle w:val="Compact"/>
        <w:numPr>
          <w:ilvl w:val="0"/>
          <w:numId w:val="1061"/>
        </w:numPr>
      </w:pPr>
      <w:r>
        <w:t xml:space="preserve">quantitative evidence regarding how much temporal history improves handover forecasting;</w:t>
      </w:r>
    </w:p>
    <w:p>
      <w:pPr>
        <w:pStyle w:val="Compact"/>
        <w:numPr>
          <w:ilvl w:val="0"/>
          <w:numId w:val="1061"/>
        </w:numPr>
      </w:pPr>
      <w:r>
        <w:t xml:space="preserve">performance-versus-horizon curves from 0.5 to 5 seconds;</w:t>
      </w:r>
    </w:p>
    <w:p>
      <w:pPr>
        <w:pStyle w:val="Compact"/>
        <w:numPr>
          <w:ilvl w:val="0"/>
          <w:numId w:val="1061"/>
        </w:numPr>
      </w:pPr>
      <w:r>
        <w:t xml:space="preserve">quantified leakage inflation from random row splitting;</w:t>
      </w:r>
    </w:p>
    <w:p>
      <w:pPr>
        <w:pStyle w:val="Compact"/>
        <w:numPr>
          <w:ilvl w:val="0"/>
          <w:numId w:val="1061"/>
        </w:numPr>
      </w:pPr>
      <w:r>
        <w:t xml:space="preserve">measurements of real external-route generalisation;</w:t>
      </w:r>
    </w:p>
    <w:p>
      <w:pPr>
        <w:pStyle w:val="Compact"/>
        <w:numPr>
          <w:ilvl w:val="0"/>
          <w:numId w:val="1061"/>
        </w:numPr>
      </w:pPr>
      <w:r>
        <w:t xml:space="preserve">evidence on whether QoE variables add predictive value beyond RF;</w:t>
      </w:r>
    </w:p>
    <w:p>
      <w:pPr>
        <w:pStyle w:val="Compact"/>
        <w:numPr>
          <w:ilvl w:val="0"/>
          <w:numId w:val="1061"/>
        </w:numPr>
      </w:pPr>
      <w:r>
        <w:t xml:space="preserve">evidence on whether candidate ranking supports unseen-cell target prediction;</w:t>
      </w:r>
    </w:p>
    <w:p>
      <w:pPr>
        <w:pStyle w:val="Compact"/>
        <w:numPr>
          <w:ilvl w:val="0"/>
          <w:numId w:val="1061"/>
        </w:numPr>
      </w:pPr>
      <w:r>
        <w:t xml:space="preserve">calibration and uncertainty results;</w:t>
      </w:r>
    </w:p>
    <w:p>
      <w:pPr>
        <w:pStyle w:val="Compact"/>
        <w:numPr>
          <w:ilvl w:val="0"/>
          <w:numId w:val="1061"/>
        </w:numPr>
      </w:pPr>
      <w:r>
        <w:t xml:space="preserve">risk–coverage curves demonstrating the value or limitations of abstention;</w:t>
      </w:r>
    </w:p>
    <w:p>
      <w:pPr>
        <w:pStyle w:val="Compact"/>
        <w:numPr>
          <w:ilvl w:val="0"/>
          <w:numId w:val="1061"/>
        </w:numPr>
      </w:pPr>
      <w:r>
        <w:t xml:space="preserve">practical accuracy–latency trade-offs among GRU, TCN and Transformer architectures.</w:t>
      </w:r>
    </w:p>
    <w:p>
      <w:pPr>
        <w:pStyle w:val="FirstParagraph"/>
      </w:pPr>
      <w:r>
        <w:t xml:space="preserve">Negative results, such as a Transformer failing to outperform a compact GRU or multi-task learning causing negative transfer, will remain scientifically reportable.</w:t>
      </w:r>
    </w:p>
    <w:p>
      <w:r>
        <w:pict>
          <v:rect style="width:0;height:1.5pt" o:hralign="center" o:hrstd="t" o:hr="t"/>
        </w:pict>
      </w:r>
    </w:p>
    <w:bookmarkEnd w:id="120"/>
    <w:bookmarkStart w:id="121" w:name="risks-and-mitigation"/>
    <w:p>
      <w:pPr>
        <w:pStyle w:val="Heading1"/>
      </w:pPr>
      <w:r>
        <w:t xml:space="preserve">30. Risks and Mitigation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Consequence</w:t>
            </w:r>
          </w:p>
        </w:tc>
        <w:tc>
          <w:tcPr/>
          <w:p>
            <w:pPr>
              <w:pStyle w:val="Compact"/>
            </w:pPr>
            <w:r>
              <w:t xml:space="preserve">Mitigation</w:t>
            </w:r>
          </w:p>
        </w:tc>
      </w:tr>
      <w:tr>
        <w:tc>
          <w:tcPr/>
          <w:p>
            <w:pPr>
              <w:pStyle w:val="Compact"/>
            </w:pPr>
            <w:r>
              <w:t xml:space="preserve">LTE HO messages unavailable</w:t>
            </w:r>
          </w:p>
        </w:tc>
        <w:tc>
          <w:tcPr/>
          <w:p>
            <w:pPr>
              <w:pStyle w:val="Compact"/>
            </w:pPr>
            <w:r>
              <w:t xml:space="preserve">Cannot reconstruct detailed trigger signalling</w:t>
            </w:r>
          </w:p>
        </w:tc>
        <w:tc>
          <w:tcPr/>
          <w:p>
            <w:pPr>
              <w:pStyle w:val="Compact"/>
            </w:pPr>
            <w:r>
              <w:t xml:space="preserve">Predict observed connected cell transitions</w:t>
            </w:r>
          </w:p>
        </w:tc>
      </w:tr>
      <w:tr>
        <w:tc>
          <w:tcPr/>
          <w:p>
            <w:pPr>
              <w:pStyle w:val="Compact"/>
            </w:pPr>
            <w:r>
              <w:t xml:space="preserve">Neighbour measurements unavailable</w:t>
            </w:r>
          </w:p>
        </w:tc>
        <w:tc>
          <w:tcPr/>
          <w:p>
            <w:pPr>
              <w:pStyle w:val="Compact"/>
            </w:pPr>
            <w:r>
              <w:t xml:space="preserve">Weak target-cell modelling</w:t>
            </w:r>
          </w:p>
        </w:tc>
        <w:tc>
          <w:tcPr/>
          <w:p>
            <w:pPr>
              <w:pStyle w:val="Compact"/>
            </w:pPr>
            <w:r>
              <w:t xml:space="preserve">Reconfigure logging or narrow target-cell claim</w:t>
            </w:r>
          </w:p>
        </w:tc>
      </w:tr>
      <w:tr>
        <w:tc>
          <w:tcPr/>
          <w:p>
            <w:pPr>
              <w:pStyle w:val="Compact"/>
            </w:pPr>
            <w:r>
              <w:t xml:space="preserve">QoE export incomplete</w:t>
            </w:r>
          </w:p>
        </w:tc>
        <w:tc>
          <w:tcPr/>
          <w:p>
            <w:pPr>
              <w:pStyle w:val="Compact"/>
            </w:pPr>
            <w:r>
              <w:t xml:space="preserve">Limited direct service prediction</w:t>
            </w:r>
          </w:p>
        </w:tc>
        <w:tc>
          <w:tcPr/>
          <w:p>
            <w:pPr>
              <w:pStyle w:val="Compact"/>
            </w:pPr>
            <w:r>
              <w:t xml:space="preserve">Run controlled client-side active tests</w:t>
            </w:r>
          </w:p>
        </w:tc>
      </w:tr>
      <w:tr>
        <w:tc>
          <w:tcPr/>
          <w:p>
            <w:pPr>
              <w:pStyle w:val="Compact"/>
            </w:pPr>
            <w:r>
              <w:t xml:space="preserve">Too few HOF/RLF events</w:t>
            </w:r>
          </w:p>
        </w:tc>
        <w:tc>
          <w:tcPr/>
          <w:p>
            <w:pPr>
              <w:pStyle w:val="Compact"/>
            </w:pPr>
            <w:r>
              <w:t xml:space="preserve">Unstable failure classifier</w:t>
            </w:r>
          </w:p>
        </w:tc>
        <w:tc>
          <w:tcPr/>
          <w:p>
            <w:pPr>
              <w:pStyle w:val="Compact"/>
            </w:pPr>
            <w:r>
              <w:t xml:space="preserve">Keep HOF/RLF exploratory</w:t>
            </w:r>
          </w:p>
        </w:tc>
      </w:tr>
      <w:tr>
        <w:tc>
          <w:tcPr/>
          <w:p>
            <w:pPr>
              <w:pStyle w:val="Compact"/>
            </w:pPr>
            <w:r>
              <w:t xml:space="preserve">Clock misalignment</w:t>
            </w:r>
          </w:p>
        </w:tc>
        <w:tc>
          <w:tcPr/>
          <w:p>
            <w:pPr>
              <w:pStyle w:val="Compact"/>
            </w:pPr>
            <w:r>
              <w:t xml:space="preserve">Incorrect sequence labels</w:t>
            </w:r>
          </w:p>
        </w:tc>
        <w:tc>
          <w:tcPr/>
          <w:p>
            <w:pPr>
              <w:pStyle w:val="Compact"/>
            </w:pPr>
            <w:r>
              <w:t xml:space="preserve">Pilot, clock correction and drive rejection</w:t>
            </w:r>
          </w:p>
        </w:tc>
      </w:tr>
      <w:tr>
        <w:tc>
          <w:tcPr/>
          <w:p>
            <w:pPr>
              <w:pStyle w:val="Compact"/>
            </w:pPr>
            <w:r>
              <w:t xml:space="preserve">Route leakage</w:t>
            </w:r>
          </w:p>
        </w:tc>
        <w:tc>
          <w:tcPr/>
          <w:p>
            <w:pPr>
              <w:pStyle w:val="Compact"/>
            </w:pPr>
            <w:r>
              <w:t xml:space="preserve">Inflated performance</w:t>
            </w:r>
          </w:p>
        </w:tc>
        <w:tc>
          <w:tcPr/>
          <w:p>
            <w:pPr>
              <w:pStyle w:val="Compact"/>
            </w:pPr>
            <w:r>
              <w:t xml:space="preserve">Complete-drive and locked-route splits</w:t>
            </w:r>
          </w:p>
        </w:tc>
      </w:tr>
      <w:tr>
        <w:tc>
          <w:tcPr/>
          <w:p>
            <w:pPr>
              <w:pStyle w:val="Compact"/>
            </w:pPr>
            <w:r>
              <w:t xml:space="preserve">Geographic memorisation</w:t>
            </w:r>
          </w:p>
        </w:tc>
        <w:tc>
          <w:tcPr/>
          <w:p>
            <w:pPr>
              <w:pStyle w:val="Compact"/>
            </w:pPr>
            <w:r>
              <w:t xml:space="preserve">Weak transfer claim</w:t>
            </w:r>
          </w:p>
        </w:tc>
        <w:tc>
          <w:tcPr/>
          <w:p>
            <w:pPr>
              <w:pStyle w:val="Compact"/>
            </w:pPr>
            <w:r>
              <w:t xml:space="preserve">Topology-agnostic feature ablation</w:t>
            </w:r>
          </w:p>
        </w:tc>
      </w:tr>
      <w:tr>
        <w:tc>
          <w:tcPr/>
          <w:p>
            <w:pPr>
              <w:pStyle w:val="Compact"/>
            </w:pPr>
            <w:r>
              <w:t xml:space="preserve">Unseen target-cell classes</w:t>
            </w:r>
          </w:p>
        </w:tc>
        <w:tc>
          <w:tcPr/>
          <w:p>
            <w:pPr>
              <w:pStyle w:val="Compact"/>
            </w:pPr>
            <w:r>
              <w:t xml:space="preserve">Fixed classifier cannot transfer</w:t>
            </w:r>
          </w:p>
        </w:tc>
        <w:tc>
          <w:tcPr/>
          <w:p>
            <w:pPr>
              <w:pStyle w:val="Compact"/>
            </w:pPr>
            <w:r>
              <w:t xml:space="preserve">Candidate-neighbour ranking</w:t>
            </w:r>
          </w:p>
        </w:tc>
      </w:tr>
      <w:tr>
        <w:tc>
          <w:tcPr/>
          <w:p>
            <w:pPr>
              <w:pStyle w:val="Compact"/>
            </w:pPr>
            <w:r>
              <w:t xml:space="preserve">Transformer overfitting</w:t>
            </w:r>
          </w:p>
        </w:tc>
        <w:tc>
          <w:tcPr/>
          <w:p>
            <w:pPr>
              <w:pStyle w:val="Compact"/>
            </w:pPr>
            <w:r>
              <w:t xml:space="preserve">Misleading architecture result</w:t>
            </w:r>
          </w:p>
        </w:tc>
        <w:tc>
          <w:tcPr/>
          <w:p>
            <w:pPr>
              <w:pStyle w:val="Compact"/>
            </w:pPr>
            <w:r>
              <w:t xml:space="preserve">GRU/TCN baselines and regularisation</w:t>
            </w:r>
          </w:p>
        </w:tc>
      </w:tr>
      <w:tr>
        <w:tc>
          <w:tcPr/>
          <w:p>
            <w:pPr>
              <w:pStyle w:val="Compact"/>
            </w:pPr>
            <w:r>
              <w:t xml:space="preserve">Poor calibration</w:t>
            </w:r>
          </w:p>
        </w:tc>
        <w:tc>
          <w:tcPr/>
          <w:p>
            <w:pPr>
              <w:pStyle w:val="Compact"/>
            </w:pPr>
            <w:r>
              <w:t xml:space="preserve">Unreliable confidence estimates</w:t>
            </w:r>
          </w:p>
        </w:tc>
        <w:tc>
          <w:tcPr/>
          <w:p>
            <w:pPr>
              <w:pStyle w:val="Compact"/>
            </w:pPr>
            <w:r>
              <w:t xml:space="preserve">Dedicated calibration drives and ensembles</w:t>
            </w:r>
          </w:p>
        </w:tc>
      </w:tr>
      <w:tr>
        <w:tc>
          <w:tcPr/>
          <w:p>
            <w:pPr>
              <w:pStyle w:val="Compact"/>
            </w:pPr>
            <w:r>
              <w:t xml:space="preserve">Temporal dependence harms conformal validity</w:t>
            </w:r>
          </w:p>
        </w:tc>
        <w:tc>
          <w:tcPr/>
          <w:p>
            <w:pPr>
              <w:pStyle w:val="Compact"/>
            </w:pPr>
            <w:r>
              <w:t xml:space="preserve">Misleading coverage claim</w:t>
            </w:r>
          </w:p>
        </w:tc>
        <w:tc>
          <w:tcPr/>
          <w:p>
            <w:pPr>
              <w:pStyle w:val="Compact"/>
            </w:pPr>
            <w:r>
              <w:t xml:space="preserve">Block/group calibration and empirical external coverage</w:t>
            </w:r>
          </w:p>
        </w:tc>
      </w:tr>
      <w:tr>
        <w:tc>
          <w:tcPr/>
          <w:p>
            <w:pPr>
              <w:pStyle w:val="Compact"/>
            </w:pPr>
            <w:r>
              <w:t xml:space="preserve">Remote server bottleneck</w:t>
            </w:r>
          </w:p>
        </w:tc>
        <w:tc>
          <w:tcPr/>
          <w:p>
            <w:pPr>
              <w:pStyle w:val="Compact"/>
            </w:pPr>
            <w:r>
              <w:t xml:space="preserve">QoE confounding</w:t>
            </w:r>
          </w:p>
        </w:tc>
        <w:tc>
          <w:tcPr/>
          <w:p>
            <w:pPr>
              <w:pStyle w:val="Compact"/>
            </w:pPr>
            <w:r>
              <w:t xml:space="preserve">Stable controlled server and server monitoring</w:t>
            </w:r>
          </w:p>
        </w:tc>
      </w:tr>
      <w:tr>
        <w:tc>
          <w:tcPr/>
          <w:p>
            <w:pPr>
              <w:pStyle w:val="Compact"/>
            </w:pPr>
            <w:r>
              <w:t xml:space="preserve">Privacy restrictions</w:t>
            </w:r>
          </w:p>
        </w:tc>
        <w:tc>
          <w:tcPr/>
          <w:p>
            <w:pPr>
              <w:pStyle w:val="Compact"/>
            </w:pPr>
            <w:r>
              <w:t xml:space="preserve">Dataset cannot be publicly released</w:t>
            </w:r>
          </w:p>
        </w:tc>
        <w:tc>
          <w:tcPr/>
          <w:p>
            <w:pPr>
              <w:pStyle w:val="Compact"/>
            </w:pPr>
            <w:r>
              <w:t xml:space="preserve">Multi-level pseudonymisation and controlled release</w:t>
            </w:r>
          </w:p>
        </w:tc>
      </w:tr>
    </w:tbl>
    <w:p>
      <w:r>
        <w:pict>
          <v:rect style="width:0;height:1.5pt" o:hralign="center" o:hrstd="t" o:hr="t"/>
        </w:pict>
      </w:r>
    </w:p>
    <w:bookmarkEnd w:id="121"/>
    <w:bookmarkStart w:id="131" w:name="indicative-timeline"/>
    <w:p>
      <w:pPr>
        <w:pStyle w:val="Heading1"/>
      </w:pPr>
      <w:r>
        <w:t xml:space="preserve">31. Indicative Timeline</w:t>
      </w:r>
    </w:p>
    <w:bookmarkStart w:id="122" w:name="month-1"/>
    <w:p>
      <w:pPr>
        <w:pStyle w:val="Heading3"/>
      </w:pPr>
      <w:r>
        <w:t xml:space="preserve">Month 1</w:t>
      </w:r>
    </w:p>
    <w:p>
      <w:pPr>
        <w:pStyle w:val="Compact"/>
        <w:numPr>
          <w:ilvl w:val="0"/>
          <w:numId w:val="1062"/>
        </w:numPr>
      </w:pPr>
      <w:r>
        <w:t xml:space="preserve">XCAL feasibility pilot;</w:t>
      </w:r>
    </w:p>
    <w:p>
      <w:pPr>
        <w:pStyle w:val="Compact"/>
        <w:numPr>
          <w:ilvl w:val="0"/>
          <w:numId w:val="1062"/>
        </w:numPr>
      </w:pPr>
      <w:r>
        <w:t xml:space="preserve">existing-data audit;</w:t>
      </w:r>
    </w:p>
    <w:p>
      <w:pPr>
        <w:pStyle w:val="Compact"/>
        <w:numPr>
          <w:ilvl w:val="0"/>
          <w:numId w:val="1062"/>
        </w:numPr>
      </w:pPr>
      <w:r>
        <w:t xml:space="preserve">preliminary research protocol.</w:t>
      </w:r>
    </w:p>
    <w:bookmarkEnd w:id="122"/>
    <w:bookmarkStart w:id="123" w:name="month-2"/>
    <w:p>
      <w:pPr>
        <w:pStyle w:val="Heading3"/>
      </w:pPr>
      <w:r>
        <w:t xml:space="preserve">Month 2</w:t>
      </w:r>
    </w:p>
    <w:p>
      <w:pPr>
        <w:pStyle w:val="Compact"/>
        <w:numPr>
          <w:ilvl w:val="0"/>
          <w:numId w:val="1063"/>
        </w:numPr>
      </w:pPr>
      <w:r>
        <w:t xml:space="preserve">privacy/storage infrastructure;</w:t>
      </w:r>
    </w:p>
    <w:p>
      <w:pPr>
        <w:pStyle w:val="Compact"/>
        <w:numPr>
          <w:ilvl w:val="0"/>
          <w:numId w:val="1063"/>
        </w:numPr>
      </w:pPr>
      <w:r>
        <w:t xml:space="preserve">end-to-end micro-pilot;</w:t>
      </w:r>
    </w:p>
    <w:p>
      <w:pPr>
        <w:pStyle w:val="Compact"/>
        <w:numPr>
          <w:ilvl w:val="0"/>
          <w:numId w:val="1063"/>
        </w:numPr>
      </w:pPr>
      <w:r>
        <w:t xml:space="preserve">final route design;</w:t>
      </w:r>
    </w:p>
    <w:p>
      <w:pPr>
        <w:pStyle w:val="Compact"/>
        <w:numPr>
          <w:ilvl w:val="0"/>
          <w:numId w:val="1063"/>
        </w:numPr>
      </w:pPr>
      <w:r>
        <w:t xml:space="preserve">freeze labels and data splits.</w:t>
      </w:r>
    </w:p>
    <w:bookmarkEnd w:id="123"/>
    <w:bookmarkStart w:id="124" w:name="months-35"/>
    <w:p>
      <w:pPr>
        <w:pStyle w:val="Heading3"/>
      </w:pPr>
      <w:r>
        <w:t xml:space="preserve">Months 3–5</w:t>
      </w:r>
    </w:p>
    <w:p>
      <w:pPr>
        <w:pStyle w:val="Compact"/>
        <w:numPr>
          <w:ilvl w:val="0"/>
          <w:numId w:val="1064"/>
        </w:numPr>
      </w:pPr>
      <w:r>
        <w:t xml:space="preserve">staged production drive-test campaign;</w:t>
      </w:r>
    </w:p>
    <w:p>
      <w:pPr>
        <w:pStyle w:val="Compact"/>
        <w:numPr>
          <w:ilvl w:val="0"/>
          <w:numId w:val="1064"/>
        </w:numPr>
      </w:pPr>
      <w:r>
        <w:t xml:space="preserve">periodic field-quality audits.</w:t>
      </w:r>
    </w:p>
    <w:bookmarkEnd w:id="124"/>
    <w:bookmarkStart w:id="125" w:name="months-46"/>
    <w:p>
      <w:pPr>
        <w:pStyle w:val="Heading3"/>
      </w:pPr>
      <w:r>
        <w:t xml:space="preserve">Months 4–6</w:t>
      </w:r>
    </w:p>
    <w:p>
      <w:pPr>
        <w:pStyle w:val="Compact"/>
        <w:numPr>
          <w:ilvl w:val="0"/>
          <w:numId w:val="1065"/>
        </w:numPr>
      </w:pPr>
      <w:r>
        <w:t xml:space="preserve">synchronization;</w:t>
      </w:r>
    </w:p>
    <w:p>
      <w:pPr>
        <w:pStyle w:val="Compact"/>
        <w:numPr>
          <w:ilvl w:val="0"/>
          <w:numId w:val="1065"/>
        </w:numPr>
      </w:pPr>
      <w:r>
        <w:t xml:space="preserve">quality control;</w:t>
      </w:r>
    </w:p>
    <w:p>
      <w:pPr>
        <w:pStyle w:val="Compact"/>
        <w:numPr>
          <w:ilvl w:val="0"/>
          <w:numId w:val="1065"/>
        </w:numPr>
      </w:pPr>
      <w:r>
        <w:t xml:space="preserve">event labels;</w:t>
      </w:r>
    </w:p>
    <w:p>
      <w:pPr>
        <w:pStyle w:val="Compact"/>
        <w:numPr>
          <w:ilvl w:val="0"/>
          <w:numId w:val="1065"/>
        </w:numPr>
      </w:pPr>
      <w:r>
        <w:t xml:space="preserve">feature and sequence construction.</w:t>
      </w:r>
    </w:p>
    <w:bookmarkEnd w:id="125"/>
    <w:bookmarkStart w:id="126" w:name="month-6"/>
    <w:p>
      <w:pPr>
        <w:pStyle w:val="Heading3"/>
      </w:pPr>
      <w:r>
        <w:t xml:space="preserve">Month 6</w:t>
      </w:r>
    </w:p>
    <w:p>
      <w:pPr>
        <w:pStyle w:val="Compact"/>
        <w:numPr>
          <w:ilvl w:val="0"/>
          <w:numId w:val="1066"/>
        </w:numPr>
      </w:pPr>
      <w:r>
        <w:t xml:space="preserve">dataset characterisation;</w:t>
      </w:r>
    </w:p>
    <w:p>
      <w:pPr>
        <w:pStyle w:val="Compact"/>
        <w:numPr>
          <w:ilvl w:val="0"/>
          <w:numId w:val="1066"/>
        </w:numPr>
      </w:pPr>
      <w:r>
        <w:t xml:space="preserve">leakage analysis;</w:t>
      </w:r>
    </w:p>
    <w:p>
      <w:pPr>
        <w:pStyle w:val="Compact"/>
        <w:numPr>
          <w:ilvl w:val="0"/>
          <w:numId w:val="1066"/>
        </w:numPr>
      </w:pPr>
      <w:r>
        <w:t xml:space="preserve">snapshot baselines.</w:t>
      </w:r>
    </w:p>
    <w:bookmarkEnd w:id="126"/>
    <w:bookmarkStart w:id="127" w:name="months-67"/>
    <w:p>
      <w:pPr>
        <w:pStyle w:val="Heading3"/>
      </w:pPr>
      <w:r>
        <w:t xml:space="preserve">Months 6–7</w:t>
      </w:r>
    </w:p>
    <w:p>
      <w:pPr>
        <w:pStyle w:val="Compact"/>
        <w:numPr>
          <w:ilvl w:val="0"/>
          <w:numId w:val="1067"/>
        </w:numPr>
      </w:pPr>
      <w:r>
        <w:t xml:space="preserve">GRU/TCN/Transformer experiments;</w:t>
      </w:r>
    </w:p>
    <w:p>
      <w:pPr>
        <w:pStyle w:val="Compact"/>
        <w:numPr>
          <w:ilvl w:val="0"/>
          <w:numId w:val="1067"/>
        </w:numPr>
      </w:pPr>
      <w:r>
        <w:t xml:space="preserve">target-cell ranking;</w:t>
      </w:r>
    </w:p>
    <w:p>
      <w:pPr>
        <w:pStyle w:val="Compact"/>
        <w:numPr>
          <w:ilvl w:val="0"/>
          <w:numId w:val="1067"/>
        </w:numPr>
      </w:pPr>
      <w:r>
        <w:t xml:space="preserve">feature and multi-task ablations.</w:t>
      </w:r>
    </w:p>
    <w:bookmarkEnd w:id="127"/>
    <w:bookmarkStart w:id="128" w:name="months-78"/>
    <w:p>
      <w:pPr>
        <w:pStyle w:val="Heading3"/>
      </w:pPr>
      <w:r>
        <w:t xml:space="preserve">Months 7–8</w:t>
      </w:r>
    </w:p>
    <w:p>
      <w:pPr>
        <w:pStyle w:val="Compact"/>
        <w:numPr>
          <w:ilvl w:val="0"/>
          <w:numId w:val="1068"/>
        </w:numPr>
      </w:pPr>
      <w:r>
        <w:t xml:space="preserve">uncertainty calibration;</w:t>
      </w:r>
    </w:p>
    <w:p>
      <w:pPr>
        <w:pStyle w:val="Compact"/>
        <w:numPr>
          <w:ilvl w:val="0"/>
          <w:numId w:val="1068"/>
        </w:numPr>
      </w:pPr>
      <w:r>
        <w:t xml:space="preserve">conformal analysis;</w:t>
      </w:r>
    </w:p>
    <w:p>
      <w:pPr>
        <w:pStyle w:val="Compact"/>
        <w:numPr>
          <w:ilvl w:val="0"/>
          <w:numId w:val="1068"/>
        </w:numPr>
      </w:pPr>
      <w:r>
        <w:t xml:space="preserve">OOD detection;</w:t>
      </w:r>
    </w:p>
    <w:p>
      <w:pPr>
        <w:pStyle w:val="Compact"/>
        <w:numPr>
          <w:ilvl w:val="0"/>
          <w:numId w:val="1068"/>
        </w:numPr>
      </w:pPr>
      <w:r>
        <w:t xml:space="preserve">abstention.</w:t>
      </w:r>
    </w:p>
    <w:bookmarkEnd w:id="128"/>
    <w:bookmarkStart w:id="129" w:name="month-9"/>
    <w:p>
      <w:pPr>
        <w:pStyle w:val="Heading3"/>
      </w:pPr>
      <w:r>
        <w:t xml:space="preserve">Month 9</w:t>
      </w:r>
    </w:p>
    <w:p>
      <w:pPr>
        <w:pStyle w:val="Compact"/>
        <w:numPr>
          <w:ilvl w:val="0"/>
          <w:numId w:val="1069"/>
        </w:numPr>
      </w:pPr>
      <w:r>
        <w:t xml:space="preserve">locked external-route evaluation;</w:t>
      </w:r>
    </w:p>
    <w:p>
      <w:pPr>
        <w:pStyle w:val="Compact"/>
        <w:numPr>
          <w:ilvl w:val="0"/>
          <w:numId w:val="1069"/>
        </w:numPr>
      </w:pPr>
      <w:r>
        <w:t xml:space="preserve">statistical testing;</w:t>
      </w:r>
    </w:p>
    <w:p>
      <w:pPr>
        <w:pStyle w:val="Compact"/>
        <w:numPr>
          <w:ilvl w:val="0"/>
          <w:numId w:val="1069"/>
        </w:numPr>
      </w:pPr>
      <w:r>
        <w:t xml:space="preserve">error analysis;</w:t>
      </w:r>
    </w:p>
    <w:p>
      <w:pPr>
        <w:pStyle w:val="Compact"/>
        <w:numPr>
          <w:ilvl w:val="0"/>
          <w:numId w:val="1069"/>
        </w:numPr>
      </w:pPr>
      <w:r>
        <w:t xml:space="preserve">edge profiling.</w:t>
      </w:r>
    </w:p>
    <w:bookmarkEnd w:id="129"/>
    <w:bookmarkStart w:id="130" w:name="month-10"/>
    <w:p>
      <w:pPr>
        <w:pStyle w:val="Heading3"/>
      </w:pPr>
      <w:r>
        <w:t xml:space="preserve">Month 10</w:t>
      </w:r>
    </w:p>
    <w:p>
      <w:pPr>
        <w:pStyle w:val="Compact"/>
        <w:numPr>
          <w:ilvl w:val="0"/>
          <w:numId w:val="1070"/>
        </w:numPr>
      </w:pPr>
      <w:r>
        <w:t xml:space="preserve">reproducibility package;</w:t>
      </w:r>
    </w:p>
    <w:p>
      <w:pPr>
        <w:pStyle w:val="Compact"/>
        <w:numPr>
          <w:ilvl w:val="0"/>
          <w:numId w:val="1070"/>
        </w:numPr>
      </w:pPr>
      <w:r>
        <w:t xml:space="preserve">thesis writing;</w:t>
      </w:r>
    </w:p>
    <w:p>
      <w:pPr>
        <w:pStyle w:val="Compact"/>
        <w:numPr>
          <w:ilvl w:val="0"/>
          <w:numId w:val="1070"/>
        </w:numPr>
      </w:pPr>
      <w:r>
        <w:t xml:space="preserve">journal/conference manuscript preparation.</w:t>
      </w:r>
    </w:p>
    <w:p>
      <w:r>
        <w:pict>
          <v:rect style="width:0;height:1.5pt" o:hralign="center" o:hrstd="t" o:hr="t"/>
        </w:pict>
      </w:r>
    </w:p>
    <w:bookmarkEnd w:id="130"/>
    <w:bookmarkEnd w:id="131"/>
    <w:bookmarkStart w:id="132" w:name="publication-strategy"/>
    <w:p>
      <w:pPr>
        <w:pStyle w:val="Heading1"/>
      </w:pPr>
      <w:r>
        <w:t xml:space="preserve">32. Publication Strategy</w:t>
      </w:r>
    </w:p>
    <w:p>
      <w:pPr>
        <w:pStyle w:val="FirstParagraph"/>
      </w:pPr>
      <w:r>
        <w:t xml:space="preserve">A publication should not be framed as:</w:t>
      </w:r>
    </w:p>
    <w:p>
      <w:pPr>
        <w:pStyle w:val="BlockText"/>
      </w:pPr>
      <w:r>
        <w:t xml:space="preserve">“Comparison of GRU, LSTM and Transformer for LTE handover prediction.”</w:t>
      </w:r>
    </w:p>
    <w:p>
      <w:pPr>
        <w:pStyle w:val="FirstParagraph"/>
      </w:pPr>
      <w:r>
        <w:t xml:space="preserve">That space is already occupied by recent sequence-based work [16].</w:t>
      </w:r>
    </w:p>
    <w:p>
      <w:pPr>
        <w:pStyle w:val="BodyText"/>
      </w:pPr>
      <w:r>
        <w:t xml:space="preserve">The paper should instead be framed around:</w:t>
      </w:r>
    </w:p>
    <w:p>
      <w:pPr>
        <w:pStyle w:val="BlockText"/>
      </w:pPr>
      <w:r>
        <w:rPr>
          <w:b/>
          <w:bCs/>
        </w:rPr>
        <w:t xml:space="preserve">trustworthy generalisation of predictive LTE mobility models from real commercial drive-test sequences.</w:t>
      </w:r>
    </w:p>
    <w:p>
      <w:pPr>
        <w:pStyle w:val="FirstParagraph"/>
      </w:pPr>
      <w:r>
        <w:t xml:space="preserve">The strongest manuscript would combine:</w:t>
      </w:r>
    </w:p>
    <w:p>
      <w:pPr>
        <w:pStyle w:val="Compact"/>
        <w:numPr>
          <w:ilvl w:val="0"/>
          <w:numId w:val="1071"/>
        </w:numPr>
      </w:pPr>
      <w:r>
        <w:t xml:space="preserve">multi-route commercial measurements;</w:t>
      </w:r>
    </w:p>
    <w:p>
      <w:pPr>
        <w:pStyle w:val="Compact"/>
        <w:numPr>
          <w:ilvl w:val="0"/>
          <w:numId w:val="1071"/>
        </w:numPr>
      </w:pPr>
      <w:r>
        <w:t xml:space="preserve">multi-horizon handover prediction;</w:t>
      </w:r>
    </w:p>
    <w:p>
      <w:pPr>
        <w:pStyle w:val="Compact"/>
        <w:numPr>
          <w:ilvl w:val="0"/>
          <w:numId w:val="1071"/>
        </w:numPr>
      </w:pPr>
      <w:r>
        <w:t xml:space="preserve">QoE prediction;</w:t>
      </w:r>
    </w:p>
    <w:p>
      <w:pPr>
        <w:pStyle w:val="Compact"/>
        <w:numPr>
          <w:ilvl w:val="0"/>
          <w:numId w:val="1071"/>
        </w:numPr>
      </w:pPr>
      <w:r>
        <w:t xml:space="preserve">event-level lead time;</w:t>
      </w:r>
    </w:p>
    <w:p>
      <w:pPr>
        <w:pStyle w:val="Compact"/>
        <w:numPr>
          <w:ilvl w:val="0"/>
          <w:numId w:val="1071"/>
        </w:numPr>
      </w:pPr>
      <w:r>
        <w:t xml:space="preserve">complete-route holdout;</w:t>
      </w:r>
    </w:p>
    <w:p>
      <w:pPr>
        <w:pStyle w:val="Compact"/>
        <w:numPr>
          <w:ilvl w:val="0"/>
          <w:numId w:val="1071"/>
        </w:numPr>
      </w:pPr>
      <w:r>
        <w:t xml:space="preserve">formal leakage analysis;</w:t>
      </w:r>
    </w:p>
    <w:p>
      <w:pPr>
        <w:pStyle w:val="Compact"/>
        <w:numPr>
          <w:ilvl w:val="0"/>
          <w:numId w:val="1071"/>
        </w:numPr>
      </w:pPr>
      <w:r>
        <w:t xml:space="preserve">calibrated uncertainty;</w:t>
      </w:r>
    </w:p>
    <w:p>
      <w:pPr>
        <w:pStyle w:val="Compact"/>
        <w:numPr>
          <w:ilvl w:val="0"/>
          <w:numId w:val="1071"/>
        </w:numPr>
      </w:pPr>
      <w:r>
        <w:t xml:space="preserve">OOD-aware abstention;</w:t>
      </w:r>
    </w:p>
    <w:p>
      <w:pPr>
        <w:pStyle w:val="Compact"/>
        <w:numPr>
          <w:ilvl w:val="0"/>
          <w:numId w:val="1071"/>
        </w:numPr>
      </w:pPr>
      <w:r>
        <w:t xml:space="preserve">candidate-cell transfer;</w:t>
      </w:r>
    </w:p>
    <w:p>
      <w:pPr>
        <w:pStyle w:val="Compact"/>
        <w:numPr>
          <w:ilvl w:val="0"/>
          <w:numId w:val="1071"/>
        </w:numPr>
      </w:pPr>
      <w:r>
        <w:t xml:space="preserve">reproducible processing.</w:t>
      </w:r>
    </w:p>
    <w:p>
      <w:pPr>
        <w:pStyle w:val="FirstParagraph"/>
      </w:pPr>
      <w:r>
        <w:t xml:space="preserve">Suitable eventual venues may include IEEE Transactions on Machine Learning in Communications and Networking, IEEE Open Journal of the Communications Society, IEEE Transactions on Network and Service Management, or a strong IEEE communications conference depending on the final depth and results.</w:t>
      </w:r>
    </w:p>
    <w:p>
      <w:r>
        <w:pict>
          <v:rect style="width:0;height:1.5pt" o:hralign="center" o:hrstd="t" o:hr="t"/>
        </w:pict>
      </w:r>
    </w:p>
    <w:bookmarkEnd w:id="132"/>
    <w:bookmarkStart w:id="133" w:name="conclusion"/>
    <w:p>
      <w:pPr>
        <w:pStyle w:val="Heading1"/>
      </w:pPr>
      <w:r>
        <w:t xml:space="preserve">33. Conclusion</w:t>
      </w:r>
    </w:p>
    <w:p>
      <w:pPr>
        <w:pStyle w:val="FirstParagraph"/>
      </w:pPr>
      <w:r>
        <w:t xml:space="preserve">This thesis proposes a real-world, uncertainty-aware approach to predictive LTE mobility management. Rather than treating handover prediction as a conventional classification benchmark, the study will evaluate whether temporal LTE measurements provide useful and trustworthy advance warning under realistic geographical distribution shift.</w:t>
      </w:r>
    </w:p>
    <w:p>
      <w:pPr>
        <w:pStyle w:val="BodyText"/>
      </w:pPr>
      <w:r>
        <w:t xml:space="preserve">The central methodological priorities are independent drive-test diversity, strict leakage prevention, event-based evaluation, QoE integration, uncertainty calibration and external-route testing. These priorities distinguish the study from architecture-centred handover-prediction work and provide a defensible path toward a publishable communications and machine-learning contribution.</w:t>
      </w:r>
    </w:p>
    <w:p>
      <w:pPr>
        <w:pStyle w:val="BodyText"/>
      </w:pPr>
      <w:r>
        <w:t xml:space="preserve">The project will begin with an XCAL technical feasibility pilot and an end-to-end micro-pilot. Full data collection will proceed only after RF, cell, signalling, QoE and timestamp capabilities have been verified and one raw drive can be automatically transformed into a reproducible labelled sequence dataset.</w:t>
      </w:r>
    </w:p>
    <w:p>
      <w:r>
        <w:pict>
          <v:rect style="width:0;height:1.5pt" o:hralign="center" o:hrstd="t" o:hr="t"/>
        </w:pict>
      </w:r>
    </w:p>
    <w:bookmarkEnd w:id="133"/>
    <w:bookmarkStart w:id="134" w:name="references"/>
    <w:p>
      <w:pPr>
        <w:pStyle w:val="Heading1"/>
      </w:pPr>
      <w:r>
        <w:t xml:space="preserve">References</w:t>
      </w:r>
    </w:p>
    <w:p>
      <w:pPr>
        <w:pStyle w:val="FirstParagraph"/>
      </w:pPr>
      <w:r>
        <w:t xml:space="preserve">[1] K. M. Istiaque, M. M. S. Shafi, S. S. Sowad, and M. T. Kawser, “Adaptive Handover Optimization in LTE: Comparative Evaluation of Fuzzy Logic and DQN,” conference paper, 2025. Supplied foundation manuscript.</w:t>
      </w:r>
    </w:p>
    <w:p>
      <w:pPr>
        <w:pStyle w:val="BodyText"/>
      </w:pPr>
      <w:r>
        <w:t xml:space="preserve">[2] M. M. S. Shafi, S. S. Sowad, K. M. Istiaque, and M. T. Kawser, “Handover Optimization in LTE Networks Using Contextual Bandit Reinforcement Learning and Real-World Data,” conference paper, 2025. Supplied foundation manuscript.</w:t>
      </w:r>
    </w:p>
    <w:p>
      <w:pPr>
        <w:pStyle w:val="BodyText"/>
      </w:pPr>
      <w:r>
        <w:t xml:space="preserve">[3] K. M. Istiaque, S. S. Sowad, M. M. S. Shafi, and M. T. Kawser, “Reducing Handover and Ping-Pong Events in LTE Networks via Q-Learning and Subtractive Clustering,” conference paper, 2025. Supplied foundation manuscript.</w:t>
      </w:r>
    </w:p>
    <w:p>
      <w:pPr>
        <w:pStyle w:val="BodyText"/>
      </w:pPr>
      <w:r>
        <w:t xml:space="preserve">[4] M. M. S. Shafi, K. M. Istiaque, S. S. Sowad, and M. T. Kawser, “Drive-Test-Based LTE Handover Dataset for Cellular Mobility Studies in Urban Bangladesh,” Mendeley Data, 2025.</w:t>
      </w:r>
    </w:p>
    <w:p>
      <w:pPr>
        <w:pStyle w:val="BodyText"/>
      </w:pPr>
      <w:r>
        <w:t xml:space="preserve">[5] W. K. Saad, I. Shayea, B. J. Hamza, H. Mohamad, Y. I. Daradkeh, and W. A. Jabbar, “Handover Parameters Optimisation Techniques in 5G Networks,” Sensors, vol. 21, no. 15, Art. no. 5202, 2021, doi: 10.3390/s21155202.</w:t>
      </w:r>
    </w:p>
    <w:p>
      <w:pPr>
        <w:pStyle w:val="BodyText"/>
      </w:pPr>
      <w:r>
        <w:t xml:space="preserve">[6] S. K. Thillaigovindhan, M. Roslee, S. M. I. Mitani, A. F. Osman, and F. Z. Ali, “A Comprehensive Survey on Machine Learning Methods for Handover Optimization in 5G Networks,” Electronics, vol. 13, no. 16, Art. no. 3223, 2024, doi: 10.3390/electronics13163223.</w:t>
      </w:r>
    </w:p>
    <w:p>
      <w:pPr>
        <w:pStyle w:val="BodyText"/>
      </w:pPr>
      <w:r>
        <w:t xml:space="preserve">[7] T. Ankome et al., “Reactive to Predictive Mobility Management: A Systematic Review of ML-Driven Handover Optimization in 5G and Beyond,” Machine Learning and Knowledge Extraction, 2026.</w:t>
      </w:r>
    </w:p>
    <w:p>
      <w:pPr>
        <w:pStyle w:val="BodyText"/>
      </w:pPr>
      <w:r>
        <w:t xml:space="preserve">[8] D. Zidic, T. Mastelic, I. Nizetic Kosovic, M. Cagalj, and J. Lorincz, “Analyses of Ping-Pong Handovers in Real 4G Telecommunication Networks,” Computer Networks, vol. 227, Art. no. 109699, 2023, doi: 10.1016/j.comnet.2023.109699.</w:t>
      </w:r>
    </w:p>
    <w:p>
      <w:pPr>
        <w:pStyle w:val="BodyText"/>
      </w:pPr>
      <w:r>
        <w:t xml:space="preserve">[9] S. Farthofer, M. Herlich, C. Maier, S. Pochaba, J. Lackner, and P. Dorfinger, “An Open Mobile Communications Drive Test Data Set and Its Use for Machine Learning,” IEEE Open Journal of the Communications Society, vol. 3, pp. 1688–1701, 2022, doi: 10.1109/OJCOMS.2022.3210289.</w:t>
      </w:r>
    </w:p>
    <w:p>
      <w:pPr>
        <w:pStyle w:val="BodyText"/>
      </w:pPr>
      <w:r>
        <w:t xml:space="preserve">[10] R. Karmakar, G. Kaddoum, and S. Chattopadhyay, “Mobility Management in 5G and Beyond: A Novel Smart Handover with Adaptive Time-to-Trigger and Hysteresis Margin,” IEEE Transactions on Mobile Computing, vol. 22, no. 10, pp. 5995–6010, 2023, doi: 10.1109/TMC.2022.3188212.</w:t>
      </w:r>
    </w:p>
    <w:p>
      <w:pPr>
        <w:pStyle w:val="BodyText"/>
      </w:pPr>
      <w:r>
        <w:t xml:space="preserve">[11] V. R. Gannapathy, R. Nordin, A. Abu-Samah, N. F. Abdullah, and M. Ismail, “An Adaptive TTT Handover Mechanism for Dual Connectivity (5G mmWave—LTE Advanced) during Unpredictable Wireless Channel Behavior,” Sensors, vol. 23, no. 9, Art. no. 4357, 2023, doi: 10.3390/s23094357.</w:t>
      </w:r>
    </w:p>
    <w:p>
      <w:pPr>
        <w:pStyle w:val="BodyText"/>
      </w:pPr>
      <w:r>
        <w:t xml:space="preserve">[12] W.-S. Hwang, T.-Y. Cheng, Y.-J. Wu, and M.-H. Cheng, “Adaptive Handover Decision Using Fuzzy Logic for 5G Ultra-Dense Networks,” Electronics, vol. 11, no. 20, Art. no. 3278, 2022, doi: 10.3390/electronics11203278.</w:t>
      </w:r>
    </w:p>
    <w:p>
      <w:pPr>
        <w:pStyle w:val="BodyText"/>
      </w:pPr>
      <w:r>
        <w:t xml:space="preserve">[13] S. Alraih, R. Nordin, A. Abu-Samah, I. Shayea, N. F. Abdullah, and A. Alhammadi, “Robust Handover Optimization Technique with Fuzzy Logic Controller for Beyond 5G Mobile Networks,” Sensors, vol. 22, no. 16, Art. no. 6199, 2022, doi: 10.3390/s22166199.</w:t>
      </w:r>
    </w:p>
    <w:p>
      <w:pPr>
        <w:pStyle w:val="BodyText"/>
      </w:pPr>
      <w:r>
        <w:t xml:space="preserve">[14] A. I. Mbulwa, H. T. Yew, A. Chekima, and J. A. Dargham, “Self-Optimization of Handover Control Parameters for 5G Wireless Networks and Beyond,” IEEE Access, vol. 12, pp. 6117–6135, 2024, doi: 10.1109/ACCESS.2023.3346039.</w:t>
      </w:r>
    </w:p>
    <w:p>
      <w:pPr>
        <w:pStyle w:val="BodyText"/>
      </w:pPr>
      <w:r>
        <w:t xml:space="preserve">[15] W. Tashan et al., “Optimal Handover Optimization in Future Mobile Heterogeneous Network Using Integrated Weighted and Fuzzy Logic Models,” IEEE Access, 2024.</w:t>
      </w:r>
    </w:p>
    <w:p>
      <w:pPr>
        <w:pStyle w:val="BodyText"/>
      </w:pPr>
      <w:r>
        <w:t xml:space="preserve">[16] M. Kabeer, R. Nordin, M. Behjati, and S. L. Lau, “Sequence-Based Deep Learning for Handover Optimization in Dense Urban Cellular Networks,” IEEE Wireless Communications and Networking Conference (WCNC), 2026.</w:t>
      </w:r>
    </w:p>
    <w:p>
      <w:pPr>
        <w:pStyle w:val="BodyText"/>
      </w:pPr>
      <w:r>
        <w:t xml:space="preserve">[17] I. Panitsas, A. Mudvari, A. Maatouk, and L. Tassiulas, “Predictive Handover Strategy in 6G and Beyond: A Deep and Transfer Learning Approach,” arXiv:2404.08113, 2024.</w:t>
      </w:r>
    </w:p>
    <w:p>
      <w:pPr>
        <w:pStyle w:val="BodyText"/>
      </w:pPr>
      <w:r>
        <w:t xml:space="preserve">[18] A. G. Bermudez, M. Farreras, M. Groshev, J. A. Trujillo, I. de la Bandera, and R. Barco, “Graph Neural Networks for Open Radio Access Network Mobility Management: A Link Prediction Approach,” IEEE Vehicular Technology Magazine, vol. 20, no. 4, pp. 66–74, 2025, doi: 10.1109/MVT.2025.3623286.</w:t>
      </w:r>
    </w:p>
    <w:p>
      <w:pPr>
        <w:pStyle w:val="BodyText"/>
      </w:pPr>
      <w:r>
        <w:t xml:space="preserve">[19] M. Dzaferagic, B. M. Xavier, D. Collins, V. D’Onofrio, M. Martinello, and M. Ruffini, “ML-Based Handover Prediction Over a Real O-RAN Deployment Using RAN Intelligent Controller,” IEEE Transactions on Network and Service Management, 2024, doi: 10.1109/TNSM.2024.3468910.</w:t>
      </w:r>
    </w:p>
    <w:p>
      <w:pPr>
        <w:pStyle w:val="BodyText"/>
      </w:pPr>
      <w:r>
        <w:t xml:space="preserve">[20] B. Lakshminarayanan, A. Pritzel, and C. Blundell, “Simple and Scalable Predictive Uncertainty Estimation Using Deep Ensembles,” Advances in Neural Information Processing Systems, 2017.</w:t>
      </w:r>
    </w:p>
    <w:p>
      <w:pPr>
        <w:pStyle w:val="BodyText"/>
      </w:pPr>
      <w:r>
        <w:t xml:space="preserve">[21] R. F. Barber and A. Pananjady, “Predictive Inference for Time Series: Why Is Split Conformal Effective Despite Temporal Dependence?” Proceedings of the 37th International Conference on Algorithmic Learning Theory, PMLR, vol. 313, pp. 1–24, 2026.</w:t>
      </w:r>
    </w:p>
    <w:p>
      <w:pPr>
        <w:pStyle w:val="BodyText"/>
      </w:pPr>
      <w:r>
        <w:t xml:space="preserve">[33] A. Wadud, F. Golpayegani, and N. Afraz, “AI-Driven Multi-Modal Adaptive Handover Control Optimization for O-RAN,” arXiv:2603.17158, 2026.</w:t>
      </w:r>
    </w:p>
    <w:p>
      <w:pPr>
        <w:pStyle w:val="BodyText"/>
      </w:pPr>
      <w:r>
        <w:t xml:space="preserve">[37] 3GPP, “TS 36.331 — Evolved Universal Terrestrial Radio Access (E-UTRA); Radio Resource Control (RRC); Protocol Specification.”</w:t>
      </w:r>
    </w:p>
    <w:p>
      <w:pPr>
        <w:pStyle w:val="BodyText"/>
      </w:pPr>
      <w:r>
        <w:t xml:space="preserve">[39] Accuver, “XCAL Product Information,” official product documentation.</w:t>
      </w:r>
    </w:p>
    <w:p>
      <w:pPr>
        <w:pStyle w:val="BodyText"/>
      </w:pPr>
      <w:r>
        <w:t xml:space="preserve">[40] Accuver, “XCAL-Mobile Product Information,” official product documentation.</w:t>
      </w:r>
    </w:p>
    <w:p>
      <w:pPr>
        <w:pStyle w:val="BodyText"/>
      </w:pPr>
      <w:r>
        <w:t xml:space="preserve">[43] MathWorks, “LTE Toolbox Documentation,” official technical documentation.</w:t>
      </w:r>
    </w:p>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