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72815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This version is substantially cleaner, but it is not yet scientifically consistent enough for final submission.</w:t>
      </w:r>
      <w:r>
        <w:rPr>
          <w:rFonts w:ascii="Times New Roman" w:hAnsi="Times New Roman" w:eastAsia="Times New Roman" w:cs="Times New Roman"/>
          <w:color w:val="000000"/>
          <w:sz w:val="24"/>
        </w:rPr>
        <w:t xml:space="preserve"> Several corrections are now stated properly in the methods, while the abstract, figures and conclusions still repeat the earlier claims.</w:t>
      </w:r>
      <w:r/>
    </w:p>
    <w:p w14:paraId="1B693A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 reviewed the PDF’s methods, results, feature inventory, reproduction notes and selected rendered figures and tables. </w:t>
      </w:r>
      <w:r>
        <w:rPr>
          <w:rFonts w:ascii="Times New Roman" w:hAnsi="Times New Roman" w:eastAsia="Times New Roman" w:cs="Times New Roman"/>
          <w:b/>
          <w:color w:val="000000"/>
          <w:sz w:val="24"/>
        </w:rPr>
        <w:t xml:space="preserve">This evaluates the revised manuscript; it does not verify a revised implementation</w:t>
      </w:r>
      <w:r>
        <w:rPr>
          <w:rFonts w:ascii="Times New Roman" w:hAnsi="Times New Roman" w:eastAsia="Times New Roman" w:cs="Times New Roman"/>
          <w:color w:val="000000"/>
          <w:sz w:val="24"/>
        </w:rPr>
        <w:t xml:space="preserve">, because no updated notebooks or processing code accompany it. Page references below use the thesis’s printed page numbers.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940"/>
        <w:gridCol w:w="4852"/>
      </w:tblGrid>
      <w:tr>
        <w:trPr/>
        <w:tc>
          <w:tcPr>
            <w:tcBorders/>
            <w:tcMar>
              <w:left w:w="15" w:type="dxa"/>
              <w:top w:w="15" w:type="dxa"/>
              <w:right w:w="15" w:type="dxa"/>
              <w:bottom w:w="15" w:type="dxa"/>
            </w:tcMar>
            <w:tcW w:w="2940" w:type="dxa"/>
            <w:vAlign w:val="center"/>
          </w:tcPr>
          <w:p w14:paraId="74A96A99">
            <w:pPr>
              <w:pBdr/>
              <w:spacing w:after="0" w:before="0" w:line="240"/>
              <w:ind/>
              <w:jc w:val="center"/>
              <w:rPr/>
            </w:pPr>
            <w:r>
              <w:rPr>
                <w:rFonts w:ascii="Times New Roman" w:hAnsi="Times New Roman" w:eastAsia="Times New Roman" w:cs="Times New Roman"/>
                <w:b/>
                <w:color w:val="000000"/>
                <w:sz w:val="24"/>
              </w:rPr>
              <w:t xml:space="preserve">Area</w:t>
            </w:r>
            <w:r/>
          </w:p>
        </w:tc>
        <w:tc>
          <w:tcPr>
            <w:tcBorders/>
            <w:tcMar>
              <w:left w:w="15" w:type="dxa"/>
              <w:top w:w="15" w:type="dxa"/>
              <w:right w:w="15" w:type="dxa"/>
              <w:bottom w:w="15" w:type="dxa"/>
            </w:tcMar>
            <w:tcW w:w="4852" w:type="dxa"/>
            <w:vAlign w:val="center"/>
          </w:tcPr>
          <w:p w14:paraId="338CBA1A">
            <w:pPr>
              <w:pBdr/>
              <w:spacing w:after="0" w:before="0" w:line="240"/>
              <w:ind/>
              <w:jc w:val="center"/>
              <w:rPr/>
            </w:pPr>
            <w:r>
              <w:rPr>
                <w:rFonts w:ascii="Times New Roman" w:hAnsi="Times New Roman" w:eastAsia="Times New Roman" w:cs="Times New Roman"/>
                <w:b/>
                <w:color w:val="000000"/>
                <w:sz w:val="24"/>
              </w:rPr>
              <w:t xml:space="preserve">Assessment</w:t>
            </w:r>
            <w:r/>
          </w:p>
        </w:tc>
      </w:tr>
      <w:tr>
        <w:trPr/>
        <w:tc>
          <w:tcPr>
            <w:tcBorders/>
            <w:tcMar>
              <w:left w:w="15" w:type="dxa"/>
              <w:top w:w="15" w:type="dxa"/>
              <w:right w:w="15" w:type="dxa"/>
              <w:bottom w:w="15" w:type="dxa"/>
            </w:tcMar>
            <w:tcW w:w="2940" w:type="dxa"/>
            <w:vAlign w:val="center"/>
          </w:tcPr>
          <w:p w14:paraId="59AA1E08">
            <w:pPr>
              <w:pBdr/>
              <w:spacing w:after="0" w:before="0" w:line="240"/>
              <w:ind/>
              <w:rPr/>
            </w:pPr>
            <w:r>
              <w:rPr>
                <w:rFonts w:ascii="Times New Roman" w:hAnsi="Times New Roman" w:eastAsia="Times New Roman" w:cs="Times New Roman"/>
                <w:color w:val="000000"/>
                <w:sz w:val="24"/>
              </w:rPr>
              <w:t xml:space="preserve">Research direction</w:t>
            </w:r>
            <w:r/>
          </w:p>
        </w:tc>
        <w:tc>
          <w:tcPr>
            <w:tcBorders/>
            <w:tcMar>
              <w:left w:w="15" w:type="dxa"/>
              <w:top w:w="15" w:type="dxa"/>
              <w:right w:w="15" w:type="dxa"/>
              <w:bottom w:w="15" w:type="dxa"/>
            </w:tcMar>
            <w:tcW w:w="4852" w:type="dxa"/>
            <w:vAlign w:val="center"/>
          </w:tcPr>
          <w:p w14:paraId="6BABBC06">
            <w:pPr>
              <w:pBdr/>
              <w:spacing w:after="0" w:before="0" w:line="240"/>
              <w:ind/>
              <w:rPr/>
            </w:pPr>
            <w:r>
              <w:rPr>
                <w:rFonts w:ascii="Times New Roman" w:hAnsi="Times New Roman" w:eastAsia="Times New Roman" w:cs="Times New Roman"/>
                <w:color w:val="000000"/>
                <w:sz w:val="24"/>
              </w:rPr>
              <w:t xml:space="preserve">Defensible as a measurement and evaluation study</w:t>
            </w:r>
            <w:r/>
          </w:p>
        </w:tc>
      </w:tr>
      <w:tr>
        <w:trPr/>
        <w:tc>
          <w:tcPr>
            <w:tcBorders/>
            <w:tcMar>
              <w:left w:w="15" w:type="dxa"/>
              <w:top w:w="15" w:type="dxa"/>
              <w:right w:w="15" w:type="dxa"/>
              <w:bottom w:w="15" w:type="dxa"/>
            </w:tcMar>
            <w:tcW w:w="2940" w:type="dxa"/>
            <w:vAlign w:val="center"/>
          </w:tcPr>
          <w:p w14:paraId="41858447">
            <w:pPr>
              <w:pBdr/>
              <w:spacing w:after="0" w:before="0" w:line="240"/>
              <w:ind/>
              <w:rPr/>
            </w:pPr>
            <w:r>
              <w:rPr>
                <w:rFonts w:ascii="Times New Roman" w:hAnsi="Times New Roman" w:eastAsia="Times New Roman" w:cs="Times New Roman"/>
                <w:color w:val="000000"/>
                <w:sz w:val="24"/>
              </w:rPr>
              <w:t xml:space="preserve">Description of neighbor inputs</w:t>
            </w:r>
            <w:r/>
          </w:p>
        </w:tc>
        <w:tc>
          <w:tcPr>
            <w:tcBorders/>
            <w:tcMar>
              <w:left w:w="15" w:type="dxa"/>
              <w:top w:w="15" w:type="dxa"/>
              <w:right w:w="15" w:type="dxa"/>
              <w:bottom w:w="15" w:type="dxa"/>
            </w:tcMar>
            <w:tcW w:w="4852" w:type="dxa"/>
            <w:vAlign w:val="center"/>
          </w:tcPr>
          <w:p w14:paraId="092BCDA0">
            <w:pPr>
              <w:pBdr/>
              <w:spacing w:after="0" w:before="0" w:line="240"/>
              <w:ind/>
              <w:rPr/>
            </w:pPr>
            <w:r>
              <w:rPr>
                <w:rFonts w:ascii="Times New Roman" w:hAnsi="Times New Roman" w:eastAsia="Times New Roman" w:cs="Times New Roman"/>
                <w:color w:val="000000"/>
                <w:sz w:val="24"/>
              </w:rPr>
              <w:t xml:space="preserve">Improved, but conflicts remain</w:t>
            </w:r>
            <w:r/>
          </w:p>
        </w:tc>
      </w:tr>
      <w:tr>
        <w:trPr/>
        <w:tc>
          <w:tcPr>
            <w:tcBorders/>
            <w:tcMar>
              <w:left w:w="15" w:type="dxa"/>
              <w:top w:w="15" w:type="dxa"/>
              <w:right w:w="15" w:type="dxa"/>
              <w:bottom w:w="15" w:type="dxa"/>
            </w:tcMar>
            <w:tcW w:w="2940" w:type="dxa"/>
            <w:vAlign w:val="center"/>
          </w:tcPr>
          <w:p w14:paraId="4AE9531D">
            <w:pPr>
              <w:pBdr/>
              <w:spacing w:after="0" w:before="0" w:line="240"/>
              <w:ind/>
              <w:rPr/>
            </w:pPr>
            <w:r>
              <w:rPr>
                <w:rFonts w:ascii="Times New Roman" w:hAnsi="Times New Roman" w:eastAsia="Times New Roman" w:cs="Times New Roman"/>
                <w:color w:val="000000"/>
                <w:sz w:val="24"/>
              </w:rPr>
              <w:t xml:space="preserve">Timing validity</w:t>
            </w:r>
            <w:r/>
          </w:p>
        </w:tc>
        <w:tc>
          <w:tcPr>
            <w:tcBorders/>
            <w:tcMar>
              <w:left w:w="15" w:type="dxa"/>
              <w:top w:w="15" w:type="dxa"/>
              <w:right w:w="15" w:type="dxa"/>
              <w:bottom w:w="15" w:type="dxa"/>
            </w:tcMar>
            <w:tcW w:w="4852" w:type="dxa"/>
            <w:vAlign w:val="center"/>
          </w:tcPr>
          <w:p w14:paraId="406FCF95">
            <w:pPr>
              <w:pBdr/>
              <w:spacing w:after="0" w:before="0" w:line="240"/>
              <w:ind/>
              <w:rPr/>
            </w:pPr>
            <w:r>
              <w:rPr>
                <w:rFonts w:ascii="Times New Roman" w:hAnsi="Times New Roman" w:eastAsia="Times New Roman" w:cs="Times New Roman"/>
                <w:color w:val="000000"/>
                <w:sz w:val="24"/>
              </w:rPr>
              <w:t xml:space="preserve">Major unresolved issue</w:t>
            </w:r>
            <w:r/>
          </w:p>
        </w:tc>
      </w:tr>
      <w:tr>
        <w:trPr/>
        <w:tc>
          <w:tcPr>
            <w:tcBorders/>
            <w:tcMar>
              <w:left w:w="15" w:type="dxa"/>
              <w:top w:w="15" w:type="dxa"/>
              <w:right w:w="15" w:type="dxa"/>
              <w:bottom w:w="15" w:type="dxa"/>
            </w:tcMar>
            <w:tcW w:w="2940" w:type="dxa"/>
            <w:vAlign w:val="center"/>
          </w:tcPr>
          <w:p w14:paraId="59B2E276">
            <w:pPr>
              <w:pBdr/>
              <w:spacing w:after="0" w:before="0" w:line="240"/>
              <w:ind/>
              <w:rPr/>
            </w:pPr>
            <w:r>
              <w:rPr>
                <w:rFonts w:ascii="Times New Roman" w:hAnsi="Times New Roman" w:eastAsia="Times New Roman" w:cs="Times New Roman"/>
                <w:color w:val="000000"/>
                <w:sz w:val="24"/>
              </w:rPr>
              <w:t xml:space="preserve">Evaluation and risk control</w:t>
            </w:r>
            <w:r/>
          </w:p>
        </w:tc>
        <w:tc>
          <w:tcPr>
            <w:tcBorders/>
            <w:tcMar>
              <w:left w:w="15" w:type="dxa"/>
              <w:top w:w="15" w:type="dxa"/>
              <w:right w:w="15" w:type="dxa"/>
              <w:bottom w:w="15" w:type="dxa"/>
            </w:tcMar>
            <w:tcW w:w="4852" w:type="dxa"/>
            <w:vAlign w:val="center"/>
          </w:tcPr>
          <w:p w14:paraId="2D68A7B4">
            <w:pPr>
              <w:pBdr/>
              <w:spacing w:after="0" w:before="0" w:line="240"/>
              <w:ind/>
              <w:rPr/>
            </w:pPr>
            <w:r>
              <w:rPr>
                <w:rFonts w:ascii="Times New Roman" w:hAnsi="Times New Roman" w:eastAsia="Times New Roman" w:cs="Times New Roman"/>
                <w:color w:val="000000"/>
                <w:sz w:val="24"/>
              </w:rPr>
              <w:t xml:space="preserve">Better explanations, inconsistent conclusions</w:t>
            </w:r>
            <w:r/>
          </w:p>
        </w:tc>
      </w:tr>
      <w:tr>
        <w:trPr/>
        <w:tc>
          <w:tcPr>
            <w:tcBorders/>
            <w:tcMar>
              <w:left w:w="15" w:type="dxa"/>
              <w:top w:w="15" w:type="dxa"/>
              <w:right w:w="15" w:type="dxa"/>
              <w:bottom w:w="15" w:type="dxa"/>
            </w:tcMar>
            <w:tcW w:w="2940" w:type="dxa"/>
            <w:vAlign w:val="center"/>
          </w:tcPr>
          <w:p w14:paraId="1F3CC42D">
            <w:pPr>
              <w:pBdr/>
              <w:spacing w:after="0" w:before="0" w:line="240"/>
              <w:ind/>
              <w:rPr/>
            </w:pPr>
            <w:r>
              <w:rPr>
                <w:rFonts w:ascii="Times New Roman" w:hAnsi="Times New Roman" w:eastAsia="Times New Roman" w:cs="Times New Roman"/>
                <w:color w:val="000000"/>
                <w:sz w:val="24"/>
              </w:rPr>
              <w:t xml:space="preserve">Reproducibility</w:t>
            </w:r>
            <w:r/>
          </w:p>
        </w:tc>
        <w:tc>
          <w:tcPr>
            <w:tcBorders/>
            <w:tcMar>
              <w:left w:w="15" w:type="dxa"/>
              <w:top w:w="15" w:type="dxa"/>
              <w:right w:w="15" w:type="dxa"/>
              <w:bottom w:w="15" w:type="dxa"/>
            </w:tcMar>
            <w:tcW w:w="4852" w:type="dxa"/>
            <w:vAlign w:val="center"/>
          </w:tcPr>
          <w:p w14:paraId="1A10BC87">
            <w:pPr>
              <w:pBdr/>
              <w:spacing w:after="0" w:before="0" w:line="240"/>
              <w:ind/>
              <w:rPr/>
            </w:pPr>
            <w:r>
              <w:rPr>
                <w:rFonts w:ascii="Times New Roman" w:hAnsi="Times New Roman" w:eastAsia="Times New Roman" w:cs="Times New Roman"/>
                <w:color w:val="000000"/>
                <w:sz w:val="24"/>
              </w:rPr>
              <w:t xml:space="preserve">Still unverified</w:t>
            </w:r>
            <w:r/>
          </w:p>
        </w:tc>
      </w:tr>
      <w:tr>
        <w:trPr/>
        <w:tc>
          <w:tcPr>
            <w:tcBorders/>
            <w:tcMar>
              <w:left w:w="15" w:type="dxa"/>
              <w:top w:w="15" w:type="dxa"/>
              <w:right w:w="15" w:type="dxa"/>
              <w:bottom w:w="15" w:type="dxa"/>
            </w:tcMar>
            <w:tcW w:w="2940" w:type="dxa"/>
            <w:vAlign w:val="center"/>
          </w:tcPr>
          <w:p w14:paraId="0F83793C">
            <w:pPr>
              <w:pBdr/>
              <w:spacing w:after="0" w:before="0" w:line="240"/>
              <w:ind/>
              <w:rPr/>
            </w:pPr>
            <w:r>
              <w:rPr>
                <w:rFonts w:ascii="Times New Roman" w:hAnsi="Times New Roman" w:eastAsia="Times New Roman" w:cs="Times New Roman"/>
                <w:color w:val="000000"/>
                <w:sz w:val="24"/>
              </w:rPr>
              <w:t xml:space="preserve">Presentation</w:t>
            </w:r>
            <w:r/>
          </w:p>
        </w:tc>
        <w:tc>
          <w:tcPr>
            <w:tcBorders/>
            <w:tcMar>
              <w:left w:w="15" w:type="dxa"/>
              <w:top w:w="15" w:type="dxa"/>
              <w:right w:w="15" w:type="dxa"/>
              <w:bottom w:w="15" w:type="dxa"/>
            </w:tcMar>
            <w:tcW w:w="4852" w:type="dxa"/>
            <w:vAlign w:val="center"/>
          </w:tcPr>
          <w:p w14:paraId="136DD644">
            <w:pPr>
              <w:pBdr/>
              <w:spacing w:after="0" w:before="0" w:line="240"/>
              <w:ind/>
              <w:rPr/>
            </w:pPr>
            <w:r>
              <w:rPr>
                <w:rFonts w:ascii="Times New Roman" w:hAnsi="Times New Roman" w:eastAsia="Times New Roman" w:cs="Times New Roman"/>
                <w:color w:val="000000"/>
                <w:sz w:val="24"/>
              </w:rPr>
              <w:t xml:space="preserve">Several tables are effectively unreadable</w:t>
            </w:r>
            <w:r/>
          </w:p>
        </w:tc>
      </w:tr>
    </w:tbl>
    <w:p w14:paraId="5E20E0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1. The neighbor-measurement explanation is improved, but its consequences have not been carried through</w:t>
      </w:r>
      <w:r/>
    </w:p>
    <w:p w14:paraId="555397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Section 4.6, p. 30, now explicitly acknowledges that the CSV neighbor columns are empty. It describes projecting RRC MeasurementReport observations onto the prediction grid using a zero-order hold, with </w:t>
      </w:r>
      <w:r>
        <w:rPr>
          <w:rFonts w:ascii="Courier New" w:hAnsi="Courier New" w:eastAsia="Courier New" w:cs="Courier New"/>
          <w:color w:val="000000"/>
          <w:sz w:val="20"/>
        </w:rPr>
        <w:t xml:space="preserve">mr_age_s</w:t>
      </w:r>
      <w:r>
        <w:rPr>
          <w:rFonts w:ascii="Times New Roman" w:hAnsi="Times New Roman" w:eastAsia="Times New Roman" w:cs="Times New Roman"/>
          <w:color w:val="000000"/>
          <w:sz w:val="24"/>
        </w:rPr>
        <w:t xml:space="preserve"> and missingness indicators.</w:t>
      </w:r>
      <w:r/>
    </w:p>
    <w:p w14:paraId="3BFAE9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That is a reasonable proposed construction.</w:t>
      </w:r>
      <w:r>
        <w:rPr>
          <w:rFonts w:ascii="Times New Roman" w:hAnsi="Times New Roman" w:eastAsia="Times New Roman" w:cs="Times New Roman"/>
          <w:color w:val="000000"/>
          <w:sz w:val="24"/>
        </w:rPr>
        <w:t xml:space="preserve"> It answers the earlier question about where neighbor inputs could originate.</w:t>
      </w:r>
      <w:r/>
    </w:p>
    <w:p w14:paraId="1F80CA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However:</w:t>
      </w:r>
      <w:r/>
    </w:p>
    <w:p w14:paraId="18341E7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Section 3.1, p. 18, still says the radio export contains measurements for detected neighbors and heading.</w:t>
      </w:r>
      <w:r/>
    </w:p>
    <w:p w14:paraId="3FAE4E4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Section 5.11, p. 63, says the main model avoids reliance on signalling decoding.</w:t>
      </w:r>
      <w:r/>
    </w:p>
    <w:p w14:paraId="4FDFDEE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Table 4.3 and Appendix B describe neighbor RSRQ and SINR, whereas the new explanation specifically establishes neighbor RSRP.</w:t>
      </w:r>
      <w:r/>
    </w:p>
    <w:p w14:paraId="699AA13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feature total remains 112, but no explicit list shows where the newly described age feature fits.</w:t>
      </w:r>
      <w:r/>
    </w:p>
    <w:p w14:paraId="4B9F2D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main model already uses signalling-derived history and now explicitly uses signalling-derived neighbor measurements. The extra ten-feature ablation therefore tests </w:t>
      </w:r>
      <w:r>
        <w:rPr>
          <w:rFonts w:ascii="Times New Roman" w:hAnsi="Times New Roman" w:eastAsia="Times New Roman" w:cs="Times New Roman"/>
          <w:b/>
          <w:color w:val="000000"/>
          <w:sz w:val="24"/>
        </w:rPr>
        <w:t xml:space="preserve">additional signalling features</w:t>
      </w:r>
      <w:r>
        <w:rPr>
          <w:rFonts w:ascii="Times New Roman" w:hAnsi="Times New Roman" w:eastAsia="Times New Roman" w:cs="Times New Roman"/>
          <w:color w:val="000000"/>
          <w:sz w:val="24"/>
        </w:rPr>
        <w:t xml:space="preserve">, not whether signalling is needed.</w:t>
      </w:r>
      <w:r/>
    </w:p>
    <w:p w14:paraId="5F13C6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Fix:</w:t>
      </w:r>
      <w:r>
        <w:rPr>
          <w:rFonts w:ascii="Times New Roman" w:hAnsi="Times New Roman" w:eastAsia="Times New Roman" w:cs="Times New Roman"/>
          <w:color w:val="000000"/>
          <w:sz w:val="24"/>
        </w:rPr>
        <w:t xml:space="preserve"> reconcile the source descriptions throughout, publish the exact feature names, and verify that the reported scores were produced by this construction. Adding the explanation to the manuscript does not establish that the existing results used it.</w:t>
      </w:r>
      <w:r/>
    </w:p>
    <w:p w14:paraId="5DF957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2. The physical timing claims remain the largest scientific problem</w:t>
      </w:r>
      <w:r/>
    </w:p>
    <w:p w14:paraId="40DF9D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manuscript still says:</w:t>
      </w:r>
      <w:r/>
    </w:p>
    <w:p w14:paraId="133D211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decoded command is timestamped at its transmission instant: §3.1, p. 18.</w:t>
      </w:r>
      <w:r/>
    </w:p>
    <w:p w14:paraId="5C760A1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Signalling timestamps are “exact to the millisecond”: §4.6, p. 31.</w:t>
      </w:r>
      <w:r/>
    </w:p>
    <w:p w14:paraId="7F479B6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Command-to-completion timing supplies the execution/update delay \(x\): §5.1, p. 39.</w:t>
      </w:r>
      <w:r/>
    </w:p>
    <w:p w14:paraId="2CA7051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transition curve recovers an update delay around 60 ms: p. 41.</w:t>
      </w:r>
      <w:r/>
    </w:p>
    <w:p w14:paraId="47AFEC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But §3.6, p. 24, correctly acknowledges that the 0–1 ms intervals reflect logging behavior rather than user-plane interruption.</w:t>
      </w:r>
      <w:r/>
    </w:p>
    <w:p w14:paraId="1BB0DF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These statements cannot all support the same physical interpretation. Millisecond timestamp precision is not millisecond event-time accuracy.</w:t>
      </w:r>
      <w:r/>
    </w:p>
    <w:p w14:paraId="340FA6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raw audit established a mismatch between the CSV and signalling records. It did not establish how much comes from CSV aggregation, delayed signalling timestamping, buffering or differences between clocks.</w:t>
      </w:r>
      <w:r/>
    </w:p>
    <w:p w14:paraId="62175A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Fix:</w:t>
      </w:r>
      <w:r>
        <w:rPr>
          <w:rFonts w:ascii="Times New Roman" w:hAnsi="Times New Roman" w:eastAsia="Times New Roman" w:cs="Times New Roman"/>
          <w:color w:val="000000"/>
          <w:sz w:val="24"/>
        </w:rPr>
        <w:t xml:space="preserve"> retain the observed mismatch and performance sensitivity. Withdraw the physical-delay estimate unless the event clock and serving-register clock are independently validated. Describe one-row lagging as an empirical correction whose sufficiency remains unc</w:t>
      </w:r>
      <w:r>
        <w:rPr>
          <w:rFonts w:ascii="Times New Roman" w:hAnsi="Times New Roman" w:eastAsia="Times New Roman" w:cs="Times New Roman"/>
          <w:color w:val="000000"/>
          <w:sz w:val="24"/>
        </w:rPr>
        <w:t xml:space="preserve">ertain.</w:t>
      </w:r>
      <w:r/>
    </w:p>
    <w:p w14:paraId="1390EC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LTE protocol specification defines message procedures; it does not validate XCAL’s timestamp semantics. </w:t>
      </w:r>
      <w:hyperlink r:id="rId9" w:tooltip="https://www.etsi.org/deliver/etsi_ts/136300_136399/136331/17.06.00_60/ts_136331v170600p.pdf?utm_source=chatgpt.com" w:history="1">
        <w:r>
          <w:rPr>
            <w:rStyle w:val="187"/>
            <w:rFonts w:ascii="Times New Roman" w:hAnsi="Times New Roman" w:eastAsia="Times New Roman" w:cs="Times New Roman"/>
            <w:color w:val="0000ee"/>
            <w:sz w:val="24"/>
            <w:u w:val="none"/>
          </w:rPr>
          <w:t xml:space="preserve">3GPP TS 36.331</w:t>
        </w:r>
      </w:hyperlink>
      <w:r/>
      <w:r/>
    </w:p>
    <w:p w14:paraId="68F1E1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3. The corrected explanation of blanking still contradicts the conclusion</w:t>
      </w:r>
      <w:r/>
    </w:p>
    <w:p w14:paraId="027A94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Section 3.6, pp. 24–25, now correctly explains that blanking and exclusions leave </w:t>
      </w:r>
      <w:r>
        <w:rPr>
          <w:rFonts w:ascii="Times New Roman" w:hAnsi="Times New Roman" w:eastAsia="Times New Roman" w:cs="Times New Roman"/>
          <w:b/>
          <w:color w:val="000000"/>
          <w:sz w:val="24"/>
        </w:rPr>
        <w:t xml:space="preserve">64.2% eligible coverage</w:t>
      </w:r>
      <w:r>
        <w:rPr>
          <w:rFonts w:ascii="Times New Roman" w:hAnsi="Times New Roman" w:eastAsia="Times New Roman" w:cs="Times New Roman"/>
          <w:color w:val="000000"/>
          <w:sz w:val="24"/>
        </w:rPr>
        <w:t xml:space="preserve">, with </w:t>
      </w:r>
      <w:r>
        <w:rPr>
          <w:rFonts w:ascii="Times New Roman" w:hAnsi="Times New Roman" w:eastAsia="Times New Roman" w:cs="Times New Roman"/>
          <w:b/>
          <w:color w:val="000000"/>
          <w:sz w:val="24"/>
        </w:rPr>
        <w:t xml:space="preserve">35.8% missing</w:t>
      </w:r>
      <w:r>
        <w:rPr>
          <w:rFonts w:ascii="Times New Roman" w:hAnsi="Times New Roman" w:eastAsia="Times New Roman" w:cs="Times New Roman"/>
          <w:color w:val="000000"/>
          <w:sz w:val="24"/>
        </w:rPr>
        <w:t xml:space="preserve">.</w:t>
      </w:r>
      <w:r/>
    </w:p>
    <w:p w14:paraId="5D94B8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Yet:</w:t>
      </w:r>
      <w:r/>
    </w:p>
    <w:p w14:paraId="6BF65F6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§5.13, p. 66, calls </w:t>
      </w:r>
      <w:r>
        <w:rPr>
          <w:rFonts w:ascii="Times New Roman" w:hAnsi="Times New Roman" w:eastAsia="Times New Roman" w:cs="Times New Roman"/>
          <w:b/>
          <w:color w:val="000000"/>
          <w:sz w:val="24"/>
        </w:rPr>
        <w:t xml:space="preserve">64.6%</w:t>
      </w:r>
      <w:r>
        <w:rPr>
          <w:rFonts w:ascii="Times New Roman" w:hAnsi="Times New Roman" w:eastAsia="Times New Roman" w:cs="Times New Roman"/>
          <w:color w:val="000000"/>
          <w:sz w:val="24"/>
        </w:rPr>
        <w:t xml:space="preserve"> an “instrument ceiling.”</w:t>
      </w:r>
      <w:r/>
    </w:p>
    <w:p w14:paraId="0C6D987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§7.1, p. 74, says the instrument’s sampling rate is the binding constraint.</w:t>
      </w:r>
      <w:r/>
    </w:p>
    <w:p w14:paraId="72A7032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abstract makes a broad claim about what cannot be expressed on a one-hertz grid.</w:t>
      </w:r>
      <w:r/>
    </w:p>
    <w:p w14:paraId="68BFDE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Our raw-data check found a timestamp in the preceding one-second window for </w:t>
      </w:r>
      <w:r>
        <w:rPr>
          <w:rFonts w:ascii="Times New Roman" w:hAnsi="Times New Roman" w:eastAsia="Times New Roman" w:cs="Times New Roman"/>
          <w:b/>
          <w:color w:val="000000"/>
          <w:sz w:val="24"/>
        </w:rPr>
        <w:t xml:space="preserve">every one of the 957 commands</w:t>
      </w:r>
      <w:r>
        <w:rPr>
          <w:rFonts w:ascii="Times New Roman" w:hAnsi="Times New Roman" w:eastAsia="Times New Roman" w:cs="Times New Roman"/>
          <w:color w:val="000000"/>
          <w:sz w:val="24"/>
        </w:rPr>
        <w:t xml:space="preserve">. Applying the two-second blank removed that opportunity for 343 commands.</w:t>
      </w:r>
      <w:r/>
    </w:p>
    <w:p w14:paraId="17D2AA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Fix:</w:t>
      </w:r>
      <w:r>
        <w:rPr>
          <w:rFonts w:ascii="Times New Roman" w:hAnsi="Times New Roman" w:eastAsia="Times New Roman" w:cs="Times New Roman"/>
          <w:color w:val="000000"/>
          <w:sz w:val="24"/>
        </w:rPr>
        <w:t xml:space="preserve"> describe this consistently as a </w:t>
      </w:r>
      <w:r>
        <w:rPr>
          <w:rFonts w:ascii="Times New Roman" w:hAnsi="Times New Roman" w:eastAsia="Times New Roman" w:cs="Times New Roman"/>
          <w:b/>
          <w:color w:val="000000"/>
          <w:sz w:val="24"/>
        </w:rPr>
        <w:t xml:space="preserve">policy-dependent eligible-window limit</w:t>
      </w:r>
      <w:r>
        <w:rPr>
          <w:rFonts w:ascii="Times New Roman" w:hAnsi="Times New Roman" w:eastAsia="Times New Roman" w:cs="Times New Roman"/>
          <w:color w:val="000000"/>
          <w:sz w:val="24"/>
        </w:rPr>
        <w:t xml:space="preserve">. Reconcile 64.2%, 64.6% and the chunk-based figures using explicit denominators.</w:t>
      </w:r>
      <w:r/>
    </w:p>
    <w:p w14:paraId="1937B7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Also, stability of AUPRC lift across blank durations does not demonstrate stability of event detection: blanking changes which events can receive a warning.</w:t>
      </w:r>
      <w:r/>
    </w:p>
    <w:p w14:paraId="6E07CA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4. The conformal section is better, but its numerical implementation remains unresolved</w:t>
      </w:r>
      <w:r/>
    </w:p>
    <w:p w14:paraId="5757B0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Section 5.5 now correctly distinguishes expected risk from requiring every rotation to meet the target. It reports mean loss </w:t>
      </w:r>
      <w:r>
        <w:rPr>
          <w:rFonts w:ascii="Times New Roman" w:hAnsi="Times New Roman" w:eastAsia="Times New Roman" w:cs="Times New Roman"/>
          <w:b/>
          <w:color w:val="000000"/>
          <w:sz w:val="24"/>
        </w:rPr>
        <w:t xml:space="preserve">0.153</w:t>
      </w:r>
      <w:r>
        <w:rPr>
          <w:rFonts w:ascii="Times New Roman" w:hAnsi="Times New Roman" w:eastAsia="Times New Roman" w:cs="Times New Roman"/>
          <w:color w:val="000000"/>
          <w:sz w:val="24"/>
        </w:rPr>
        <w:t xml:space="preserve"> at target </w:t>
      </w:r>
      <w:r>
        <w:rPr>
          <w:rFonts w:ascii="Times New Roman" w:hAnsi="Times New Roman" w:eastAsia="Times New Roman" w:cs="Times New Roman"/>
          <w:b/>
          <w:color w:val="000000"/>
          <w:sz w:val="24"/>
        </w:rPr>
        <w:t xml:space="preserve">0.20</w:t>
      </w:r>
      <w:r>
        <w:rPr>
          <w:rFonts w:ascii="Times New Roman" w:hAnsi="Times New Roman" w:eastAsia="Times New Roman" w:cs="Times New Roman"/>
          <w:color w:val="000000"/>
          <w:sz w:val="24"/>
        </w:rPr>
        <w:t xml:space="preserve">, alongside </w:t>
      </w:r>
      <w:r>
        <w:rPr>
          <w:rFonts w:ascii="Times New Roman" w:hAnsi="Times New Roman" w:eastAsia="Times New Roman" w:cs="Times New Roman"/>
          <w:b/>
          <w:color w:val="000000"/>
          <w:sz w:val="24"/>
        </w:rPr>
        <w:t xml:space="preserve">83%</w:t>
      </w:r>
      <w:r>
        <w:rPr>
          <w:rFonts w:ascii="Times New Roman" w:hAnsi="Times New Roman" w:eastAsia="Times New Roman" w:cs="Times New Roman"/>
          <w:color w:val="000000"/>
          <w:sz w:val="24"/>
        </w:rPr>
        <w:t xml:space="preserve"> of rotations meeting that target.</w:t>
      </w:r>
      <w:r/>
    </w:p>
    <w:p w14:paraId="6CB3B1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However, the abstract and conclusion still describe a guarantee whose assumption was “tested.” Observed compliance does not establish exchangeability, and twelve overlapping rotations are not twelve independent experiments.</w:t>
      </w:r>
      <w:r/>
    </w:p>
    <w:p w14:paraId="5D93CB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fallback discrepancy also remains:</w:t>
      </w:r>
      <w:r/>
    </w:p>
    <w:p w14:paraId="4E9763F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With \(n=14\), the smallest corrected empirical bound is \(1/(14+1)=0.0667\).</w:t>
      </w:r>
      <w:r/>
    </w:p>
    <w:p w14:paraId="6B48DF4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Thus a target of 0.05 cannot satisfy that inequality.</w:t>
      </w:r>
      <w:r/>
    </w:p>
    <w:p w14:paraId="0B29BAE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Under the stated fallback, threshold zero alarms on every eligible row and produces zero row-level miss loss.</w:t>
      </w:r>
      <w:r/>
    </w:p>
    <w:p w14:paraId="46C1954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Table 5.9 instead reports </w:t>
      </w:r>
      <w:r>
        <w:rPr>
          <w:rFonts w:ascii="Times New Roman" w:hAnsi="Times New Roman" w:eastAsia="Times New Roman" w:cs="Times New Roman"/>
          <w:b/>
          <w:color w:val="000000"/>
          <w:sz w:val="24"/>
        </w:rPr>
        <w:t xml:space="preserve">86% alarms and 0.018 loss</w:t>
      </w:r>
      <w:r>
        <w:rPr>
          <w:rFonts w:ascii="Times New Roman" w:hAnsi="Times New Roman" w:eastAsia="Times New Roman" w:cs="Times New Roman"/>
          <w:color w:val="000000"/>
          <w:sz w:val="24"/>
        </w:rPr>
        <w:t xml:space="preserve">.</w:t>
      </w:r>
      <w:r/>
    </w:p>
    <w:p w14:paraId="283032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Different calibration-unit counts could explain different behavior, but the table must identify them explicitly. Currently, the equation, fallback and reported row do not reconcile.</w:t>
      </w:r>
      <w:r/>
    </w:p>
    <w:p w14:paraId="13C210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Fix:</w:t>
      </w:r>
      <w:r>
        <w:rPr>
          <w:rFonts w:ascii="Times New Roman" w:hAnsi="Times New Roman" w:eastAsia="Times New Roman" w:cs="Times New Roman"/>
          <w:color w:val="000000"/>
          <w:sz w:val="24"/>
        </w:rPr>
        <w:t xml:space="preserve"> reproduce the threshold calculation for each setting and publish calibration-unit counts, fallback usage and realized losses. Keep the claim exploratory where assumptions are not justified. </w:t>
      </w:r>
      <w:hyperlink r:id="rId10" w:tooltip="https://arxiv.org/html/2208.02814v4?utm_source=chatgpt.com" w:history="1">
        <w:r>
          <w:rPr>
            <w:rStyle w:val="187"/>
            <w:rFonts w:ascii="Times New Roman" w:hAnsi="Times New Roman" w:eastAsia="Times New Roman" w:cs="Times New Roman"/>
            <w:color w:val="0000ee"/>
            <w:sz w:val="24"/>
            <w:u w:val="none"/>
          </w:rPr>
          <w:t xml:space="preserve">Conformal Risk Control</w:t>
        </w:r>
      </w:hyperlink>
      <w:r/>
      <w:r/>
    </w:p>
    <w:p w14:paraId="15C7B5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5. Held neighbor values cannot establish continuous radio crossings</w:t>
      </w:r>
      <w:r/>
    </w:p>
    <w:p w14:paraId="6DD3BA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new feature description uses irregular reports held between observations. Yet §5.11, p. 63, interprets the case-study curves as showing that neighbors “genuinely overtook” the serving cell and the network declined a handover.</w:t>
      </w:r>
      <w:r/>
    </w:p>
    <w:p w14:paraId="3E50FC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held neighbor value and a fresher serving measurement are not necessarily simultaneous observations. Their curves crossing can reflect measurement age.</w:t>
      </w:r>
      <w:r/>
    </w:p>
    <w:p w14:paraId="450206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Fix:</w:t>
      </w:r>
      <w:r>
        <w:rPr>
          <w:rFonts w:ascii="Times New Roman" w:hAnsi="Times New Roman" w:eastAsia="Times New Roman" w:cs="Times New Roman"/>
          <w:color w:val="000000"/>
          <w:sz w:val="24"/>
        </w:rPr>
        <w:t xml:space="preserve"> show report observation markers, measurement age and gaps. Describe the figures as comparisons of available recorded measurements. They cannot reconstruct the continuous A3 condition or prove a declined network decision.</w:t>
      </w:r>
      <w:r/>
    </w:p>
    <w:p w14:paraId="735F2F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6. Several modelling descriptions still disagree</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406"/>
        <w:gridCol w:w="4725"/>
        <w:gridCol w:w="3223"/>
      </w:tblGrid>
      <w:tr>
        <w:trPr/>
        <w:tc>
          <w:tcPr>
            <w:tcBorders/>
            <w:tcMar>
              <w:left w:w="15" w:type="dxa"/>
              <w:top w:w="15" w:type="dxa"/>
              <w:right w:w="15" w:type="dxa"/>
              <w:bottom w:w="15" w:type="dxa"/>
            </w:tcMar>
            <w:tcW w:w="1406" w:type="dxa"/>
            <w:vAlign w:val="center"/>
          </w:tcPr>
          <w:p w14:paraId="0AFD4C3E">
            <w:pPr>
              <w:pBdr/>
              <w:spacing w:after="0" w:before="0" w:line="240"/>
              <w:ind/>
              <w:jc w:val="center"/>
              <w:rPr/>
            </w:pPr>
            <w:r>
              <w:rPr>
                <w:rFonts w:ascii="Times New Roman" w:hAnsi="Times New Roman" w:eastAsia="Times New Roman" w:cs="Times New Roman"/>
                <w:b/>
                <w:color w:val="000000"/>
                <w:sz w:val="24"/>
              </w:rPr>
              <w:t xml:space="preserve">Location</w:t>
            </w:r>
            <w:r/>
          </w:p>
        </w:tc>
        <w:tc>
          <w:tcPr>
            <w:tcBorders/>
            <w:tcMar>
              <w:left w:w="15" w:type="dxa"/>
              <w:top w:w="15" w:type="dxa"/>
              <w:right w:w="15" w:type="dxa"/>
              <w:bottom w:w="15" w:type="dxa"/>
            </w:tcMar>
            <w:tcW w:w="4725" w:type="dxa"/>
            <w:vAlign w:val="center"/>
          </w:tcPr>
          <w:p w14:paraId="25FD4F20">
            <w:pPr>
              <w:pBdr/>
              <w:spacing w:after="0" w:before="0" w:line="240"/>
              <w:ind/>
              <w:jc w:val="center"/>
              <w:rPr/>
            </w:pPr>
            <w:r>
              <w:rPr>
                <w:rFonts w:ascii="Times New Roman" w:hAnsi="Times New Roman" w:eastAsia="Times New Roman" w:cs="Times New Roman"/>
                <w:b/>
                <w:color w:val="000000"/>
                <w:sz w:val="24"/>
              </w:rPr>
              <w:t xml:space="preserve">Remaining conflict</w:t>
            </w:r>
            <w:r/>
          </w:p>
        </w:tc>
        <w:tc>
          <w:tcPr>
            <w:tcBorders/>
            <w:tcMar>
              <w:left w:w="15" w:type="dxa"/>
              <w:top w:w="15" w:type="dxa"/>
              <w:right w:w="15" w:type="dxa"/>
              <w:bottom w:w="15" w:type="dxa"/>
            </w:tcMar>
            <w:tcW w:w="3223" w:type="dxa"/>
            <w:vAlign w:val="center"/>
          </w:tcPr>
          <w:p w14:paraId="52098A3D">
            <w:pPr>
              <w:pBdr/>
              <w:spacing w:after="0" w:before="0" w:line="240"/>
              <w:ind/>
              <w:jc w:val="center"/>
              <w:rPr/>
            </w:pPr>
            <w:r>
              <w:rPr>
                <w:rFonts w:ascii="Times New Roman" w:hAnsi="Times New Roman" w:eastAsia="Times New Roman" w:cs="Times New Roman"/>
                <w:b/>
                <w:color w:val="000000"/>
                <w:sz w:val="24"/>
              </w:rPr>
              <w:t xml:space="preserve">Required correction</w:t>
            </w:r>
            <w:r/>
          </w:p>
        </w:tc>
      </w:tr>
      <w:tr>
        <w:trPr/>
        <w:tc>
          <w:tcPr>
            <w:tcBorders/>
            <w:tcMar>
              <w:left w:w="15" w:type="dxa"/>
              <w:top w:w="15" w:type="dxa"/>
              <w:right w:w="15" w:type="dxa"/>
              <w:bottom w:w="15" w:type="dxa"/>
            </w:tcMar>
            <w:tcW w:w="1406" w:type="dxa"/>
            <w:vAlign w:val="center"/>
          </w:tcPr>
          <w:p w14:paraId="3C93D2E3">
            <w:pPr>
              <w:pBdr/>
              <w:spacing w:after="0" w:before="0" w:line="240"/>
              <w:ind/>
              <w:rPr/>
            </w:pPr>
            <w:r>
              <w:rPr>
                <w:rFonts w:ascii="Times New Roman" w:hAnsi="Times New Roman" w:eastAsia="Times New Roman" w:cs="Times New Roman"/>
                <w:color w:val="000000"/>
                <w:sz w:val="24"/>
              </w:rPr>
              <w:t xml:space="preserve">§4.7, pp. 32–33</w:t>
            </w:r>
            <w:r/>
          </w:p>
        </w:tc>
        <w:tc>
          <w:tcPr>
            <w:tcBorders/>
            <w:tcMar>
              <w:left w:w="15" w:type="dxa"/>
              <w:top w:w="15" w:type="dxa"/>
              <w:right w:w="15" w:type="dxa"/>
              <w:bottom w:w="15" w:type="dxa"/>
            </w:tcMar>
            <w:tcW w:w="4725" w:type="dxa"/>
            <w:vAlign w:val="center"/>
          </w:tcPr>
          <w:p w14:paraId="1D7E5165">
            <w:pPr>
              <w:pBdr/>
              <w:spacing w:after="0" w:before="0" w:line="240"/>
              <w:ind/>
              <w:rPr/>
            </w:pPr>
            <w:r>
              <w:rPr>
                <w:rFonts w:ascii="Times New Roman" w:hAnsi="Times New Roman" w:eastAsia="Times New Roman" w:cs="Times New Roman"/>
                <w:color w:val="000000"/>
                <w:sz w:val="24"/>
              </w:rPr>
              <w:t xml:space="preserve">Sequence models first consume engineered feature vectors, then “raw per-second measurements”</w:t>
            </w:r>
            <w:r/>
          </w:p>
        </w:tc>
        <w:tc>
          <w:tcPr>
            <w:tcBorders/>
            <w:tcMar>
              <w:left w:w="15" w:type="dxa"/>
              <w:top w:w="15" w:type="dxa"/>
              <w:right w:w="15" w:type="dxa"/>
              <w:bottom w:w="15" w:type="dxa"/>
            </w:tcMar>
            <w:tcW w:w="3223" w:type="dxa"/>
            <w:vAlign w:val="center"/>
          </w:tcPr>
          <w:p w14:paraId="5AF1165B">
            <w:pPr>
              <w:pBdr/>
              <w:spacing w:after="0" w:before="0" w:line="240"/>
              <w:ind/>
              <w:rPr/>
            </w:pPr>
            <w:r>
              <w:rPr>
                <w:rFonts w:ascii="Times New Roman" w:hAnsi="Times New Roman" w:eastAsia="Times New Roman" w:cs="Times New Roman"/>
                <w:color w:val="000000"/>
                <w:sz w:val="24"/>
              </w:rPr>
              <w:t xml:space="preserve">State the actual model inputs</w:t>
            </w:r>
            <w:r/>
          </w:p>
        </w:tc>
      </w:tr>
      <w:tr>
        <w:trPr/>
        <w:tc>
          <w:tcPr>
            <w:tcBorders/>
            <w:tcMar>
              <w:left w:w="15" w:type="dxa"/>
              <w:top w:w="15" w:type="dxa"/>
              <w:right w:w="15" w:type="dxa"/>
              <w:bottom w:w="15" w:type="dxa"/>
            </w:tcMar>
            <w:tcW w:w="1406" w:type="dxa"/>
            <w:vAlign w:val="center"/>
          </w:tcPr>
          <w:p w14:paraId="0521BBC2">
            <w:pPr>
              <w:pBdr/>
              <w:spacing w:after="0" w:before="0" w:line="240"/>
              <w:ind/>
              <w:rPr/>
            </w:pPr>
            <w:r>
              <w:rPr>
                <w:rFonts w:ascii="Times New Roman" w:hAnsi="Times New Roman" w:eastAsia="Times New Roman" w:cs="Times New Roman"/>
                <w:color w:val="000000"/>
                <w:sz w:val="24"/>
              </w:rPr>
              <w:t xml:space="preserve">§4.7</w:t>
            </w:r>
            <w:r/>
          </w:p>
        </w:tc>
        <w:tc>
          <w:tcPr>
            <w:tcBorders/>
            <w:tcMar>
              <w:left w:w="15" w:type="dxa"/>
              <w:top w:w="15" w:type="dxa"/>
              <w:right w:w="15" w:type="dxa"/>
              <w:bottom w:w="15" w:type="dxa"/>
            </w:tcMar>
            <w:tcW w:w="4725" w:type="dxa"/>
            <w:vAlign w:val="center"/>
          </w:tcPr>
          <w:p w14:paraId="6AA07FEA">
            <w:pPr>
              <w:pBdr/>
              <w:spacing w:after="0" w:before="0" w:line="240"/>
              <w:ind/>
              <w:rPr/>
            </w:pPr>
            <w:r>
              <w:rPr>
                <w:rFonts w:ascii="Times New Roman" w:hAnsi="Times New Roman" w:eastAsia="Times New Roman" w:cs="Times New Roman"/>
                <w:color w:val="000000"/>
                <w:sz w:val="24"/>
              </w:rPr>
              <w:t xml:space="preserve">Ten feature vectors versus one tabular vector described as identical information</w:t>
            </w:r>
            <w:r/>
          </w:p>
        </w:tc>
        <w:tc>
          <w:tcPr>
            <w:tcBorders/>
            <w:tcMar>
              <w:left w:w="15" w:type="dxa"/>
              <w:top w:w="15" w:type="dxa"/>
              <w:right w:w="15" w:type="dxa"/>
              <w:bottom w:w="15" w:type="dxa"/>
            </w:tcMar>
            <w:tcW w:w="3223" w:type="dxa"/>
            <w:vAlign w:val="center"/>
          </w:tcPr>
          <w:p w14:paraId="41CC13E1">
            <w:pPr>
              <w:pBdr/>
              <w:spacing w:after="0" w:before="0" w:line="240"/>
              <w:ind/>
              <w:rPr/>
            </w:pPr>
            <w:r>
              <w:rPr>
                <w:rFonts w:ascii="Times New Roman" w:hAnsi="Times New Roman" w:eastAsia="Times New Roman" w:cs="Times New Roman"/>
                <w:color w:val="000000"/>
                <w:sz w:val="24"/>
              </w:rPr>
              <w:t xml:space="preserve">Give tabular models equivalent history or qualify the comparison</w:t>
            </w:r>
            <w:r/>
          </w:p>
        </w:tc>
      </w:tr>
      <w:tr>
        <w:trPr/>
        <w:tc>
          <w:tcPr>
            <w:tcBorders/>
            <w:tcMar>
              <w:left w:w="15" w:type="dxa"/>
              <w:top w:w="15" w:type="dxa"/>
              <w:right w:w="15" w:type="dxa"/>
              <w:bottom w:w="15" w:type="dxa"/>
            </w:tcMar>
            <w:tcW w:w="1406" w:type="dxa"/>
            <w:vAlign w:val="center"/>
          </w:tcPr>
          <w:p w14:paraId="3D599174">
            <w:pPr>
              <w:pBdr/>
              <w:spacing w:after="0" w:before="0" w:line="240"/>
              <w:ind/>
              <w:rPr/>
            </w:pPr>
            <w:r>
              <w:rPr>
                <w:rFonts w:ascii="Times New Roman" w:hAnsi="Times New Roman" w:eastAsia="Times New Roman" w:cs="Times New Roman"/>
                <w:color w:val="000000"/>
                <w:sz w:val="24"/>
              </w:rPr>
              <w:t xml:space="preserve">Table 4.3 versus Appendix B</w:t>
            </w:r>
            <w:r/>
          </w:p>
        </w:tc>
        <w:tc>
          <w:tcPr>
            <w:tcBorders/>
            <w:tcMar>
              <w:left w:w="15" w:type="dxa"/>
              <w:top w:w="15" w:type="dxa"/>
              <w:right w:w="15" w:type="dxa"/>
              <w:bottom w:w="15" w:type="dxa"/>
            </w:tcMar>
            <w:tcW w:w="4725" w:type="dxa"/>
            <w:vAlign w:val="center"/>
          </w:tcPr>
          <w:p w14:paraId="21BF5299">
            <w:pPr>
              <w:pBdr/>
              <w:spacing w:after="0" w:before="0" w:line="240"/>
              <w:ind/>
              <w:rPr/>
            </w:pPr>
            <w:r>
              <w:rPr>
                <w:rFonts w:ascii="Times New Roman" w:hAnsi="Times New Roman" w:eastAsia="Times New Roman" w:cs="Times New Roman"/>
                <w:color w:val="000000"/>
                <w:sz w:val="24"/>
              </w:rPr>
              <w:t xml:space="preserve">Different history definitions and signalling window lengths</w:t>
            </w:r>
            <w:r/>
          </w:p>
        </w:tc>
        <w:tc>
          <w:tcPr>
            <w:tcBorders/>
            <w:tcMar>
              <w:left w:w="15" w:type="dxa"/>
              <w:top w:w="15" w:type="dxa"/>
              <w:right w:w="15" w:type="dxa"/>
              <w:bottom w:w="15" w:type="dxa"/>
            </w:tcMar>
            <w:tcW w:w="3223" w:type="dxa"/>
            <w:vAlign w:val="center"/>
          </w:tcPr>
          <w:p w14:paraId="75440DA0">
            <w:pPr>
              <w:pBdr/>
              <w:spacing w:after="0" w:before="0" w:line="240"/>
              <w:ind/>
              <w:rPr/>
            </w:pPr>
            <w:r>
              <w:rPr>
                <w:rFonts w:ascii="Times New Roman" w:hAnsi="Times New Roman" w:eastAsia="Times New Roman" w:cs="Times New Roman"/>
                <w:color w:val="000000"/>
                <w:sz w:val="24"/>
              </w:rPr>
              <w:t xml:space="preserve">Generate both from the actual feature list</w:t>
            </w:r>
            <w:r/>
          </w:p>
        </w:tc>
      </w:tr>
      <w:tr>
        <w:trPr/>
        <w:tc>
          <w:tcPr>
            <w:tcBorders/>
            <w:tcMar>
              <w:left w:w="15" w:type="dxa"/>
              <w:top w:w="15" w:type="dxa"/>
              <w:right w:w="15" w:type="dxa"/>
              <w:bottom w:w="15" w:type="dxa"/>
            </w:tcMar>
            <w:tcW w:w="1406" w:type="dxa"/>
            <w:vAlign w:val="center"/>
          </w:tcPr>
          <w:p w14:paraId="398A457C">
            <w:pPr>
              <w:pBdr/>
              <w:spacing w:after="0" w:before="0" w:line="240"/>
              <w:ind/>
              <w:rPr/>
            </w:pPr>
            <w:r>
              <w:rPr>
                <w:rFonts w:ascii="Times New Roman" w:hAnsi="Times New Roman" w:eastAsia="Times New Roman" w:cs="Times New Roman"/>
                <w:color w:val="000000"/>
                <w:sz w:val="24"/>
              </w:rPr>
              <w:t xml:space="preserve">§5.10, p. 60</w:t>
            </w:r>
            <w:r/>
          </w:p>
        </w:tc>
        <w:tc>
          <w:tcPr>
            <w:tcBorders/>
            <w:tcMar>
              <w:left w:w="15" w:type="dxa"/>
              <w:top w:w="15" w:type="dxa"/>
              <w:right w:w="15" w:type="dxa"/>
              <w:bottom w:w="15" w:type="dxa"/>
            </w:tcMar>
            <w:tcW w:w="4725" w:type="dxa"/>
            <w:vAlign w:val="center"/>
          </w:tcPr>
          <w:p w14:paraId="146C09D1">
            <w:pPr>
              <w:pBdr/>
              <w:spacing w:after="0" w:before="0" w:line="240"/>
              <w:ind/>
              <w:rPr/>
            </w:pPr>
            <w:r>
              <w:rPr>
                <w:rFonts w:ascii="Times New Roman" w:hAnsi="Times New Roman" w:eastAsia="Times New Roman" w:cs="Times New Roman"/>
                <w:color w:val="000000"/>
                <w:sz w:val="24"/>
              </w:rPr>
              <w:t xml:space="preserve">“No time-to-trigger or offset variation anywhere”</w:t>
            </w:r>
            <w:r/>
          </w:p>
        </w:tc>
        <w:tc>
          <w:tcPr>
            <w:tcBorders/>
            <w:tcMar>
              <w:left w:w="15" w:type="dxa"/>
              <w:top w:w="15" w:type="dxa"/>
              <w:right w:w="15" w:type="dxa"/>
              <w:bottom w:w="15" w:type="dxa"/>
            </w:tcMar>
            <w:tcW w:w="3223" w:type="dxa"/>
            <w:vAlign w:val="center"/>
          </w:tcPr>
          <w:p w14:paraId="22221B0E">
            <w:pPr>
              <w:pBdr/>
              <w:spacing w:after="0" w:before="0" w:line="240"/>
              <w:ind/>
              <w:rPr/>
            </w:pPr>
            <w:r>
              <w:rPr>
                <w:rFonts w:ascii="Times New Roman" w:hAnsi="Times New Roman" w:eastAsia="Times New Roman" w:cs="Times New Roman"/>
                <w:color w:val="000000"/>
                <w:sz w:val="24"/>
              </w:rPr>
              <w:t xml:space="preserve">Distinguish a stable set of profiles from variation between profiles</w:t>
            </w:r>
            <w:r/>
          </w:p>
        </w:tc>
      </w:tr>
      <w:tr>
        <w:trPr/>
        <w:tc>
          <w:tcPr>
            <w:tcBorders/>
            <w:tcMar>
              <w:left w:w="15" w:type="dxa"/>
              <w:top w:w="15" w:type="dxa"/>
              <w:right w:w="15" w:type="dxa"/>
              <w:bottom w:w="15" w:type="dxa"/>
            </w:tcMar>
            <w:tcW w:w="1406" w:type="dxa"/>
            <w:vAlign w:val="center"/>
          </w:tcPr>
          <w:p w14:paraId="3AD46693">
            <w:pPr>
              <w:pBdr/>
              <w:spacing w:after="0" w:before="0" w:line="240"/>
              <w:ind/>
              <w:rPr/>
            </w:pPr>
            <w:r>
              <w:rPr>
                <w:rFonts w:ascii="Times New Roman" w:hAnsi="Times New Roman" w:eastAsia="Times New Roman" w:cs="Times New Roman"/>
                <w:color w:val="000000"/>
                <w:sz w:val="24"/>
              </w:rPr>
              <w:t xml:space="preserve">Figure 5.17, p. 61</w:t>
            </w:r>
            <w:r/>
          </w:p>
        </w:tc>
        <w:tc>
          <w:tcPr>
            <w:tcBorders/>
            <w:tcMar>
              <w:left w:w="15" w:type="dxa"/>
              <w:top w:w="15" w:type="dxa"/>
              <w:right w:w="15" w:type="dxa"/>
              <w:bottom w:w="15" w:type="dxa"/>
            </w:tcMar>
            <w:tcW w:w="4725" w:type="dxa"/>
            <w:vAlign w:val="center"/>
          </w:tcPr>
          <w:p w14:paraId="5E881B68">
            <w:pPr>
              <w:pBdr/>
              <w:spacing w:after="0" w:before="0" w:line="240"/>
              <w:ind/>
              <w:rPr/>
            </w:pPr>
            <w:r>
              <w:rPr>
                <w:rFonts w:ascii="Times New Roman" w:hAnsi="Times New Roman" w:eastAsia="Times New Roman" w:cs="Times New Roman"/>
                <w:color w:val="000000"/>
                <w:sz w:val="24"/>
              </w:rPr>
              <w:t xml:space="preserve">Caption says branching ratios “confirm strong self-excitation”</w:t>
            </w:r>
            <w:r/>
          </w:p>
        </w:tc>
        <w:tc>
          <w:tcPr>
            <w:tcBorders/>
            <w:tcMar>
              <w:left w:w="15" w:type="dxa"/>
              <w:top w:w="15" w:type="dxa"/>
              <w:right w:w="15" w:type="dxa"/>
              <w:bottom w:w="15" w:type="dxa"/>
            </w:tcMar>
            <w:tcW w:w="3223" w:type="dxa"/>
            <w:vAlign w:val="center"/>
          </w:tcPr>
          <w:p w14:paraId="6A658E5E">
            <w:pPr>
              <w:pBdr/>
              <w:spacing w:after="0" w:before="0" w:line="240"/>
              <w:ind/>
              <w:rPr/>
            </w:pPr>
            <w:r>
              <w:rPr>
                <w:rFonts w:ascii="Times New Roman" w:hAnsi="Times New Roman" w:eastAsia="Times New Roman" w:cs="Times New Roman"/>
                <w:color w:val="000000"/>
                <w:sz w:val="24"/>
              </w:rPr>
              <w:t xml:space="preserve">Match the qualified, noncausal interpretation in the body</w:t>
            </w:r>
            <w:r/>
          </w:p>
        </w:tc>
      </w:tr>
    </w:tbl>
    <w:p w14:paraId="1D8D76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Hawkes discussion itself is improved: it now acknowledges that model rejection may reflect background-rate variation or missing covariates. The caption undermines that correction.</w:t>
      </w:r>
      <w:r/>
    </w:p>
    <w:p w14:paraId="68B247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7. The literature and external-validation problems remain</w:t>
      </w:r>
      <w:r/>
    </w:p>
    <w:p w14:paraId="592EF4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Section 2.3 says Kabeer and Mandapati were excluded from the audit counts, but Appendix D includes them as entries </w:t>
      </w:r>
      <w:r>
        <w:rPr>
          <w:rFonts w:ascii="Times New Roman" w:hAnsi="Times New Roman" w:eastAsia="Times New Roman" w:cs="Times New Roman"/>
          <w:b/>
          <w:color w:val="000000"/>
          <w:sz w:val="24"/>
        </w:rPr>
        <w:t xml:space="preserve">2 and 6</w:t>
      </w:r>
      <w:r>
        <w:rPr>
          <w:rFonts w:ascii="Times New Roman" w:hAnsi="Times New Roman" w:eastAsia="Times New Roman" w:cs="Times New Roman"/>
          <w:color w:val="000000"/>
          <w:sz w:val="24"/>
        </w:rPr>
        <w:t xml:space="preserve">.</w:t>
      </w:r>
      <w:r/>
    </w:p>
    <w:p w14:paraId="421361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Section 5.7 also repeats that the public dataset does not publish a periodic radio export. Its public description lists raw CSV radio measurements, velocity, cell IDs and signalling. That does not establish compatibility, but it requires inspecting the fil</w:t>
      </w:r>
      <w:r>
        <w:rPr>
          <w:rFonts w:ascii="Times New Roman" w:hAnsi="Times New Roman" w:eastAsia="Times New Roman" w:cs="Times New Roman"/>
          <w:color w:val="000000"/>
          <w:sz w:val="24"/>
        </w:rPr>
        <w:t xml:space="preserve">es before asserting absence. </w:t>
      </w:r>
      <w:hyperlink r:id="rId11" w:tooltip="https://data.mendeley.com/datasets/n2pvmtyn2j/1?utm_source=chatgpt.com" w:history="1">
        <w:r>
          <w:rPr>
            <w:rStyle w:val="187"/>
            <w:rFonts w:ascii="Times New Roman" w:hAnsi="Times New Roman" w:eastAsia="Times New Roman" w:cs="Times New Roman"/>
            <w:color w:val="0000ee"/>
            <w:sz w:val="24"/>
            <w:u w:val="none"/>
          </w:rPr>
          <w:t xml:space="preserve">Dataset description</w:t>
        </w:r>
      </w:hyperlink>
      <w:r/>
      <w:r/>
    </w:p>
    <w:p w14:paraId="163F05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PDF correctly limits external validation to a six-feature signalling model. Retain that distinction.</w:t>
      </w:r>
      <w:r/>
    </w:p>
    <w:p w14:paraId="09F542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separate citation error: §4.7 cites </w:t>
      </w:r>
      <w:r>
        <w:rPr>
          <w:rFonts w:ascii="Times New Roman" w:hAnsi="Times New Roman" w:eastAsia="Times New Roman" w:cs="Times New Roman"/>
          <w:b/>
          <w:color w:val="000000"/>
          <w:sz w:val="24"/>
        </w:rPr>
        <w:t xml:space="preserve">[30] for LightGBM</w:t>
      </w:r>
      <w:r>
        <w:rPr>
          <w:rFonts w:ascii="Times New Roman" w:hAnsi="Times New Roman" w:eastAsia="Times New Roman" w:cs="Times New Roman"/>
          <w:color w:val="000000"/>
          <w:sz w:val="24"/>
        </w:rPr>
        <w:t xml:space="preserve">, but reference [30] is Wagner’s anomaly-detection metrics paper.</w:t>
      </w:r>
      <w:r/>
    </w:p>
    <w:p w14:paraId="71E6A8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8. Presentation and cross-references need a systematic correction</w:t>
      </w:r>
      <w:r/>
    </w:p>
    <w:p w14:paraId="641A3B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overall typography is readable, but several tables are not:</w:t>
      </w:r>
      <w:r/>
    </w:p>
    <w:p w14:paraId="3F939B5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Table 3.3, p. 23: approximately </w:t>
      </w:r>
      <w:r>
        <w:rPr>
          <w:rFonts w:ascii="Times New Roman" w:hAnsi="Times New Roman" w:eastAsia="Times New Roman" w:cs="Times New Roman"/>
          <w:b/>
          <w:color w:val="000000"/>
          <w:sz w:val="24"/>
        </w:rPr>
        <w:t xml:space="preserve">4.5-point text</w:t>
      </w:r>
      <w:r>
        <w:rPr>
          <w:rFonts w:ascii="Times New Roman" w:hAnsi="Times New Roman" w:eastAsia="Times New Roman" w:cs="Times New Roman"/>
          <w:color w:val="000000"/>
          <w:sz w:val="24"/>
        </w:rPr>
        <w:t xml:space="preserve">.</w:t>
      </w:r>
      <w:r/>
    </w:p>
    <w:p w14:paraId="5E16F00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Table 5.9, p. 50: approximately </w:t>
      </w:r>
      <w:r>
        <w:rPr>
          <w:rFonts w:ascii="Times New Roman" w:hAnsi="Times New Roman" w:eastAsia="Times New Roman" w:cs="Times New Roman"/>
          <w:b/>
          <w:color w:val="000000"/>
          <w:sz w:val="24"/>
        </w:rPr>
        <w:t xml:space="preserve">3.1-point text</w:t>
      </w:r>
      <w:r>
        <w:rPr>
          <w:rFonts w:ascii="Times New Roman" w:hAnsi="Times New Roman" w:eastAsia="Times New Roman" w:cs="Times New Roman"/>
          <w:color w:val="000000"/>
          <w:sz w:val="24"/>
        </w:rPr>
        <w:t xml:space="preserve">.</w:t>
      </w:r>
      <w:r/>
    </w:p>
    <w:p w14:paraId="04D598C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Table 5.14, p. 57: approximately </w:t>
      </w:r>
      <w:r>
        <w:rPr>
          <w:rFonts w:ascii="Times New Roman" w:hAnsi="Times New Roman" w:eastAsia="Times New Roman" w:cs="Times New Roman"/>
          <w:b/>
          <w:color w:val="000000"/>
          <w:sz w:val="24"/>
        </w:rPr>
        <w:t xml:space="preserve">6.1-point text</w:t>
      </w:r>
      <w:r>
        <w:rPr>
          <w:rFonts w:ascii="Times New Roman" w:hAnsi="Times New Roman" w:eastAsia="Times New Roman" w:cs="Times New Roman"/>
          <w:color w:val="000000"/>
          <w:sz w:val="24"/>
        </w:rPr>
        <w:t xml:space="preserve">.</w:t>
      </w:r>
      <w:r/>
    </w:p>
    <w:p w14:paraId="55BA28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Split these tables or use landscape pages. Do not shrink them further.</w:t>
      </w:r>
      <w:r/>
    </w:p>
    <w:p w14:paraId="4A0E26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Other visible problems include:</w:t>
      </w:r>
      <w:r/>
    </w:p>
    <w:p w14:paraId="612EEEF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Figure 3.4 uses counts </w:t>
      </w:r>
      <w:r>
        <w:rPr>
          <w:rFonts w:ascii="Times New Roman" w:hAnsi="Times New Roman" w:eastAsia="Times New Roman" w:cs="Times New Roman"/>
          <w:b/>
          <w:color w:val="000000"/>
          <w:sz w:val="24"/>
        </w:rPr>
        <w:t xml:space="preserve">290, 174, 297, 177</w:t>
      </w:r>
      <w:r>
        <w:rPr>
          <w:rFonts w:ascii="Times New Roman" w:hAnsi="Times New Roman" w:eastAsia="Times New Roman" w:cs="Times New Roman"/>
          <w:color w:val="000000"/>
          <w:sz w:val="24"/>
        </w:rPr>
        <w:t xml:space="preserve">, while Table 3.2 uses </w:t>
      </w:r>
      <w:r>
        <w:rPr>
          <w:rFonts w:ascii="Times New Roman" w:hAnsi="Times New Roman" w:eastAsia="Times New Roman" w:cs="Times New Roman"/>
          <w:b/>
          <w:color w:val="000000"/>
          <w:sz w:val="24"/>
        </w:rPr>
        <w:t xml:space="preserve">307, 176, 297, 177</w:t>
      </w:r>
      <w:r>
        <w:rPr>
          <w:rFonts w:ascii="Times New Roman" w:hAnsi="Times New Roman" w:eastAsia="Times New Roman" w:cs="Times New Roman"/>
          <w:color w:val="000000"/>
          <w:sz w:val="24"/>
        </w:rPr>
        <w:t xml:space="preserve">. These may represent filtered versus raw events, but the distinction is not explicit.</w:t>
      </w:r>
      <w:r/>
    </w:p>
    <w:p w14:paraId="35A5893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References to “Table 5.2b” remain although the corresponding table is numbered 5.3.</w:t>
      </w:r>
      <w:r/>
    </w:p>
    <w:p w14:paraId="3886E5D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transfer discussion refers to Table 5.9 while the transfer table is 5.11.</w:t>
      </w:r>
      <w:r/>
    </w:p>
    <w:p w14:paraId="3A56D46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negative-results introduction refers to Table 5.15 while the actual table is 5.17.</w:t>
      </w:r>
      <w:r/>
    </w:p>
    <w:p w14:paraId="01FC880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Duplicate paragraphs remain in Chapter 2.</w:t>
      </w:r>
      <w:r/>
    </w:p>
    <w:p w14:paraId="1BC8E47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Stray “APPENDIX C” and “APPENDIX D” labels appear before their actual opening pages.</w:t>
      </w:r>
      <w:r/>
    </w:p>
    <w:p w14:paraId="6E9B87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My recommendation:</w:t>
      </w:r>
      <w:r>
        <w:rPr>
          <w:rFonts w:ascii="Times New Roman" w:hAnsi="Times New Roman" w:eastAsia="Times New Roman" w:cs="Times New Roman"/>
          <w:color w:val="000000"/>
          <w:sz w:val="24"/>
        </w:rPr>
        <w:t xml:space="preserve"> retain the research direction, but do not treat this PDF as final. First verify that the report-derived neighbor construction and timing rules actually produced the reported results. Then reconcile the risk-control calculations. Finally, regenerate the ab</w:t>
      </w:r>
      <w:r>
        <w:rPr>
          <w:rFonts w:ascii="Times New Roman" w:hAnsi="Times New Roman" w:eastAsia="Times New Roman" w:cs="Times New Roman"/>
          <w:color w:val="000000"/>
          <w:sz w:val="24"/>
        </w:rPr>
        <w:t xml:space="preserve">stract, conclusions, captions and references from those verified results.</w:t>
      </w:r>
      <w:r/>
    </w:p>
    <w:p w14:paraId="224D77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revision has improved the explanations. </w:t>
      </w:r>
      <w:r>
        <w:rPr>
          <w:rFonts w:ascii="Times New Roman" w:hAnsi="Times New Roman" w:eastAsia="Times New Roman" w:cs="Times New Roman"/>
          <w:b/>
          <w:color w:val="000000"/>
          <w:sz w:val="24"/>
        </w:rPr>
        <w:t xml:space="preserve">It has not yet demonstrated that the implementation and all headline claims agree with those explanations.</w:t>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57E90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www.etsi.org/deliver/etsi_ts/136300_136399/136331/17.06.00_60/ts_136331v170600p.pdf?utm_source=chatgpt.com" TargetMode="External"/><Relationship Id="rId10" Type="http://schemas.openxmlformats.org/officeDocument/2006/relationships/hyperlink" Target="https://arxiv.org/html/2208.02814v4?utm_source=chatgpt.com" TargetMode="External"/><Relationship Id="rId11" Type="http://schemas.openxmlformats.org/officeDocument/2006/relationships/hyperlink" Target="https://data.mendeley.com/datasets/n2pvmtyn2j/1?utm_source=chatgpt.com"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2026-09-20T13:46:17Z</dcterms:modified>
</cp:coreProperties>
</file>