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8CE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timing issue remains unresolved in this PDF. The problem is whether the model’s inputs actually precede the handover, not simply that the CSV records once per second.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8"/>
        <w:gridCol w:w="4762"/>
        <w:gridCol w:w="3344"/>
      </w:tblGrid>
      <w:tr>
        <w:trPr/>
        <w:tc>
          <w:tcPr>
            <w:tcBorders/>
            <w:tcMar>
              <w:left w:w="15" w:type="dxa"/>
              <w:top w:w="15" w:type="dxa"/>
              <w:right w:w="15" w:type="dxa"/>
              <w:bottom w:w="15" w:type="dxa"/>
            </w:tcMar>
            <w:tcW w:w="1248" w:type="dxa"/>
            <w:vAlign w:val="center"/>
          </w:tcPr>
          <w:p w14:paraId="45F55F59">
            <w:pPr>
              <w:pBdr/>
              <w:spacing w:after="0" w:before="0" w:line="240"/>
              <w:ind/>
              <w:jc w:val="center"/>
              <w:rPr/>
            </w:pPr>
            <w:r>
              <w:rPr>
                <w:rFonts w:ascii="Times New Roman" w:hAnsi="Times New Roman" w:eastAsia="Times New Roman" w:cs="Times New Roman"/>
                <w:b/>
                <w:color w:val="000000"/>
                <w:sz w:val="24"/>
              </w:rPr>
              <w:t xml:space="preserve">Timing issue</w:t>
            </w:r>
            <w:r/>
          </w:p>
        </w:tc>
        <w:tc>
          <w:tcPr>
            <w:tcBorders/>
            <w:tcMar>
              <w:left w:w="15" w:type="dxa"/>
              <w:top w:w="15" w:type="dxa"/>
              <w:right w:w="15" w:type="dxa"/>
              <w:bottom w:w="15" w:type="dxa"/>
            </w:tcMar>
            <w:tcW w:w="4762" w:type="dxa"/>
            <w:vAlign w:val="center"/>
          </w:tcPr>
          <w:p w14:paraId="7AEBACFB">
            <w:pPr>
              <w:pBdr/>
              <w:spacing w:after="0" w:before="0" w:line="240"/>
              <w:ind/>
              <w:jc w:val="center"/>
              <w:rPr/>
            </w:pPr>
            <w:r>
              <w:rPr>
                <w:rFonts w:ascii="Times New Roman" w:hAnsi="Times New Roman" w:eastAsia="Times New Roman" w:cs="Times New Roman"/>
                <w:b/>
                <w:color w:val="000000"/>
                <w:sz w:val="24"/>
              </w:rPr>
              <w:t xml:space="preserve">What your evidence establishes</w:t>
            </w:r>
            <w:r/>
          </w:p>
        </w:tc>
        <w:tc>
          <w:tcPr>
            <w:tcBorders/>
            <w:tcMar>
              <w:left w:w="15" w:type="dxa"/>
              <w:top w:w="15" w:type="dxa"/>
              <w:right w:w="15" w:type="dxa"/>
              <w:bottom w:w="15" w:type="dxa"/>
            </w:tcMar>
            <w:tcW w:w="3344" w:type="dxa"/>
            <w:vAlign w:val="center"/>
          </w:tcPr>
          <w:p w14:paraId="65E658BF">
            <w:pPr>
              <w:pBdr/>
              <w:spacing w:after="0" w:before="0" w:line="240"/>
              <w:ind/>
              <w:jc w:val="center"/>
              <w:rPr/>
            </w:pPr>
            <w:r>
              <w:rPr>
                <w:rFonts w:ascii="Times New Roman" w:hAnsi="Times New Roman" w:eastAsia="Times New Roman" w:cs="Times New Roman"/>
                <w:b/>
                <w:color w:val="000000"/>
                <w:sz w:val="24"/>
              </w:rPr>
              <w:t xml:space="preserve">What remains uncertain</w:t>
            </w:r>
            <w:r/>
          </w:p>
        </w:tc>
      </w:tr>
      <w:tr>
        <w:trPr/>
        <w:tc>
          <w:tcPr>
            <w:tcBorders/>
            <w:tcMar>
              <w:left w:w="15" w:type="dxa"/>
              <w:top w:w="15" w:type="dxa"/>
              <w:right w:w="15" w:type="dxa"/>
              <w:bottom w:w="15" w:type="dxa"/>
            </w:tcMar>
            <w:tcW w:w="1248" w:type="dxa"/>
            <w:vAlign w:val="center"/>
          </w:tcPr>
          <w:p w14:paraId="795AD1CF">
            <w:pPr>
              <w:pBdr/>
              <w:spacing w:after="0" w:before="0" w:line="240"/>
              <w:ind/>
              <w:rPr/>
            </w:pPr>
            <w:r>
              <w:rPr>
                <w:rFonts w:ascii="Times New Roman" w:hAnsi="Times New Roman" w:eastAsia="Times New Roman" w:cs="Times New Roman"/>
                <w:color w:val="000000"/>
                <w:sz w:val="24"/>
              </w:rPr>
              <w:t xml:space="preserve">CSV alignment</w:t>
            </w:r>
            <w:r/>
          </w:p>
        </w:tc>
        <w:tc>
          <w:tcPr>
            <w:tcBorders/>
            <w:tcMar>
              <w:left w:w="15" w:type="dxa"/>
              <w:top w:w="15" w:type="dxa"/>
              <w:right w:w="15" w:type="dxa"/>
              <w:bottom w:w="15" w:type="dxa"/>
            </w:tcMar>
            <w:tcW w:w="4762" w:type="dxa"/>
            <w:vAlign w:val="center"/>
          </w:tcPr>
          <w:p w14:paraId="33FF5A20">
            <w:pPr>
              <w:pBdr/>
              <w:spacing w:after="0" w:before="0" w:line="240"/>
              <w:ind/>
              <w:rPr/>
            </w:pPr>
            <w:r>
              <w:rPr>
                <w:rFonts w:ascii="Times New Roman" w:hAnsi="Times New Roman" w:eastAsia="Times New Roman" w:cs="Times New Roman"/>
                <w:color w:val="000000"/>
                <w:sz w:val="24"/>
              </w:rPr>
              <w:t xml:space="preserve">The command-second row often already contains the target PCI</w:t>
            </w:r>
            <w:r/>
          </w:p>
        </w:tc>
        <w:tc>
          <w:tcPr>
            <w:tcBorders/>
            <w:tcMar>
              <w:left w:w="15" w:type="dxa"/>
              <w:top w:w="15" w:type="dxa"/>
              <w:right w:w="15" w:type="dxa"/>
              <w:bottom w:w="15" w:type="dxa"/>
            </w:tcMar>
            <w:tcW w:w="3344" w:type="dxa"/>
            <w:vAlign w:val="center"/>
          </w:tcPr>
          <w:p w14:paraId="122A4EE5">
            <w:pPr>
              <w:pBdr/>
              <w:spacing w:after="0" w:before="0" w:line="240"/>
              <w:ind/>
              <w:rPr/>
            </w:pPr>
            <w:r>
              <w:rPr>
                <w:rFonts w:ascii="Times New Roman" w:hAnsi="Times New Roman" w:eastAsia="Times New Roman" w:cs="Times New Roman"/>
                <w:color w:val="000000"/>
                <w:sz w:val="24"/>
              </w:rPr>
              <w:t xml:space="preserve">When the measurements inside that row were acquired and available</w:t>
            </w:r>
            <w:r/>
          </w:p>
        </w:tc>
      </w:tr>
      <w:tr>
        <w:trPr/>
        <w:tc>
          <w:tcPr>
            <w:tcBorders/>
            <w:tcMar>
              <w:left w:w="15" w:type="dxa"/>
              <w:top w:w="15" w:type="dxa"/>
              <w:right w:w="15" w:type="dxa"/>
              <w:bottom w:w="15" w:type="dxa"/>
            </w:tcMar>
            <w:tcW w:w="1248" w:type="dxa"/>
            <w:vAlign w:val="center"/>
          </w:tcPr>
          <w:p w14:paraId="53F36A3B">
            <w:pPr>
              <w:pBdr/>
              <w:spacing w:after="0" w:before="0" w:line="240"/>
              <w:ind/>
              <w:rPr/>
            </w:pPr>
            <w:r>
              <w:rPr>
                <w:rFonts w:ascii="Times New Roman" w:hAnsi="Times New Roman" w:eastAsia="Times New Roman" w:cs="Times New Roman"/>
                <w:color w:val="000000"/>
                <w:sz w:val="24"/>
              </w:rPr>
              <w:t xml:space="preserve">Signalling timestamps</w:t>
            </w:r>
            <w:r/>
          </w:p>
        </w:tc>
        <w:tc>
          <w:tcPr>
            <w:tcBorders/>
            <w:tcMar>
              <w:left w:w="15" w:type="dxa"/>
              <w:top w:w="15" w:type="dxa"/>
              <w:right w:w="15" w:type="dxa"/>
              <w:bottom w:w="15" w:type="dxa"/>
            </w:tcMar>
            <w:tcW w:w="4762" w:type="dxa"/>
            <w:vAlign w:val="center"/>
          </w:tcPr>
          <w:p w14:paraId="12E23936">
            <w:pPr>
              <w:pBdr/>
              <w:spacing w:after="0" w:before="0" w:line="240"/>
              <w:ind/>
              <w:rPr/>
            </w:pPr>
            <w:r>
              <w:rPr>
                <w:rFonts w:ascii="Times New Roman" w:hAnsi="Times New Roman" w:eastAsia="Times New Roman" w:cs="Times New Roman"/>
                <w:color w:val="000000"/>
                <w:sz w:val="24"/>
              </w:rPr>
              <w:t xml:space="preserve">Many messages share PC timestamps; 742/957 command–completion pairs are only 0–1 ms apart</w:t>
            </w:r>
            <w:r/>
          </w:p>
        </w:tc>
        <w:tc>
          <w:tcPr>
            <w:tcBorders/>
            <w:tcMar>
              <w:left w:w="15" w:type="dxa"/>
              <w:top w:w="15" w:type="dxa"/>
              <w:right w:w="15" w:type="dxa"/>
              <w:bottom w:w="15" w:type="dxa"/>
            </w:tcMar>
            <w:tcW w:w="3344" w:type="dxa"/>
            <w:vAlign w:val="center"/>
          </w:tcPr>
          <w:p w14:paraId="02843CA1">
            <w:pPr>
              <w:pBdr/>
              <w:spacing w:after="0" w:before="0" w:line="240"/>
              <w:ind/>
              <w:rPr/>
            </w:pPr>
            <w:r>
              <w:rPr>
                <w:rFonts w:ascii="Times New Roman" w:hAnsi="Times New Roman" w:eastAsia="Times New Roman" w:cs="Times New Roman"/>
                <w:color w:val="000000"/>
                <w:sz w:val="24"/>
              </w:rPr>
              <w:t xml:space="preserve">How PC time relates to actual message transmission or reception</w:t>
            </w:r>
            <w:r/>
          </w:p>
        </w:tc>
      </w:tr>
      <w:tr>
        <w:trPr/>
        <w:tc>
          <w:tcPr>
            <w:tcBorders/>
            <w:tcMar>
              <w:left w:w="15" w:type="dxa"/>
              <w:top w:w="15" w:type="dxa"/>
              <w:right w:w="15" w:type="dxa"/>
              <w:bottom w:w="15" w:type="dxa"/>
            </w:tcMar>
            <w:tcW w:w="1248" w:type="dxa"/>
            <w:vAlign w:val="center"/>
          </w:tcPr>
          <w:p w14:paraId="5C263F00">
            <w:pPr>
              <w:pBdr/>
              <w:spacing w:after="0" w:before="0" w:line="240"/>
              <w:ind/>
              <w:rPr/>
            </w:pPr>
            <w:r>
              <w:rPr>
                <w:rFonts w:ascii="Times New Roman" w:hAnsi="Times New Roman" w:eastAsia="Times New Roman" w:cs="Times New Roman"/>
                <w:color w:val="000000"/>
                <w:sz w:val="24"/>
              </w:rPr>
              <w:t xml:space="preserve">Internal </w:t>
            </w:r>
            <w:r>
              <w:rPr>
                <w:rFonts w:ascii="Courier New" w:hAnsi="Courier New" w:eastAsia="Courier New" w:cs="Courier New"/>
                <w:color w:val="000000"/>
                <w:sz w:val="20"/>
              </w:rPr>
              <w:t xml:space="preserve">Time</w:t>
            </w:r>
            <w:r>
              <w:rPr>
                <w:rFonts w:ascii="Times New Roman" w:hAnsi="Times New Roman" w:eastAsia="Times New Roman" w:cs="Times New Roman"/>
                <w:color w:val="000000"/>
                <w:sz w:val="24"/>
              </w:rPr>
              <w:t xml:space="preserve"> counter</w:t>
            </w:r>
            <w:r/>
          </w:p>
        </w:tc>
        <w:tc>
          <w:tcPr>
            <w:tcBorders/>
            <w:tcMar>
              <w:left w:w="15" w:type="dxa"/>
              <w:top w:w="15" w:type="dxa"/>
              <w:right w:w="15" w:type="dxa"/>
              <w:bottom w:w="15" w:type="dxa"/>
            </w:tcMar>
            <w:tcW w:w="4762" w:type="dxa"/>
            <w:vAlign w:val="center"/>
          </w:tcPr>
          <w:p w14:paraId="481F6DB5">
            <w:pPr>
              <w:pBdr/>
              <w:spacing w:after="0" w:before="0" w:line="240"/>
              <w:ind/>
              <w:rPr/>
            </w:pPr>
            <w:r>
              <w:rPr>
                <w:rFonts w:ascii="Times New Roman" w:hAnsi="Times New Roman" w:eastAsia="Times New Roman" w:cs="Times New Roman"/>
                <w:color w:val="000000"/>
                <w:sz w:val="24"/>
              </w:rPr>
              <w:t xml:space="preserve">Its elapsed rate appears consistent with a running counter</w:t>
            </w:r>
            <w:r/>
          </w:p>
        </w:tc>
        <w:tc>
          <w:tcPr>
            <w:tcBorders/>
            <w:tcMar>
              <w:left w:w="15" w:type="dxa"/>
              <w:top w:w="15" w:type="dxa"/>
              <w:right w:w="15" w:type="dxa"/>
              <w:bottom w:w="15" w:type="dxa"/>
            </w:tcMar>
            <w:tcW w:w="3344" w:type="dxa"/>
            <w:vAlign w:val="center"/>
          </w:tcPr>
          <w:p w14:paraId="0CB42BB7">
            <w:pPr>
              <w:pBdr/>
              <w:spacing w:after="0" w:before="0" w:line="240"/>
              <w:ind/>
              <w:rPr/>
            </w:pPr>
            <w:r>
              <w:rPr>
                <w:rFonts w:ascii="Times New Roman" w:hAnsi="Times New Roman" w:eastAsia="Times New Roman" w:cs="Times New Roman"/>
                <w:color w:val="000000"/>
                <w:sz w:val="24"/>
              </w:rPr>
              <w:t xml:space="preserve">Its precise meaning and mapping to CSV time</w:t>
            </w:r>
            <w:r/>
          </w:p>
        </w:tc>
      </w:tr>
      <w:tr>
        <w:trPr/>
        <w:tc>
          <w:tcPr>
            <w:tcBorders/>
            <w:tcMar>
              <w:left w:w="15" w:type="dxa"/>
              <w:top w:w="15" w:type="dxa"/>
              <w:right w:w="15" w:type="dxa"/>
              <w:bottom w:w="15" w:type="dxa"/>
            </w:tcMar>
            <w:tcW w:w="1248" w:type="dxa"/>
            <w:vAlign w:val="center"/>
          </w:tcPr>
          <w:p w14:paraId="04CA8D0E">
            <w:pPr>
              <w:pBdr/>
              <w:spacing w:after="0" w:before="0" w:line="240"/>
              <w:ind/>
              <w:rPr/>
            </w:pPr>
            <w:r>
              <w:rPr>
                <w:rFonts w:ascii="Times New Roman" w:hAnsi="Times New Roman" w:eastAsia="Times New Roman" w:cs="Times New Roman"/>
                <w:color w:val="000000"/>
                <w:sz w:val="24"/>
              </w:rPr>
              <w:t xml:space="preserve">One-row lag</w:t>
            </w:r>
            <w:r/>
          </w:p>
        </w:tc>
        <w:tc>
          <w:tcPr>
            <w:tcBorders/>
            <w:tcMar>
              <w:left w:w="15" w:type="dxa"/>
              <w:top w:w="15" w:type="dxa"/>
              <w:right w:w="15" w:type="dxa"/>
              <w:bottom w:w="15" w:type="dxa"/>
            </w:tcMar>
            <w:tcW w:w="4762" w:type="dxa"/>
            <w:vAlign w:val="center"/>
          </w:tcPr>
          <w:p w14:paraId="1871ED8C">
            <w:pPr>
              <w:pBdr/>
              <w:spacing w:after="0" w:before="0" w:line="240"/>
              <w:ind/>
              <w:rPr/>
            </w:pPr>
            <w:r>
              <w:rPr>
                <w:rFonts w:ascii="Times New Roman" w:hAnsi="Times New Roman" w:eastAsia="Times New Roman" w:cs="Times New Roman"/>
                <w:color w:val="000000"/>
                <w:sz w:val="24"/>
              </w:rPr>
              <w:t xml:space="preserve">It substantially reduces the reported score</w:t>
            </w:r>
            <w:r/>
          </w:p>
        </w:tc>
        <w:tc>
          <w:tcPr>
            <w:tcBorders/>
            <w:tcMar>
              <w:left w:w="15" w:type="dxa"/>
              <w:top w:w="15" w:type="dxa"/>
              <w:right w:w="15" w:type="dxa"/>
              <w:bottom w:w="15" w:type="dxa"/>
            </w:tcMar>
            <w:tcW w:w="3344" w:type="dxa"/>
            <w:vAlign w:val="center"/>
          </w:tcPr>
          <w:p w14:paraId="155F4836">
            <w:pPr>
              <w:pBdr/>
              <w:spacing w:after="0" w:before="0" w:line="240"/>
              <w:ind/>
              <w:rPr/>
            </w:pPr>
            <w:r>
              <w:rPr>
                <w:rFonts w:ascii="Times New Roman" w:hAnsi="Times New Roman" w:eastAsia="Times New Roman" w:cs="Times New Roman"/>
                <w:color w:val="000000"/>
                <w:sz w:val="24"/>
              </w:rPr>
              <w:t xml:space="preserve">Whether it removes all timing leakage</w:t>
            </w:r>
            <w:r/>
          </w:p>
        </w:tc>
      </w:tr>
      <w:tr>
        <w:trPr/>
        <w:tc>
          <w:tcPr>
            <w:tcBorders/>
            <w:tcMar>
              <w:left w:w="15" w:type="dxa"/>
              <w:top w:w="15" w:type="dxa"/>
              <w:right w:w="15" w:type="dxa"/>
              <w:bottom w:w="15" w:type="dxa"/>
            </w:tcMar>
            <w:tcW w:w="1248" w:type="dxa"/>
            <w:vAlign w:val="center"/>
          </w:tcPr>
          <w:p w14:paraId="65EB5934">
            <w:pPr>
              <w:pBdr/>
              <w:spacing w:after="0" w:before="0" w:line="240"/>
              <w:ind/>
              <w:rPr/>
            </w:pPr>
            <w:r>
              <w:rPr>
                <w:rFonts w:ascii="Times New Roman" w:hAnsi="Times New Roman" w:eastAsia="Times New Roman" w:cs="Times New Roman"/>
                <w:color w:val="000000"/>
                <w:sz w:val="24"/>
              </w:rPr>
              <w:t xml:space="preserve">Report-derived neighbors</w:t>
            </w:r>
            <w:r/>
          </w:p>
        </w:tc>
        <w:tc>
          <w:tcPr>
            <w:tcBorders/>
            <w:tcMar>
              <w:left w:w="15" w:type="dxa"/>
              <w:top w:w="15" w:type="dxa"/>
              <w:right w:w="15" w:type="dxa"/>
              <w:bottom w:w="15" w:type="dxa"/>
            </w:tcMar>
            <w:tcW w:w="4762" w:type="dxa"/>
            <w:vAlign w:val="center"/>
          </w:tcPr>
          <w:p w14:paraId="3B91F565">
            <w:pPr>
              <w:pBdr/>
              <w:spacing w:after="0" w:before="0" w:line="240"/>
              <w:ind/>
              <w:rPr/>
            </w:pPr>
            <w:r>
              <w:rPr>
                <w:rFonts w:ascii="Times New Roman" w:hAnsi="Times New Roman" w:eastAsia="Times New Roman" w:cs="Times New Roman"/>
                <w:color w:val="000000"/>
                <w:sz w:val="24"/>
              </w:rPr>
              <w:t xml:space="preserve">The revised method holds the last reported value</w:t>
            </w:r>
            <w:r/>
          </w:p>
        </w:tc>
        <w:tc>
          <w:tcPr>
            <w:tcBorders/>
            <w:tcMar>
              <w:left w:w="15" w:type="dxa"/>
              <w:top w:w="15" w:type="dxa"/>
              <w:right w:w="15" w:type="dxa"/>
              <w:bottom w:w="15" w:type="dxa"/>
            </w:tcMar>
            <w:tcW w:w="3344" w:type="dxa"/>
            <w:vAlign w:val="center"/>
          </w:tcPr>
          <w:p w14:paraId="15202AE8">
            <w:pPr>
              <w:pBdr/>
              <w:spacing w:after="0" w:before="0" w:line="240"/>
              <w:ind/>
              <w:rPr/>
            </w:pPr>
            <w:r>
              <w:rPr>
                <w:rFonts w:ascii="Times New Roman" w:hAnsi="Times New Roman" w:eastAsia="Times New Roman" w:cs="Times New Roman"/>
                <w:color w:val="000000"/>
                <w:sz w:val="24"/>
              </w:rPr>
              <w:t xml:space="preserve">Its actual observation age and availability relative to the other inputs</w:t>
            </w:r>
            <w:r/>
          </w:p>
        </w:tc>
      </w:tr>
    </w:tbl>
    <w:p w14:paraId="3F0FE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manuscript currently contradicts itself on these points.</w:t>
      </w:r>
      <w:r/>
    </w:p>
    <w:p w14:paraId="6D04ED8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Page 18:</w:t>
      </w:r>
      <w:r>
        <w:rPr>
          <w:rFonts w:ascii="Times New Roman" w:hAnsi="Times New Roman" w:eastAsia="Times New Roman" w:cs="Times New Roman"/>
          <w:color w:val="000000"/>
          <w:sz w:val="24"/>
        </w:rPr>
        <w:t xml:space="preserve"> calls the command timestamp its transmission instant.</w:t>
      </w:r>
      <w:r/>
    </w:p>
    <w:p w14:paraId="79DDEC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Page 24:</w:t>
      </w:r>
      <w:r>
        <w:rPr>
          <w:rFonts w:ascii="Times New Roman" w:hAnsi="Times New Roman" w:eastAsia="Times New Roman" w:cs="Times New Roman"/>
          <w:color w:val="000000"/>
          <w:sz w:val="24"/>
        </w:rPr>
        <w:t xml:space="preserve"> acknowledges that command–completion intervals reflect logging behavior.</w:t>
      </w:r>
      <w:r/>
    </w:p>
    <w:p w14:paraId="79DBC2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Page 31:</w:t>
      </w:r>
      <w:r>
        <w:rPr>
          <w:rFonts w:ascii="Times New Roman" w:hAnsi="Times New Roman" w:eastAsia="Times New Roman" w:cs="Times New Roman"/>
          <w:color w:val="000000"/>
          <w:sz w:val="24"/>
        </w:rPr>
        <w:t xml:space="preserve"> calls signalling timestamps “exact to the millisecond.”</w:t>
      </w:r>
      <w:r/>
    </w:p>
    <w:p w14:paraId="6E863ED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Page 39:</w:t>
      </w:r>
      <w:r>
        <w:rPr>
          <w:rFonts w:ascii="Times New Roman" w:hAnsi="Times New Roman" w:eastAsia="Times New Roman" w:cs="Times New Roman"/>
          <w:color w:val="000000"/>
          <w:sz w:val="24"/>
        </w:rPr>
        <w:t xml:space="preserve"> nevertheless uses command–completion intervals as execution/update timing.</w:t>
      </w:r>
      <w:r/>
    </w:p>
    <w:p w14:paraId="0E1323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Page 41:</w:t>
      </w:r>
      <w:r>
        <w:rPr>
          <w:rFonts w:ascii="Times New Roman" w:hAnsi="Times New Roman" w:eastAsia="Times New Roman" w:cs="Times New Roman"/>
          <w:color w:val="000000"/>
          <w:sz w:val="24"/>
        </w:rPr>
        <w:t xml:space="preserve"> interprets a transition curve as a physical update delay around 60 ms.</w:t>
      </w:r>
      <w:r/>
    </w:p>
    <w:p w14:paraId="2DDE2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timestamp printed to three decimal places does not establish millisecond accuracy.</w:t>
      </w:r>
      <w:r>
        <w:rPr>
          <w:rFonts w:ascii="Times New Roman" w:hAnsi="Times New Roman" w:eastAsia="Times New Roman" w:cs="Times New Roman"/>
          <w:color w:val="000000"/>
          <w:sz w:val="24"/>
        </w:rPr>
        <w:t xml:space="preserve"> The 60 ms interpretation requires clock validation that the supplied evidence does not provide.</w:t>
      </w:r>
      <w:r/>
    </w:p>
    <w:p w14:paraId="74D997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Consider a hypothetical case:</w:t>
      </w:r>
      <w:r/>
    </w:p>
    <w:p w14:paraId="4573CF3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actual handover occurs at </w:t>
      </w:r>
      <w:r>
        <w:rPr>
          <w:rFonts w:ascii="Times New Roman" w:hAnsi="Times New Roman" w:eastAsia="Times New Roman" w:cs="Times New Roman"/>
          <w:b/>
          <w:color w:val="000000"/>
          <w:sz w:val="24"/>
        </w:rPr>
        <w:t xml:space="preserve">10.2 s</w:t>
      </w:r>
      <w:r>
        <w:rPr>
          <w:rFonts w:ascii="Times New Roman" w:hAnsi="Times New Roman" w:eastAsia="Times New Roman" w:cs="Times New Roman"/>
          <w:color w:val="000000"/>
          <w:sz w:val="24"/>
        </w:rPr>
        <w:t xml:space="preserve">.</w:t>
      </w:r>
      <w:r/>
    </w:p>
    <w:p w14:paraId="0A5DEFB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radio measurement reflects the new cell at </w:t>
      </w:r>
      <w:r>
        <w:rPr>
          <w:rFonts w:ascii="Times New Roman" w:hAnsi="Times New Roman" w:eastAsia="Times New Roman" w:cs="Times New Roman"/>
          <w:b/>
          <w:color w:val="000000"/>
          <w:sz w:val="24"/>
        </w:rPr>
        <w:t xml:space="preserve">10.4 s</w:t>
      </w:r>
      <w:r>
        <w:rPr>
          <w:rFonts w:ascii="Times New Roman" w:hAnsi="Times New Roman" w:eastAsia="Times New Roman" w:cs="Times New Roman"/>
          <w:color w:val="000000"/>
          <w:sz w:val="24"/>
        </w:rPr>
        <w:t xml:space="preserve">.</w:t>
      </w:r>
      <w:r/>
    </w:p>
    <w:p w14:paraId="776158D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logger assigns the command a timestamp of </w:t>
      </w:r>
      <w:r>
        <w:rPr>
          <w:rFonts w:ascii="Times New Roman" w:hAnsi="Times New Roman" w:eastAsia="Times New Roman" w:cs="Times New Roman"/>
          <w:b/>
          <w:color w:val="000000"/>
          <w:sz w:val="24"/>
        </w:rPr>
        <w:t xml:space="preserve">10.7 s</w:t>
      </w:r>
      <w:r>
        <w:rPr>
          <w:rFonts w:ascii="Times New Roman" w:hAnsi="Times New Roman" w:eastAsia="Times New Roman" w:cs="Times New Roman"/>
          <w:color w:val="000000"/>
          <w:sz w:val="24"/>
        </w:rPr>
        <w:t xml:space="preserve">.</w:t>
      </w:r>
      <w:r/>
    </w:p>
    <w:p w14:paraId="4D92E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appears to predict </w:t>
      </w:r>
      <w:r>
        <w:rPr>
          <w:rFonts w:ascii="Times New Roman" w:hAnsi="Times New Roman" w:eastAsia="Times New Roman" w:cs="Times New Roman"/>
          <w:b/>
          <w:color w:val="000000"/>
          <w:sz w:val="24"/>
        </w:rPr>
        <w:t xml:space="preserve">0.3 seconds ahead</w:t>
      </w:r>
      <w:r>
        <w:rPr>
          <w:rFonts w:ascii="Times New Roman" w:hAnsi="Times New Roman" w:eastAsia="Times New Roman" w:cs="Times New Roman"/>
          <w:color w:val="000000"/>
          <w:sz w:val="24"/>
        </w:rPr>
        <w:t xml:space="preserve">, although its input comes </w:t>
      </w:r>
      <w:r>
        <w:rPr>
          <w:rFonts w:ascii="Times New Roman" w:hAnsi="Times New Roman" w:eastAsia="Times New Roman" w:cs="Times New Roman"/>
          <w:b/>
          <w:color w:val="000000"/>
          <w:sz w:val="24"/>
        </w:rPr>
        <w:t xml:space="preserve">0.2 seconds after</w:t>
      </w:r>
      <w:r>
        <w:rPr>
          <w:rFonts w:ascii="Times New Roman" w:hAnsi="Times New Roman" w:eastAsia="Times New Roman" w:cs="Times New Roman"/>
          <w:color w:val="000000"/>
          <w:sz w:val="24"/>
        </w:rPr>
        <w:t xml:space="preserve"> the event. That is false advance warning.</w:t>
      </w:r>
      <w:r/>
    </w:p>
    <w:p w14:paraId="040A2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this means for your results</w:t>
      </w:r>
      <w:r/>
    </w:p>
    <w:p w14:paraId="2CF2F3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reported </w:t>
      </w:r>
      <w:r>
        <w:rPr>
          <w:rFonts w:ascii="Times New Roman" w:hAnsi="Times New Roman" w:eastAsia="Times New Roman" w:cs="Times New Roman"/>
          <w:b/>
          <w:color w:val="000000"/>
          <w:sz w:val="24"/>
        </w:rPr>
        <w:t xml:space="preserve">0.47-second median lead time</w:t>
      </w:r>
      <w:r>
        <w:rPr>
          <w:rFonts w:ascii="Times New Roman" w:hAnsi="Times New Roman" w:eastAsia="Times New Roman" w:cs="Times New Roman"/>
          <w:color w:val="000000"/>
          <w:sz w:val="24"/>
        </w:rPr>
        <w:t xml:space="preserve"> is particularly vulnerable: without a bound on relative timestamp error, it cannot confidently be interpreted as physical warning time.</w:t>
      </w:r>
      <w:r/>
    </w:p>
    <w:p w14:paraId="308C7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score drop from </w:t>
      </w:r>
      <w:r>
        <w:rPr>
          <w:rFonts w:ascii="Times New Roman" w:hAnsi="Times New Roman" w:eastAsia="Times New Roman" w:cs="Times New Roman"/>
          <w:b/>
          <w:color w:val="000000"/>
          <w:sz w:val="24"/>
        </w:rPr>
        <w:t xml:space="preserve">0.600 to 0.179</w:t>
      </w:r>
      <w:r>
        <w:rPr>
          <w:rFonts w:ascii="Times New Roman" w:hAnsi="Times New Roman" w:eastAsia="Times New Roman" w:cs="Times New Roman"/>
          <w:color w:val="000000"/>
          <w:sz w:val="24"/>
        </w:rPr>
        <w:t xml:space="preserve"> demonstrates sensitivity to alignment. It does not, by itself, prove that 0.179 is completely free of timing leakage. Likewise, using a five-second horizon does not automatically solve the problem.</w:t>
      </w:r>
      <w:r/>
    </w:p>
    <w:p w14:paraId="25865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Required correction:</w:t>
      </w:r>
      <w:r>
        <w:rPr>
          <w:rFonts w:ascii="Times New Roman" w:hAnsi="Times New Roman" w:eastAsia="Times New Roman" w:cs="Times New Roman"/>
          <w:color w:val="000000"/>
          <w:sz w:val="24"/>
        </w:rPr>
        <w:t xml:space="preserve"> validate the internal counter against PC timestamps and establish the CSV’s timing convention. Then evaluate several plausible relative offsets while keeping the model comparison fixed. Until that is done, describe the results as forecasting </w:t>
      </w:r>
      <w:r>
        <w:rPr>
          <w:rFonts w:ascii="Times New Roman" w:hAnsi="Times New Roman" w:eastAsia="Times New Roman" w:cs="Times New Roman"/>
          <w:b/>
          <w:color w:val="000000"/>
          <w:sz w:val="24"/>
        </w:rPr>
        <w:t xml:space="preserve">recorded handover-command timestamps under the chosen alignment</w:t>
      </w:r>
      <w:r>
        <w:rPr>
          <w:rFonts w:ascii="Times New Roman" w:hAnsi="Times New Roman" w:eastAsia="Times New Roman" w:cs="Times New Roman"/>
          <w:color w:val="000000"/>
          <w:sz w:val="24"/>
        </w:rPr>
        <w:t xml:space="preserve">, and remove claims of exact physical lead time or recovered physical update delay.</w:t>
      </w:r>
      <w:r/>
    </w:p>
    <w:p w14:paraId="1939B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LTE standard defines the protocol sequence, but it does not establish XCAL’s logging-clock accuracy. </w:t>
      </w:r>
      <w:hyperlink r:id="rId9" w:tooltip="https://www.etsi.org/deliver/etsi_ts/136300_136399/136331/17.06.00_60/ts_136331v170600p.pdf?utm_source=chatgpt.com" w:history="1">
        <w:r>
          <w:rPr>
            <w:rStyle w:val="187"/>
            <w:rFonts w:ascii="Times New Roman" w:hAnsi="Times New Roman" w:eastAsia="Times New Roman" w:cs="Times New Roman"/>
            <w:color w:val="0000ee"/>
            <w:sz w:val="24"/>
            <w:u w:val="none"/>
          </w:rPr>
          <w:t xml:space="preserve">3GPP TS 36.331</w:t>
        </w:r>
      </w:hyperlink>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F0B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06F74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etsi.org/deliver/etsi_ts/136300_136399/136331/17.06.00_60/ts_136331v170600p.pdf?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2026-09-20T14:13:59Z</dcterms:modified>
</cp:coreProperties>
</file>