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4F197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 Timing: completion timestamps still do not establish serving-cell update latency — pp. 39–43</w:t>
      </w:r>
      <w:r/>
    </w:p>
    <w:p w14:paraId="417B80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abstract now calls the 50–75 ms quantity a logging/export characteristic, which is an improvement. However, p. 39 still says the completion message provides the variable \(x\), defined as latency to “completion/serving-cell register commit.”</w:t>
      </w:r>
      <w:r/>
    </w:p>
    <w:p w14:paraId="0D26A4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Those are different observations. A decoded completion timestamp does not establish when the CSV serving-cell register updated. The paragraph also calls the interval an “interruption,” while p. 24 correctly warns against interpreting command-to-completion </w:t>
      </w:r>
      <w:r>
        <w:rPr>
          <w:rFonts w:ascii="Times New Roman" w:hAnsi="Times New Roman" w:eastAsia="Times New Roman" w:cs="Times New Roman"/>
          <w:color w:val="000000"/>
          <w:sz w:val="24"/>
        </w:rPr>
        <w:t xml:space="preserve">log intervals as user-plane interruption.</w:t>
      </w:r>
      <w:r/>
    </w:p>
    <w:p w14:paraId="127DE5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Fix:</w:t>
      </w:r>
      <w:r>
        <w:rPr>
          <w:rFonts w:ascii="Times New Roman" w:hAnsi="Times New Roman" w:eastAsia="Times New Roman" w:cs="Times New Roman"/>
          <w:color w:val="000000"/>
          <w:sz w:val="24"/>
        </w:rPr>
        <w:t xml:space="preserve"> Separate:</w:t>
      </w:r>
      <w:r/>
    </w:p>
    <w:p w14:paraId="3BCED14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command-to-completion </w:t>
      </w:r>
      <w:r>
        <w:rPr>
          <w:rFonts w:ascii="Times New Roman" w:hAnsi="Times New Roman" w:eastAsia="Times New Roman" w:cs="Times New Roman"/>
          <w:b/>
          <w:color w:val="000000"/>
          <w:sz w:val="24"/>
        </w:rPr>
        <w:t xml:space="preserve">diagnostic timestamp interval</w:t>
      </w:r>
      <w:r>
        <w:rPr>
          <w:rFonts w:ascii="Times New Roman" w:hAnsi="Times New Roman" w:eastAsia="Times New Roman" w:cs="Times New Roman"/>
          <w:color w:val="000000"/>
          <w:sz w:val="24"/>
        </w:rPr>
        <w:t xml:space="preserve">;</w:t>
      </w:r>
      <w:r/>
    </w:p>
    <w:p w14:paraId="097208A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first observed target-cell appearance in the export;</w:t>
      </w:r>
      <w:r/>
    </w:p>
    <w:p w14:paraId="22C9599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actual handover execution or interruption time, which these logs do not independently establish.</w:t>
      </w:r>
      <w:r/>
    </w:p>
    <w:p w14:paraId="7EAEC7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approximately 60 ms result should remain an </w:t>
      </w:r>
      <w:r>
        <w:rPr>
          <w:rFonts w:ascii="Times New Roman" w:hAnsi="Times New Roman" w:eastAsia="Times New Roman" w:cs="Times New Roman"/>
          <w:b/>
          <w:color w:val="000000"/>
          <w:sz w:val="24"/>
        </w:rPr>
        <w:t xml:space="preserve">inferred logging characteristic under the proposed aggregation model</w:t>
      </w:r>
      <w:r>
        <w:rPr>
          <w:rFonts w:ascii="Times New Roman" w:hAnsi="Times New Roman" w:eastAsia="Times New Roman" w:cs="Times New Roman"/>
          <w:color w:val="000000"/>
          <w:sz w:val="24"/>
        </w:rPr>
        <w:t xml:space="preserve">. The Figure 5.1 caption should also replace “execution delay” with terminology consistent with that limitation.</w:t>
      </w:r>
      <w:r/>
    </w:p>
    <w:p w14:paraId="3013B4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your earlier concern: </w:t>
      </w:r>
      <w:r>
        <w:rPr>
          <w:rFonts w:ascii="Times New Roman" w:hAnsi="Times New Roman" w:eastAsia="Times New Roman" w:cs="Times New Roman"/>
          <w:b/>
          <w:color w:val="000000"/>
          <w:sz w:val="24"/>
        </w:rPr>
        <w:t xml:space="preserve">irregular signalling intervals do not themselves invalidate prediction. The crucial question is whether each feature was available before the prediction was issued.</w:t>
      </w:r>
      <w:r>
        <w:rPr>
          <w:rFonts w:ascii="Times New Roman" w:hAnsi="Times New Roman" w:eastAsia="Times New Roman" w:cs="Times New Roman"/>
          <w:color w:val="000000"/>
          <w:sz w:val="24"/>
        </w:rPr>
        <w:t xml:space="preserve"> Timestamp precision, event time, and availability time are not interchangeable.</w:t>
      </w:r>
      <w:r/>
    </w:p>
    <w:p w14:paraId="59EF6D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2. The lag experiment supports sensitivity to alignment, but does not isolate the entire leakage effect — pp. 41–42</w:t>
      </w:r>
      <w:r/>
    </w:p>
    <w:p w14:paraId="0EAB32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manuscript concludes that the performance decrease measures leakage rather than the cost of the repair.</w:t>
      </w:r>
      <w:r/>
    </w:p>
    <w:p w14:paraId="0716EC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That conclusion is too strong. Lagging serving-radio measurements simultaneously removes potentially contaminated information </w:t>
      </w:r>
      <w:r>
        <w:rPr>
          <w:rFonts w:ascii="Times New Roman" w:hAnsi="Times New Roman" w:eastAsia="Times New Roman" w:cs="Times New Roman"/>
          <w:b/>
          <w:color w:val="000000"/>
          <w:sz w:val="24"/>
        </w:rPr>
        <w:t xml:space="preserve">and makes those measurements older</w:t>
      </w:r>
      <w:r>
        <w:rPr>
          <w:rFonts w:ascii="Times New Roman" w:hAnsi="Times New Roman" w:eastAsia="Times New Roman" w:cs="Times New Roman"/>
          <w:color w:val="000000"/>
          <w:sz w:val="24"/>
        </w:rPr>
        <w:t xml:space="preserve">. Showing that an additional GPS lag contributes little does not separate these two effects within the radio features.</w:t>
      </w:r>
      <w:r/>
    </w:p>
    <w:p w14:paraId="23936C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 is also a contradiction: p. 41 says the repair is “not conservative,” whereas pp. 65–66 describe it as conservative.</w:t>
      </w:r>
      <w:r/>
    </w:p>
    <w:p w14:paraId="622376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Fix:</w:t>
      </w:r>
      <w:r>
        <w:rPr>
          <w:rFonts w:ascii="Times New Roman" w:hAnsi="Times New Roman" w:eastAsia="Times New Roman" w:cs="Times New Roman"/>
          <w:color w:val="000000"/>
          <w:sz w:val="24"/>
        </w:rPr>
        <w:t xml:space="preserve"> Report the decrease as the effect of changing feature alignment. State that the cell-identity audit provides evidence of contamination, while the exact contribution of leakage versus information ageing remains unresolved. A causally timestamped native-rat</w:t>
      </w:r>
      <w:r>
        <w:rPr>
          <w:rFonts w:ascii="Times New Roman" w:hAnsi="Times New Roman" w:eastAsia="Times New Roman" w:cs="Times New Roman"/>
          <w:color w:val="000000"/>
          <w:sz w:val="24"/>
        </w:rPr>
        <w:t xml:space="preserve">e comparison would separate them.</w:t>
      </w:r>
      <w:r/>
    </w:p>
    <w:p w14:paraId="7E7948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Similarly, “predicting within the next second” should replace “one second before a handover.” These are different claims; the reported median detected-event lead is approximately 0.47 seconds.</w:t>
      </w:r>
      <w:r/>
    </w:p>
    <w:p w14:paraId="5E7BBF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3. The revised feature inventory still does not reconcile — pp. 30–32, 39 and 84</w:t>
      </w:r>
      <w:r/>
    </w:p>
    <w:p w14:paraId="084256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Appendix B now totals the radio block explicitly:</w:t>
      </w:r>
      <w:r/>
    </w:p>
    <w:p w14:paraId="6C8A44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\[ 55+18+10+6=89. \]</w:t>
      </w:r>
      <w:r/>
    </w:p>
    <w:p w14:paraId="551AC9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But </w:t>
      </w:r>
      <w:r>
        <w:rPr>
          <w:rFonts w:ascii="Courier New" w:hAnsi="Courier New" w:eastAsia="Courier New" w:cs="Courier New"/>
          <w:b/>
          <w:color w:val="000000"/>
          <w:sz w:val="20"/>
        </w:rPr>
        <w:t xml:space="preserve">mr_age_s</w:t>
      </w:r>
      <w:r>
        <w:rPr>
          <w:rFonts w:ascii="Times New Roman" w:hAnsi="Times New Roman" w:eastAsia="Times New Roman" w:cs="Times New Roman"/>
          <w:b/>
          <w:color w:val="000000"/>
          <w:sz w:val="24"/>
        </w:rPr>
        <w:t xml:space="preserve"> is absent from that exhaustive inventory</w:t>
      </w:r>
      <w:r>
        <w:rPr>
          <w:rFonts w:ascii="Times New Roman" w:hAnsi="Times New Roman" w:eastAsia="Times New Roman" w:cs="Times New Roman"/>
          <w:color w:val="000000"/>
          <w:sz w:val="24"/>
        </w:rPr>
        <w:t xml:space="preserve">, although §4.6 and Table 4.3 say it is included.</w:t>
      </w:r>
      <w:r/>
    </w:p>
    <w:p w14:paraId="64DD5D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Table 5.3 also lists </w:t>
      </w:r>
      <w:r>
        <w:rPr>
          <w:rFonts w:ascii="Times New Roman" w:hAnsi="Times New Roman" w:eastAsia="Times New Roman" w:cs="Times New Roman"/>
          <w:b/>
          <w:color w:val="000000"/>
          <w:sz w:val="24"/>
        </w:rPr>
        <w:t xml:space="preserve">56 serving-radio columns and 109 export columns</w:t>
      </w:r>
      <w:r>
        <w:rPr>
          <w:rFonts w:ascii="Times New Roman" w:hAnsi="Times New Roman" w:eastAsia="Times New Roman" w:cs="Times New Roman"/>
          <w:color w:val="000000"/>
          <w:sz w:val="24"/>
        </w:rPr>
        <w:t xml:space="preserve">, which are not reconciled with the revised 55 serving features, 89 radio features, and 17 mobility features. Some “radio” features are now report-derived, so “export columns” is ambiguous.</w:t>
      </w:r>
      <w:r/>
    </w:p>
    <w:p w14:paraId="326B4A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Fix:</w:t>
      </w:r>
      <w:r>
        <w:rPr>
          <w:rFonts w:ascii="Times New Roman" w:hAnsi="Times New Roman" w:eastAsia="Times New Roman" w:cs="Times New Roman"/>
          <w:color w:val="000000"/>
          <w:sz w:val="24"/>
        </w:rPr>
        <w:t xml:space="preserve"> Export the actual model-input column list from the pipeline, including each column’s source, lag, window, and missing-value treatment. Generate the manuscript counts from that list.</w:t>
      </w:r>
      <w:r/>
    </w:p>
    <w:p w14:paraId="65C46D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held neighbour measurements, specify whether age is tracked per neighbour, when observations expire, and how state is handled after a serving-cell or measurement-configuration change.</w:t>
      </w:r>
      <w:r/>
    </w:p>
    <w:p w14:paraId="7F227D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4. Risk control: the numerical clarification helps, but the interpretation remains incomplete — pp. 35–36, 50–51 and 73–74</w:t>
      </w:r>
      <w:r/>
    </w:p>
    <w:p w14:paraId="2C1CA4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new \(n\approx43\) explanation resolves the earlier apparent contradiction between a 5% target and the \(1/15\) floor. I would withdraw that particular criticism.</w:t>
      </w:r>
      <w:r/>
    </w:p>
    <w:p w14:paraId="37FA86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However:</w:t>
      </w:r>
      <w:r/>
    </w:p>
    <w:p w14:paraId="234C667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four campaigns contain </w:t>
      </w:r>
      <w:r>
        <w:rPr>
          <w:rFonts w:ascii="Times New Roman" w:hAnsi="Times New Roman" w:eastAsia="Times New Roman" w:cs="Times New Roman"/>
          <w:b/>
          <w:color w:val="000000"/>
          <w:sz w:val="24"/>
        </w:rPr>
        <w:t xml:space="preserve">15, 8, 20 and 14 blocks</w:t>
      </w:r>
      <w:r>
        <w:rPr>
          <w:rFonts w:ascii="Times New Roman" w:hAnsi="Times New Roman" w:eastAsia="Times New Roman" w:cs="Times New Roman"/>
          <w:color w:val="000000"/>
          <w:sz w:val="24"/>
        </w:rPr>
        <w:t xml:space="preserve">. If each campaign serves as calibration in the 12 rotations, why is \(n=14\) used generally? Report the actual calibration size for each rotation.</w:t>
      </w:r>
      <w:r/>
    </w:p>
    <w:p w14:paraId="4C30A3B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Explain where the approximately 43 calibration units come from and how they remain separate from model fitting and tuning.</w:t>
      </w:r>
      <w:r/>
    </w:p>
    <w:p w14:paraId="6B90750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Randomly pooling blocks does not, by itself, establish exchangeability of their losses.</w:t>
      </w:r>
      <w:r/>
    </w:p>
    <w:p w14:paraId="0F22D95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bound holds in 83% of rotations” remains misleading in the abstract/conclusion. The theorem concerns </w:t>
      </w:r>
      <w:r>
        <w:rPr>
          <w:rFonts w:ascii="Times New Roman" w:hAnsi="Times New Roman" w:eastAsia="Times New Roman" w:cs="Times New Roman"/>
          <w:b/>
          <w:color w:val="000000"/>
          <w:sz w:val="24"/>
        </w:rPr>
        <w:t xml:space="preserve">expected risk</w:t>
      </w:r>
      <w:r>
        <w:rPr>
          <w:rFonts w:ascii="Times New Roman" w:hAnsi="Times New Roman" w:eastAsia="Times New Roman" w:cs="Times New Roman"/>
          <w:color w:val="000000"/>
          <w:sz w:val="24"/>
        </w:rPr>
        <w:t xml:space="preserve">, not a requirement that every rotation satisfy the target. </w:t>
      </w:r>
      <w:hyperlink r:id="rId9" w:tooltip="https://arxiv.org/html/2208.02814v4?utm_source=chatgpt.com" w:history="1">
        <w:r>
          <w:rPr>
            <w:rStyle w:val="187"/>
            <w:rFonts w:ascii="Times New Roman" w:hAnsi="Times New Roman" w:eastAsia="Times New Roman" w:cs="Times New Roman"/>
            <w:color w:val="0000ee"/>
            <w:sz w:val="24"/>
            <w:u w:val="none"/>
          </w:rPr>
          <w:t xml:space="preserve">Original CRC paper</w:t>
        </w:r>
      </w:hyperlink>
      <w:r/>
      <w:r/>
    </w:p>
    <w:p w14:paraId="080E5E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 is also an important event-loss issue: </w:t>
      </w:r>
      <w:r>
        <w:rPr>
          <w:rFonts w:ascii="Times New Roman" w:hAnsi="Times New Roman" w:eastAsia="Times New Roman" w:cs="Times New Roman"/>
          <w:b/>
          <w:color w:val="000000"/>
          <w:sz w:val="24"/>
        </w:rPr>
        <w:t xml:space="preserve">alarming on every eligible row cannot recover events with no eligible row.</w:t>
      </w:r>
      <w:r>
        <w:rPr>
          <w:rFonts w:ascii="Times New Roman" w:hAnsi="Times New Roman" w:eastAsia="Times New Roman" w:cs="Times New Roman"/>
          <w:color w:val="000000"/>
          <w:sz w:val="24"/>
        </w:rPr>
        <w:t xml:space="preserve"> “Continuous alarm” only bypasses that floor if it changes the stated alarm policy to include excluded periods.</w:t>
      </w:r>
      <w:r/>
    </w:p>
    <w:p w14:paraId="1F1B54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Finally, Table 5.9 states a 36.4% event-loss floor but reports feasible rotations at a 30% target. This could reflect different fold-specific floors and averaging, but those quantities must be distinguished explicitly.</w:t>
      </w:r>
      <w:r/>
    </w:p>
    <w:p w14:paraId="178B22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5. The case-study interpretation still exceeds what held measurements establish — p. 63</w:t>
      </w:r>
      <w:r/>
    </w:p>
    <w:p w14:paraId="235A3A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revised wording is better, but comparing fresh serving RSRP with older, held neighbour RSRP does not establish a simultaneous A3 entry condition.</w:t>
      </w:r>
      <w:r/>
    </w:p>
    <w:p w14:paraId="7207E3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Fix:</w:t>
      </w:r>
      <w:r>
        <w:rPr>
          <w:rFonts w:ascii="Times New Roman" w:hAnsi="Times New Roman" w:eastAsia="Times New Roman" w:cs="Times New Roman"/>
          <w:color w:val="000000"/>
          <w:sz w:val="24"/>
        </w:rPr>
        <w:t xml:space="preserve"> Show neighbour observation age alongside each trace and describe these as observed feature patterns. Avoid concluding that the network declined a valid trigger without reconstructing the applicable configuration and timer conditions.</w:t>
      </w:r>
      <w:r/>
    </w:p>
    <w:p w14:paraId="0991B6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6. Two remaining factual contradictions</w:t>
      </w:r>
      <w:r/>
    </w:p>
    <w:p w14:paraId="77D10D1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 60:</w:t>
      </w:r>
      <w:r>
        <w:rPr>
          <w:rFonts w:ascii="Times New Roman" w:hAnsi="Times New Roman" w:eastAsia="Times New Roman" w:cs="Times New Roman"/>
          <w:color w:val="000000"/>
          <w:sz w:val="24"/>
        </w:rPr>
        <w:t xml:space="preserve"> “No time-to-trigger or offset variation anywhere” conflicts with the multiple configuration profiles discussed elsewhere. A stable inventory of profiles is different from a single constant parameter value.</w:t>
      </w:r>
      <w:r/>
    </w:p>
    <w:p w14:paraId="7B8A2A0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 53:</w:t>
      </w:r>
      <w:r>
        <w:rPr>
          <w:rFonts w:ascii="Times New Roman" w:hAnsi="Times New Roman" w:eastAsia="Times New Roman" w:cs="Times New Roman"/>
          <w:color w:val="000000"/>
          <w:sz w:val="24"/>
        </w:rPr>
        <w:t xml:space="preserve"> The public dataset is still described as publishing no periodic radio export. Its </w:t>
      </w:r>
      <w:hyperlink r:id="rId10" w:tooltip="https://data.mendeley.com/datasets/n2pvmtyn2j/1?utm_source=chatgpt.com" w:history="1">
        <w:r>
          <w:rPr>
            <w:rStyle w:val="187"/>
            <w:rFonts w:ascii="Times New Roman" w:hAnsi="Times New Roman" w:eastAsia="Times New Roman" w:cs="Times New Roman"/>
            <w:color w:val="0000ee"/>
            <w:sz w:val="24"/>
            <w:u w:val="none"/>
          </w:rPr>
          <w:t xml:space="preserve">published description</w:t>
        </w:r>
      </w:hyperlink>
      <w:r>
        <w:rPr>
          <w:rFonts w:ascii="Times New Roman" w:hAnsi="Times New Roman" w:eastAsia="Times New Roman" w:cs="Times New Roman"/>
          <w:color w:val="000000"/>
          <w:sz w:val="24"/>
        </w:rPr>
        <w:t xml:space="preserve"> lists raw radio CSV measurements. If those files cannot support your particular feature construction, explain the specific incompatibility.</w:t>
      </w:r>
      <w:r/>
    </w:p>
    <w:p w14:paraId="0C9827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Figure 5.17 also still says branching ratios “confirm strong self-excitation,” despite the qualified interpretation and model rejection in the surrounding text.</w:t>
      </w:r>
      <w:r/>
    </w:p>
    <w:p w14:paraId="0DB37A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My assessment:</w:t>
      </w:r>
      <w:r>
        <w:rPr>
          <w:rFonts w:ascii="Times New Roman" w:hAnsi="Times New Roman" w:eastAsia="Times New Roman" w:cs="Times New Roman"/>
          <w:color w:val="000000"/>
          <w:sz w:val="24"/>
        </w:rPr>
        <w:t xml:space="preserve"> The strongest contribution remains the measurement audit and demonstration that alignment and evaluation choices materially change apparent prediction performance. The manuscript now presents that contribution more credibly. However, these PDF edits do no</w:t>
      </w:r>
      <w:r>
        <w:rPr>
          <w:rFonts w:ascii="Times New Roman" w:hAnsi="Times New Roman" w:eastAsia="Times New Roman" w:cs="Times New Roman"/>
          <w:color w:val="000000"/>
          <w:sz w:val="24"/>
        </w:rPr>
        <w:t xml:space="preserve">t establish that the previously supplied notebooks implement the revised feature construction or reproduce the reported results; no updated executable notebooks accompanied this revision.</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52D3E9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arxiv.org/html/2208.02814v4?utm_source=chatgpt.com" TargetMode="External"/><Relationship Id="rId10" Type="http://schemas.openxmlformats.org/officeDocument/2006/relationships/hyperlink" Target="https://data.mendeley.com/datasets/n2pvmtyn2j/1?utm_source=chatgpt.com"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2026-09-20T15:32:04Z</dcterms:modified>
</cp:coreProperties>
</file>