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43C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This version is more consistent, but it is not ready to freeze.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Several earlier criticisms are addressed. The main remaining blockers are the provenance of the feature columns, the calibration split, and timing claims that still exceed the evidence.</w:t>
      </w:r>
      <w:r/>
    </w:p>
    <w:p w14:paraId="61F01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compared the 105-page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 (2).pdf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the previous version, inspected the revised tables, and checked the raw CSV headers. References below use printed page numbers.  main (2)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13"/>
        <w:gridCol w:w="3608"/>
        <w:gridCol w:w="273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</w:tcPr>
          <w:p w14:paraId="504EAB4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Earlier issue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8" w:type="dxa"/>
            <w:vAlign w:val="center"/>
          </w:tcPr>
          <w:p w14:paraId="5C98C94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Latest version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4" w:type="dxa"/>
            <w:vAlign w:val="center"/>
          </w:tcPr>
          <w:p w14:paraId="6C4DB9C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Assessment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</w:tcPr>
          <w:p w14:paraId="7369AA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Lagging conflates leakage removal with feature ageing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8" w:type="dxa"/>
            <w:vAlign w:val="center"/>
          </w:tcPr>
          <w:p w14:paraId="2462FE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 explicitly acknowledged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4" w:type="dxa"/>
            <w:vAlign w:val="center"/>
          </w:tcPr>
          <w:p w14:paraId="33DC31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Substantially improved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</w:tcPr>
          <w:p w14:paraId="3F0612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One-second horizon confused with one-second warning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8" w:type="dxa"/>
            <w:vAlign w:val="center"/>
          </w:tcPr>
          <w:p w14:paraId="0AE046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 states “within the next second” and reports median lead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4" w:type="dxa"/>
            <w:vAlign w:val="center"/>
          </w:tcPr>
          <w:p w14:paraId="72E929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Improved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</w:tcPr>
          <w:p w14:paraId="36E562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Report age absent from the feature inventory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8" w:type="dxa"/>
            <w:vAlign w:val="center"/>
          </w:tcPr>
          <w:p w14:paraId="417A84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 explicitly excluded from model inputs and retained for diagnostics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4" w:type="dxa"/>
            <w:vAlign w:val="center"/>
          </w:tcPr>
          <w:p w14:paraId="6A3EFD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Text reconciled; implementation needs verification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</w:tcPr>
          <w:p w14:paraId="27AC68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Neighbour holding undefined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8" w:type="dxa"/>
            <w:vAlign w:val="center"/>
          </w:tcPr>
          <w:p w14:paraId="34BF1D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Adds a 3-second expiry and handover handling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4" w:type="dxa"/>
            <w:vAlign w:val="center"/>
          </w:tcPr>
          <w:p w14:paraId="071219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Improved, with unresolved details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</w:tcPr>
          <w:p w14:paraId="664E73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One calibration size used for all campaigns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8" w:type="dxa"/>
            <w:vAlign w:val="center"/>
          </w:tcPr>
          <w:p w14:paraId="3065C3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 gives 8, 14, 15 and 20 blocks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4" w:type="dxa"/>
            <w:vAlign w:val="center"/>
          </w:tcPr>
          <w:p w14:paraId="7009F9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Improved, but table and arithmetic need correction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</w:tcPr>
          <w:p w14:paraId="59012C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Continuous alarm incorrectly bypasses blanking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8" w:type="dxa"/>
            <w:vAlign w:val="center"/>
          </w:tcPr>
          <w:p w14:paraId="53AF80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 acknowledges that the policy must change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4" w:type="dxa"/>
            <w:vAlign w:val="center"/>
          </w:tcPr>
          <w:p w14:paraId="05B019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Corrected in the methods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</w:tcPr>
          <w:p w14:paraId="39A75E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Hawkes caption contradicts rejected model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8" w:type="dxa"/>
            <w:vAlign w:val="center"/>
          </w:tcPr>
          <w:p w14:paraId="64DFE5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Caption now qualifies the interpretation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4" w:type="dxa"/>
            <w:vAlign w:val="center"/>
          </w:tcPr>
          <w:p w14:paraId="05F287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Resolved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</w:tcPr>
          <w:p w14:paraId="02CA9C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 dataset incorrectly described as having no radio CSV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8" w:type="dxa"/>
            <w:vAlign w:val="center"/>
          </w:tcPr>
          <w:p w14:paraId="74B4BA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 describes specific incompatibilities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4" w:type="dxa"/>
            <w:vAlign w:val="center"/>
          </w:tcPr>
          <w:p w14:paraId="79D5F0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Better; new file-level claims need supporting evidence</w:t>
            </w:r>
            <w:r/>
          </w:p>
        </w:tc>
      </w:tr>
    </w:tbl>
    <w:p w14:paraId="1DBB9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Table B.1 introduces a source claim contradicted by your supplied CSVs — p. 89</w:t>
      </w:r>
      <w:r/>
    </w:p>
    <w:p w14:paraId="7ECFF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table says that these three configuration parameters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“present in the raw export”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4E6F4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a3_offset_db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hysteresis_db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ttt_ms</w:t>
      </w:r>
      <w:r/>
    </w:p>
    <w:p w14:paraId="1DF33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checked all four supplied CSV headers. Each contains 113 columns.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None contains these names or a header matching A3, hysteresis, TTT, offset or trigger.</w:t>
      </w:r>
      <w:r/>
    </w:p>
    <w:p w14:paraId="33998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these columns were derived from signalling and added to an intermediate dataset, say that. They are not raw CSV fields.</w:t>
      </w:r>
      <w:r/>
    </w:p>
    <w:p w14:paraId="0FCB7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 is a second unresolved question: Table B.1 says these parameters belong to the 109-column lagging experiment but are excluded from the primary model. Explain whether:</w:t>
      </w:r>
      <w:r/>
    </w:p>
    <w:p w14:paraId="2B6A8C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Table 5.3 uses a different predictor input set; or</w:t>
      </w:r>
      <w:r/>
    </w:p>
    <w:p w14:paraId="53F043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parameters are shifted in an intermediate table but never consumed by that model.</w:t>
      </w:r>
      <w:r/>
    </w:p>
    <w:p w14:paraId="7C0E9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Required fix: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Generate the reconciliation from the actual feature-selection code. List the columns passed to the estimator in each ablation. Arithmetic reconciliation alone does not establish that the reported experiments used those features.</w:t>
      </w:r>
      <w:r/>
    </w:p>
    <w:p w14:paraId="447EE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The calibration split still does not explain where the model was trained — pp. 36 and 50</w:t>
      </w:r>
      <w:r/>
    </w:p>
    <w:p w14:paraId="43269F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revision allocates approximately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43 calibration blocks and 14 test blocks from all 57 blocks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while saying calibration blocks are strictly separate from model fitting and tuning.</w:t>
      </w:r>
      <w:r/>
    </w:p>
    <w:p w14:paraId="32B4D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accounts for the whole dataset:</w:t>
      </w:r>
      <w:r/>
    </w:p>
    <w:p w14:paraId="6F1EA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\[ 43+14=57. \]</w:t>
      </w:r>
      <w:r/>
    </w:p>
    <w:p w14:paraId="1AB19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are the fitting and tuning observations?</w:t>
      </w:r>
      <w:r/>
    </w:p>
    <w:p w14:paraId="35117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not proof that the implementation leaked. It means the stated design is incomplete. If predictions came from multiple out-of-fold models, explain that procedure explicitly; it is different from calibrating one independently fitted model.</w:t>
      </w:r>
      <w:r/>
    </w:p>
    <w:p w14:paraId="3E769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Required fix: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Provide a split diagram or table containing the exact fitting, tuning, calibration and test session/block IDs, including which fitted model generates each prediction.</w:t>
      </w:r>
      <w:r/>
    </w:p>
    <w:p w14:paraId="78C32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Table 5.9 contains a numerical error and an incomplete result — p. 50</w:t>
      </w:r>
      <w:r/>
    </w:p>
    <w:p w14:paraId="4FA3B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stated mean feasibility floor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0.067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For equally represented calibration campaigns:</w:t>
      </w:r>
      <w:r/>
    </w:p>
    <w:p w14:paraId="11760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\[ \frac{1}{9}=0.11111,\quad \frac{1}{15}=0.06667,\quad \frac{1}{16}=0.06250,\quad \frac{1}{21}=0.04762. \]</w:t>
      </w:r>
      <w:r/>
    </w:p>
    <w:p w14:paraId="70DD7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Therefore:</w:t>
      </w:r>
      <w:r/>
    </w:p>
    <w:p w14:paraId="66E37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\[ \text{mean floor} =\frac{0.11111+0.06667+0.06250+0.04762}{4} \approx \mathbf{0.07197}. \]</w:t>
      </w:r>
      <w:r/>
    </w:p>
    <w:p w14:paraId="069CE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 the four floors individually; the average is not especially useful for threshold selection.</w:t>
      </w:r>
      <w:r/>
    </w:p>
    <w:p w14:paraId="6F4B2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5% row also still says “[Below floor]” across the cross-campaign result, although the footnote correctly says the sample-size condition permits selection in 25% of rotations. Report what happened in those rotations and identify fallback behaviour separ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ately.</w:t>
      </w:r>
      <w:r/>
    </w:p>
    <w:p w14:paraId="76270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Empirical performance is still described as satisfying a theoretical guarantee — abstract and p. 74</w:t>
      </w:r>
      <w:r/>
    </w:p>
    <w:p w14:paraId="66531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abstract says the empirical mean “satisfies the expected risk guarantee.” The conclusion still says the warning “carries a guarantee” and that it holds in 83% of rotations.</w:t>
      </w:r>
      <w:r/>
    </w:p>
    <w:p w14:paraId="08D08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observed mean below the target does not establish the population expectation bound, particularly when exchangeability is not established. The CRC theorem concerns expected risk under its assumptions. </w:t>
      </w:r>
      <w:hyperlink r:id="rId9" w:tooltip="https://arxiv.org/html/2208.02814v4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none"/>
          </w:rPr>
          <w:t xml:space="preserve">Conformal Risk Control</w:t>
        </w:r>
      </w:hyperlink>
      <w:r/>
      <w:r/>
    </w:p>
    <w:p w14:paraId="26D97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Use:</w:t>
      </w:r>
      <w:r/>
    </w:p>
    <w:p w14:paraId="456B6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empirical mean miss loss was 0.153 at a target of 0.20. Cross-campaign results are descriptive because the required exchangeability assumption is not established.</w:t>
      </w:r>
      <w:r/>
    </w:p>
    <w:p w14:paraId="59D83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statement preserves the result without overstating it.</w:t>
      </w:r>
      <w:r/>
    </w:p>
    <w:p w14:paraId="509BB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 Timing corrections have not propagated throughout the manuscript — pp. 5, 39–42 and 87</w:t>
      </w:r>
      <w:r/>
    </w:p>
    <w:p w14:paraId="47285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main discussion now separates diagnostic completion from physical execution. However:</w:t>
      </w:r>
      <w:r/>
    </w:p>
    <w:p w14:paraId="17B760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p. 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still says the signalling stream “times the execution,” describes the prediction as holding “without exception,” and calls the inferred quantity a serving-cell update delay.</w:t>
      </w:r>
      <w:r/>
    </w:p>
    <w:p w14:paraId="6C0299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pp. 5 and 42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say a one-row lag “enforces” or “ensures” causal validity.</w:t>
      </w:r>
      <w:r/>
    </w:p>
    <w:p w14:paraId="0BC9F3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p. 87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reintroduces “millisecond-accurate decoded signalling.”</w:t>
      </w:r>
      <w:r/>
    </w:p>
    <w:p w14:paraId="5AFB8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Replace accuracy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timestamp resolution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unless independently verified. Describe the lag as a safeguard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under the assumed export semantics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proof of live availability.</w:t>
      </w:r>
      <w:r/>
    </w:p>
    <w:p w14:paraId="17ED8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Also, p. 39 correctly distinguishes completion time from register commit, but the subsequent aggregation argument still uses completion time as the explanatory boundary. State explicitly that it is a proxy and test its limitations.</w:t>
      </w:r>
      <w:r/>
    </w:p>
    <w:p w14:paraId="11794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6. The neighbour-handling specification needs an executable interpretation — pp. 85–88</w:t>
      </w:r>
      <w:r/>
    </w:p>
    <w:p w14:paraId="13B84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new appendix is useful, but leaves three consequential ambiguities:</w:t>
      </w:r>
      <w:r/>
    </w:p>
    <w:p w14:paraId="6A339B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Candidate identity: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</w:t>
      </w:r>
      <w:r>
        <w:rPr>
          <w:rFonts w:ascii="Courier New" w:hAnsi="Courier New" w:eastAsia="Courier New" w:cs="Courier New"/>
          <w:color w:val="000000"/>
          <w:sz w:val="20"/>
        </w:rPr>
        <w:t xml:space="preserve">nbr1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changes from cell A to cell B, its first difference combines different cells. Define whether differences track cell identity or rank position.</w:t>
      </w:r>
      <w:r/>
    </w:p>
    <w:p w14:paraId="658904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Handover reset: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text immediately recomputes gaps using the newly committed serving cell’s RSRP. Which observed record supplies that RSRP, and when is it available? A completion message does not itself provide that radio measurement.</w:t>
      </w:r>
      <w:r/>
    </w:p>
    <w:p w14:paraId="7EEC0D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Alignment: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Appendix B says rolling features close at \(t-1\), while the hold rule selects reports through \(t\). Explain whether holding happens before the one-row shift.</w:t>
      </w:r>
      <w:r/>
    </w:p>
    <w:p w14:paraId="717D2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Excluding report age from the model is permissible. However, a missingness flag cannot distinguish a fresh held value from one nearly three seconds old. An age-feature ablation would be useful; it should not be described as already implemented without evid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ence.</w:t>
      </w:r>
      <w:r/>
    </w:p>
    <w:p w14:paraId="6B13C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7. The baseline is still called the deployed rule in several places — pp. 32, 64 and 74</w:t>
      </w:r>
      <w:r/>
    </w:p>
    <w:p w14:paraId="3A3A1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Elsewhere, the manuscript correctly calls it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A3 signal-margin proxy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because the exported observations cannot reconstruct the full timer behaviour.</w:t>
      </w:r>
      <w:r/>
    </w:p>
    <w:p w14:paraId="0AD66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that description consistently. The results establish superiority over the implemented proxy, not over the operator’s complete handover controller.</w:t>
      </w:r>
      <w:r/>
    </w:p>
    <w:p w14:paraId="0A7DA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Presentation: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Table B.1 is readable. Table 5.9 has regressed: repeated “unexp-ressible” line breaks crowd the rows, and its footnote is very small. Replace those cells with an em dash and explain feasibility below the table.</w:t>
      </w:r>
      <w:r/>
    </w:p>
    <w:p w14:paraId="34B0C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My assessment: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manuscript’s interpretation is improving faster than its verifiability. Before another prose revision, reconcile the actual model-input columns and split manifests with the reported experiments. The newly added 3-second expiry, report-age statistics 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nd external-CSV characteristics also need traceable outputs. No updated executable pipeline accompanied this PDF, so I cannot confirm those implementation claims.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4B91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arxiv.org/html/2208.02814v4?utm_source=chatgp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2026-09-21T04:39:29Z</dcterms:modified>
</cp:coreProperties>
</file>