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58B1F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research direction is worth continuing, but this manuscript is not ready for submission.</w:t>
      </w:r>
      <w:r>
        <w:rPr>
          <w:rFonts w:ascii="Times New Roman" w:hAnsi="Times New Roman" w:eastAsia="Times New Roman" w:cs="Times New Roman"/>
          <w:color w:val="000000"/>
          <w:sz w:val="24"/>
        </w:rPr>
        <w:t xml:space="preserve"> Its strongest contribution is the audit of timestamp leakage and evaluation protocols. However, several conclusions exceed the evidence, and the document contains conflicting results across its text, tables and figures.</w:t>
      </w:r>
      <w:r/>
    </w:p>
    <w:p w14:paraId="686BDB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reviewed the manuscript, equations, tables and embedded figures, and checked selected primary sources. </w:t>
      </w:r>
      <w:r>
        <w:rPr>
          <w:rFonts w:ascii="Times New Roman" w:hAnsi="Times New Roman" w:eastAsia="Times New Roman" w:cs="Times New Roman"/>
          <w:b/>
          <w:color w:val="000000"/>
          <w:sz w:val="24"/>
        </w:rPr>
        <w:t xml:space="preserve">I have not reproduced the experiments:</w:t>
      </w:r>
      <w:r>
        <w:rPr>
          <w:rFonts w:ascii="Times New Roman" w:hAnsi="Times New Roman" w:eastAsia="Times New Roman" w:cs="Times New Roman"/>
          <w:color w:val="000000"/>
          <w:sz w:val="24"/>
        </w:rPr>
        <w:t xml:space="preserve"> without the code, logs and saved predictions, I cannot determine which conflicting results are correct.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67"/>
        <w:gridCol w:w="3085"/>
        <w:gridCol w:w="3400"/>
        <w:gridCol w:w="1602"/>
      </w:tblGrid>
      <w:tr>
        <w:trPr/>
        <w:tc>
          <w:tcPr>
            <w:tcBorders/>
            <w:tcMar>
              <w:left w:w="15" w:type="dxa"/>
              <w:top w:w="15" w:type="dxa"/>
              <w:right w:w="15" w:type="dxa"/>
              <w:bottom w:w="15" w:type="dxa"/>
            </w:tcMar>
            <w:tcW w:w="1267" w:type="dxa"/>
            <w:vAlign w:val="center"/>
          </w:tcPr>
          <w:p w14:paraId="3AC92B32">
            <w:pPr>
              <w:pBdr/>
              <w:spacing w:after="0" w:before="0" w:line="240"/>
              <w:ind/>
              <w:jc w:val="center"/>
              <w:rPr/>
            </w:pPr>
            <w:r>
              <w:rPr>
                <w:rFonts w:ascii="Times New Roman" w:hAnsi="Times New Roman" w:eastAsia="Times New Roman" w:cs="Times New Roman"/>
                <w:b/>
                <w:color w:val="000000"/>
                <w:sz w:val="24"/>
              </w:rPr>
              <w:t xml:space="preserve">Component</w:t>
            </w:r>
            <w:r/>
          </w:p>
        </w:tc>
        <w:tc>
          <w:tcPr>
            <w:tcBorders/>
            <w:tcMar>
              <w:left w:w="15" w:type="dxa"/>
              <w:top w:w="15" w:type="dxa"/>
              <w:right w:w="15" w:type="dxa"/>
              <w:bottom w:w="15" w:type="dxa"/>
            </w:tcMar>
            <w:tcW w:w="3085" w:type="dxa"/>
            <w:vAlign w:val="center"/>
          </w:tcPr>
          <w:p w14:paraId="005D9D1A">
            <w:pPr>
              <w:pBdr/>
              <w:spacing w:after="0" w:before="0" w:line="240"/>
              <w:ind/>
              <w:jc w:val="center"/>
              <w:rPr/>
            </w:pPr>
            <w:r>
              <w:rPr>
                <w:rFonts w:ascii="Times New Roman" w:hAnsi="Times New Roman" w:eastAsia="Times New Roman" w:cs="Times New Roman"/>
                <w:b/>
                <w:color w:val="000000"/>
                <w:sz w:val="24"/>
              </w:rPr>
              <w:t xml:space="preserve">Strength</w:t>
            </w:r>
            <w:r/>
          </w:p>
        </w:tc>
        <w:tc>
          <w:tcPr>
            <w:tcBorders/>
            <w:tcMar>
              <w:left w:w="15" w:type="dxa"/>
              <w:top w:w="15" w:type="dxa"/>
              <w:right w:w="15" w:type="dxa"/>
              <w:bottom w:w="15" w:type="dxa"/>
            </w:tcMar>
            <w:tcW w:w="3400" w:type="dxa"/>
            <w:vAlign w:val="center"/>
          </w:tcPr>
          <w:p w14:paraId="33219EA8">
            <w:pPr>
              <w:pBdr/>
              <w:spacing w:after="0" w:before="0" w:line="240"/>
              <w:ind/>
              <w:jc w:val="center"/>
              <w:rPr/>
            </w:pPr>
            <w:r>
              <w:rPr>
                <w:rFonts w:ascii="Times New Roman" w:hAnsi="Times New Roman" w:eastAsia="Times New Roman" w:cs="Times New Roman"/>
                <w:b/>
                <w:color w:val="000000"/>
                <w:sz w:val="24"/>
              </w:rPr>
              <w:t xml:space="preserve">Main limitation</w:t>
            </w:r>
            <w:r/>
          </w:p>
        </w:tc>
        <w:tc>
          <w:tcPr>
            <w:tcBorders/>
            <w:tcMar>
              <w:left w:w="15" w:type="dxa"/>
              <w:top w:w="15" w:type="dxa"/>
              <w:right w:w="15" w:type="dxa"/>
              <w:bottom w:w="15" w:type="dxa"/>
            </w:tcMar>
            <w:tcW w:w="1602" w:type="dxa"/>
            <w:vAlign w:val="center"/>
          </w:tcPr>
          <w:p w14:paraId="39DE0BCE">
            <w:pPr>
              <w:pBdr/>
              <w:spacing w:after="0" w:before="0" w:line="240"/>
              <w:ind/>
              <w:jc w:val="center"/>
              <w:rPr/>
            </w:pPr>
            <w:r>
              <w:rPr>
                <w:rFonts w:ascii="Times New Roman" w:hAnsi="Times New Roman" w:eastAsia="Times New Roman" w:cs="Times New Roman"/>
                <w:b/>
                <w:color w:val="000000"/>
                <w:sz w:val="24"/>
              </w:rPr>
              <w:t xml:space="preserve">Assessment</w:t>
            </w:r>
            <w:r/>
          </w:p>
        </w:tc>
      </w:tr>
      <w:tr>
        <w:trPr/>
        <w:tc>
          <w:tcPr>
            <w:tcBorders/>
            <w:tcMar>
              <w:left w:w="15" w:type="dxa"/>
              <w:top w:w="15" w:type="dxa"/>
              <w:right w:w="15" w:type="dxa"/>
              <w:bottom w:w="15" w:type="dxa"/>
            </w:tcMar>
            <w:tcW w:w="1267" w:type="dxa"/>
            <w:vAlign w:val="center"/>
          </w:tcPr>
          <w:p w14:paraId="7C326135">
            <w:pPr>
              <w:pBdr/>
              <w:spacing w:after="0" w:before="0" w:line="240"/>
              <w:ind/>
              <w:rPr/>
            </w:pPr>
            <w:r>
              <w:rPr>
                <w:rFonts w:ascii="Times New Roman" w:hAnsi="Times New Roman" w:eastAsia="Times New Roman" w:cs="Times New Roman"/>
                <w:color w:val="000000"/>
                <w:sz w:val="24"/>
              </w:rPr>
              <w:t xml:space="preserve">Timestamp audit</w:t>
            </w:r>
            <w:r/>
          </w:p>
        </w:tc>
        <w:tc>
          <w:tcPr>
            <w:tcBorders/>
            <w:tcMar>
              <w:left w:w="15" w:type="dxa"/>
              <w:top w:w="15" w:type="dxa"/>
              <w:right w:w="15" w:type="dxa"/>
              <w:bottom w:w="15" w:type="dxa"/>
            </w:tcMar>
            <w:tcW w:w="3085" w:type="dxa"/>
            <w:vAlign w:val="center"/>
          </w:tcPr>
          <w:p w14:paraId="79E51A03">
            <w:pPr>
              <w:pBdr/>
              <w:spacing w:after="0" w:before="0" w:line="240"/>
              <w:ind/>
              <w:rPr/>
            </w:pPr>
            <w:r>
              <w:rPr>
                <w:rFonts w:ascii="Times New Roman" w:hAnsi="Times New Roman" w:eastAsia="Times New Roman" w:cs="Times New Roman"/>
                <w:color w:val="000000"/>
                <w:sz w:val="24"/>
              </w:rPr>
              <w:t xml:space="preserve">Identifies a potentially substantial source of prediction leakage</w:t>
            </w:r>
            <w:r/>
          </w:p>
        </w:tc>
        <w:tc>
          <w:tcPr>
            <w:tcBorders/>
            <w:tcMar>
              <w:left w:w="15" w:type="dxa"/>
              <w:top w:w="15" w:type="dxa"/>
              <w:right w:w="15" w:type="dxa"/>
              <w:bottom w:w="15" w:type="dxa"/>
            </w:tcMar>
            <w:tcW w:w="3400" w:type="dxa"/>
            <w:vAlign w:val="center"/>
          </w:tcPr>
          <w:p w14:paraId="565831F1">
            <w:pPr>
              <w:pBdr/>
              <w:spacing w:after="0" w:before="0" w:line="240"/>
              <w:ind/>
              <w:rPr/>
            </w:pPr>
            <w:r>
              <w:rPr>
                <w:rFonts w:ascii="Times New Roman" w:hAnsi="Times New Roman" w:eastAsia="Times New Roman" w:cs="Times New Roman"/>
                <w:color w:val="000000"/>
                <w:sz w:val="24"/>
              </w:rPr>
              <w:t xml:space="preserve">Exact exporter mechanism remains inferred</w:t>
            </w:r>
            <w:r/>
          </w:p>
        </w:tc>
        <w:tc>
          <w:tcPr>
            <w:tcBorders/>
            <w:tcMar>
              <w:left w:w="15" w:type="dxa"/>
              <w:top w:w="15" w:type="dxa"/>
              <w:right w:w="15" w:type="dxa"/>
              <w:bottom w:w="15" w:type="dxa"/>
            </w:tcMar>
            <w:tcW w:w="1602" w:type="dxa"/>
            <w:vAlign w:val="center"/>
          </w:tcPr>
          <w:p w14:paraId="5CFE2935">
            <w:pPr>
              <w:pBdr/>
              <w:spacing w:after="0" w:before="0" w:line="240"/>
              <w:ind/>
              <w:rPr/>
            </w:pPr>
            <w:r>
              <w:rPr>
                <w:rFonts w:ascii="Times New Roman" w:hAnsi="Times New Roman" w:eastAsia="Times New Roman" w:cs="Times New Roman"/>
                <w:color w:val="000000"/>
                <w:sz w:val="24"/>
              </w:rPr>
              <w:t xml:space="preserve">Strongest research direction</w:t>
            </w:r>
            <w:r/>
          </w:p>
        </w:tc>
      </w:tr>
      <w:tr>
        <w:trPr/>
        <w:tc>
          <w:tcPr>
            <w:tcBorders/>
            <w:tcMar>
              <w:left w:w="15" w:type="dxa"/>
              <w:top w:w="15" w:type="dxa"/>
              <w:right w:w="15" w:type="dxa"/>
              <w:bottom w:w="15" w:type="dxa"/>
            </w:tcMar>
            <w:tcW w:w="1267" w:type="dxa"/>
            <w:vAlign w:val="center"/>
          </w:tcPr>
          <w:p w14:paraId="525CAEF4">
            <w:pPr>
              <w:pBdr/>
              <w:spacing w:after="0" w:before="0" w:line="240"/>
              <w:ind/>
              <w:rPr/>
            </w:pPr>
            <w:r>
              <w:rPr>
                <w:rFonts w:ascii="Times New Roman" w:hAnsi="Times New Roman" w:eastAsia="Times New Roman" w:cs="Times New Roman"/>
                <w:color w:val="000000"/>
                <w:sz w:val="24"/>
              </w:rPr>
              <w:t xml:space="preserve">Multi-horizon forecasting</w:t>
            </w:r>
            <w:r/>
          </w:p>
        </w:tc>
        <w:tc>
          <w:tcPr>
            <w:tcBorders/>
            <w:tcMar>
              <w:left w:w="15" w:type="dxa"/>
              <w:top w:w="15" w:type="dxa"/>
              <w:right w:w="15" w:type="dxa"/>
              <w:bottom w:w="15" w:type="dxa"/>
            </w:tcMar>
            <w:tcW w:w="3085" w:type="dxa"/>
            <w:vAlign w:val="center"/>
          </w:tcPr>
          <w:p w14:paraId="1F11250F">
            <w:pPr>
              <w:pBdr/>
              <w:spacing w:after="0" w:before="0" w:line="240"/>
              <w:ind/>
              <w:rPr/>
            </w:pPr>
            <w:r>
              <w:rPr>
                <w:rFonts w:ascii="Times New Roman" w:hAnsi="Times New Roman" w:eastAsia="Times New Roman" w:cs="Times New Roman"/>
                <w:color w:val="000000"/>
                <w:sz w:val="24"/>
              </w:rPr>
              <w:t xml:space="preserve">Coherent survival formulation and useful baselines</w:t>
            </w:r>
            <w:r/>
          </w:p>
        </w:tc>
        <w:tc>
          <w:tcPr>
            <w:tcBorders/>
            <w:tcMar>
              <w:left w:w="15" w:type="dxa"/>
              <w:top w:w="15" w:type="dxa"/>
              <w:right w:w="15" w:type="dxa"/>
              <w:bottom w:w="15" w:type="dxa"/>
            </w:tcMar>
            <w:tcW w:w="3400" w:type="dxa"/>
            <w:vAlign w:val="center"/>
          </w:tcPr>
          <w:p w14:paraId="02C44E98">
            <w:pPr>
              <w:pBdr/>
              <w:spacing w:after="0" w:before="0" w:line="240"/>
              <w:ind/>
              <w:rPr/>
            </w:pPr>
            <w:r>
              <w:rPr>
                <w:rFonts w:ascii="Times New Roman" w:hAnsi="Times New Roman" w:eastAsia="Times New Roman" w:cs="Times New Roman"/>
                <w:color w:val="000000"/>
                <w:sz w:val="24"/>
              </w:rPr>
              <w:t xml:space="preserve">Limited evidence of an advantage over simpler corrections</w:t>
            </w:r>
            <w:r/>
          </w:p>
        </w:tc>
        <w:tc>
          <w:tcPr>
            <w:tcBorders/>
            <w:tcMar>
              <w:left w:w="15" w:type="dxa"/>
              <w:top w:w="15" w:type="dxa"/>
              <w:right w:w="15" w:type="dxa"/>
              <w:bottom w:w="15" w:type="dxa"/>
            </w:tcMar>
            <w:tcW w:w="1602" w:type="dxa"/>
            <w:vAlign w:val="center"/>
          </w:tcPr>
          <w:p w14:paraId="68850291">
            <w:pPr>
              <w:pBdr/>
              <w:spacing w:after="0" w:before="0" w:line="240"/>
              <w:ind/>
              <w:rPr/>
            </w:pPr>
            <w:r>
              <w:rPr>
                <w:rFonts w:ascii="Times New Roman" w:hAnsi="Times New Roman" w:eastAsia="Times New Roman" w:cs="Times New Roman"/>
                <w:color w:val="000000"/>
                <w:sz w:val="24"/>
              </w:rPr>
              <w:t xml:space="preserve">Sound supporting contribution</w:t>
            </w:r>
            <w:r/>
          </w:p>
        </w:tc>
      </w:tr>
      <w:tr>
        <w:trPr/>
        <w:tc>
          <w:tcPr>
            <w:tcBorders/>
            <w:tcMar>
              <w:left w:w="15" w:type="dxa"/>
              <w:top w:w="15" w:type="dxa"/>
              <w:right w:w="15" w:type="dxa"/>
              <w:bottom w:w="15" w:type="dxa"/>
            </w:tcMar>
            <w:tcW w:w="1267" w:type="dxa"/>
            <w:vAlign w:val="center"/>
          </w:tcPr>
          <w:p w14:paraId="02547661">
            <w:pPr>
              <w:pBdr/>
              <w:spacing w:after="0" w:before="0" w:line="240"/>
              <w:ind/>
              <w:rPr/>
            </w:pPr>
            <w:r>
              <w:rPr>
                <w:rFonts w:ascii="Times New Roman" w:hAnsi="Times New Roman" w:eastAsia="Times New Roman" w:cs="Times New Roman"/>
                <w:color w:val="000000"/>
                <w:sz w:val="24"/>
              </w:rPr>
              <w:t xml:space="preserve">Evaluation workflow</w:t>
            </w:r>
            <w:r/>
          </w:p>
        </w:tc>
        <w:tc>
          <w:tcPr>
            <w:tcBorders/>
            <w:tcMar>
              <w:left w:w="15" w:type="dxa"/>
              <w:top w:w="15" w:type="dxa"/>
              <w:right w:w="15" w:type="dxa"/>
              <w:bottom w:w="15" w:type="dxa"/>
            </w:tcMar>
            <w:tcW w:w="3085" w:type="dxa"/>
            <w:vAlign w:val="center"/>
          </w:tcPr>
          <w:p w14:paraId="7541A6DB">
            <w:pPr>
              <w:pBdr/>
              <w:spacing w:after="0" w:before="0" w:line="240"/>
              <w:ind/>
              <w:rPr/>
            </w:pPr>
            <w:r>
              <w:rPr>
                <w:rFonts w:ascii="Times New Roman" w:hAnsi="Times New Roman" w:eastAsia="Times New Roman" w:cs="Times New Roman"/>
                <w:color w:val="000000"/>
                <w:sz w:val="24"/>
              </w:rPr>
              <w:t xml:space="preserve">Campaign holdouts, ablations and event-level metrics</w:t>
            </w:r>
            <w:r/>
          </w:p>
        </w:tc>
        <w:tc>
          <w:tcPr>
            <w:tcBorders/>
            <w:tcMar>
              <w:left w:w="15" w:type="dxa"/>
              <w:top w:w="15" w:type="dxa"/>
              <w:right w:w="15" w:type="dxa"/>
              <w:bottom w:w="15" w:type="dxa"/>
            </w:tcMar>
            <w:tcW w:w="3400" w:type="dxa"/>
            <w:vAlign w:val="center"/>
          </w:tcPr>
          <w:p w14:paraId="193D550B">
            <w:pPr>
              <w:pBdr/>
              <w:spacing w:after="0" w:before="0" w:line="240"/>
              <w:ind/>
              <w:rPr/>
            </w:pPr>
            <w:r>
              <w:rPr>
                <w:rFonts w:ascii="Times New Roman" w:hAnsi="Times New Roman" w:eastAsia="Times New Roman" w:cs="Times New Roman"/>
                <w:color w:val="000000"/>
                <w:sz w:val="24"/>
              </w:rPr>
              <w:t xml:space="preserve">Four sessions; some comparisons and definitions remain inconsistent</w:t>
            </w:r>
            <w:r/>
          </w:p>
        </w:tc>
        <w:tc>
          <w:tcPr>
            <w:tcBorders/>
            <w:tcMar>
              <w:left w:w="15" w:type="dxa"/>
              <w:top w:w="15" w:type="dxa"/>
              <w:right w:w="15" w:type="dxa"/>
              <w:bottom w:w="15" w:type="dxa"/>
            </w:tcMar>
            <w:tcW w:w="1602" w:type="dxa"/>
            <w:vAlign w:val="center"/>
          </w:tcPr>
          <w:p w14:paraId="7DC2E2C1">
            <w:pPr>
              <w:pBdr/>
              <w:spacing w:after="0" w:before="0" w:line="240"/>
              <w:ind/>
              <w:rPr/>
            </w:pPr>
            <w:r>
              <w:rPr>
                <w:rFonts w:ascii="Times New Roman" w:hAnsi="Times New Roman" w:eastAsia="Times New Roman" w:cs="Times New Roman"/>
                <w:color w:val="000000"/>
                <w:sz w:val="24"/>
              </w:rPr>
              <w:t xml:space="preserve">Promising but needs verification</w:t>
            </w:r>
            <w:r/>
          </w:p>
        </w:tc>
      </w:tr>
      <w:tr>
        <w:trPr/>
        <w:tc>
          <w:tcPr>
            <w:tcBorders/>
            <w:tcMar>
              <w:left w:w="15" w:type="dxa"/>
              <w:top w:w="15" w:type="dxa"/>
              <w:right w:w="15" w:type="dxa"/>
              <w:bottom w:w="15" w:type="dxa"/>
            </w:tcMar>
            <w:tcW w:w="1267" w:type="dxa"/>
            <w:vAlign w:val="center"/>
          </w:tcPr>
          <w:p w14:paraId="4B81178B">
            <w:pPr>
              <w:pBdr/>
              <w:spacing w:after="0" w:before="0" w:line="240"/>
              <w:ind/>
              <w:rPr/>
            </w:pPr>
            <w:r>
              <w:rPr>
                <w:rFonts w:ascii="Times New Roman" w:hAnsi="Times New Roman" w:eastAsia="Times New Roman" w:cs="Times New Roman"/>
                <w:color w:val="000000"/>
                <w:sz w:val="24"/>
              </w:rPr>
              <w:t xml:space="preserve">Conformal risk control</w:t>
            </w:r>
            <w:r/>
          </w:p>
        </w:tc>
        <w:tc>
          <w:tcPr>
            <w:tcBorders/>
            <w:tcMar>
              <w:left w:w="15" w:type="dxa"/>
              <w:top w:w="15" w:type="dxa"/>
              <w:right w:w="15" w:type="dxa"/>
              <w:bottom w:w="15" w:type="dxa"/>
            </w:tcMar>
            <w:tcW w:w="3085" w:type="dxa"/>
            <w:vAlign w:val="center"/>
          </w:tcPr>
          <w:p w14:paraId="3A543E5B">
            <w:pPr>
              <w:pBdr/>
              <w:spacing w:after="0" w:before="0" w:line="240"/>
              <w:ind/>
              <w:rPr/>
            </w:pPr>
            <w:r>
              <w:rPr>
                <w:rFonts w:ascii="Times New Roman" w:hAnsi="Times New Roman" w:eastAsia="Times New Roman" w:cs="Times New Roman"/>
                <w:color w:val="000000"/>
                <w:sz w:val="24"/>
              </w:rPr>
              <w:t xml:space="preserve">Addresses an important operational question</w:t>
            </w:r>
            <w:r/>
          </w:p>
        </w:tc>
        <w:tc>
          <w:tcPr>
            <w:tcBorders/>
            <w:tcMar>
              <w:left w:w="15" w:type="dxa"/>
              <w:top w:w="15" w:type="dxa"/>
              <w:right w:w="15" w:type="dxa"/>
              <w:bottom w:w="15" w:type="dxa"/>
            </w:tcMar>
            <w:tcW w:w="3400" w:type="dxa"/>
            <w:vAlign w:val="center"/>
          </w:tcPr>
          <w:p w14:paraId="7D698E84">
            <w:pPr>
              <w:pBdr/>
              <w:spacing w:after="0" w:before="0" w:line="240"/>
              <w:ind/>
              <w:rPr/>
            </w:pPr>
            <w:r>
              <w:rPr>
                <w:rFonts w:ascii="Times New Roman" w:hAnsi="Times New Roman" w:eastAsia="Times New Roman" w:cs="Times New Roman"/>
                <w:color w:val="000000"/>
                <w:sz w:val="24"/>
              </w:rPr>
              <w:t xml:space="preserve">Mathematical and interpretational problems</w:t>
            </w:r>
            <w:r/>
          </w:p>
        </w:tc>
        <w:tc>
          <w:tcPr>
            <w:tcBorders/>
            <w:tcMar>
              <w:left w:w="15" w:type="dxa"/>
              <w:top w:w="15" w:type="dxa"/>
              <w:right w:w="15" w:type="dxa"/>
              <w:bottom w:w="15" w:type="dxa"/>
            </w:tcMar>
            <w:tcW w:w="1602" w:type="dxa"/>
            <w:vAlign w:val="center"/>
          </w:tcPr>
          <w:p w14:paraId="092DF13D">
            <w:pPr>
              <w:pBdr/>
              <w:spacing w:after="0" w:before="0" w:line="240"/>
              <w:ind/>
              <w:rPr/>
            </w:pPr>
            <w:r>
              <w:rPr>
                <w:rFonts w:ascii="Times New Roman" w:hAnsi="Times New Roman" w:eastAsia="Times New Roman" w:cs="Times New Roman"/>
                <w:color w:val="000000"/>
                <w:sz w:val="24"/>
              </w:rPr>
              <w:t xml:space="preserve">Requires substantial correction</w:t>
            </w:r>
            <w:r/>
          </w:p>
        </w:tc>
      </w:tr>
      <w:tr>
        <w:trPr/>
        <w:tc>
          <w:tcPr>
            <w:tcBorders/>
            <w:tcMar>
              <w:left w:w="15" w:type="dxa"/>
              <w:top w:w="15" w:type="dxa"/>
              <w:right w:w="15" w:type="dxa"/>
              <w:bottom w:w="15" w:type="dxa"/>
            </w:tcMar>
            <w:tcW w:w="1267" w:type="dxa"/>
            <w:vAlign w:val="center"/>
          </w:tcPr>
          <w:p w14:paraId="084F8F7E">
            <w:pPr>
              <w:pBdr/>
              <w:spacing w:after="0" w:before="0" w:line="240"/>
              <w:ind/>
              <w:rPr/>
            </w:pPr>
            <w:r>
              <w:rPr>
                <w:rFonts w:ascii="Times New Roman" w:hAnsi="Times New Roman" w:eastAsia="Times New Roman" w:cs="Times New Roman"/>
                <w:color w:val="000000"/>
                <w:sz w:val="24"/>
              </w:rPr>
              <w:t xml:space="preserve">Network characterization</w:t>
            </w:r>
            <w:r/>
          </w:p>
        </w:tc>
        <w:tc>
          <w:tcPr>
            <w:tcBorders/>
            <w:tcMar>
              <w:left w:w="15" w:type="dxa"/>
              <w:top w:w="15" w:type="dxa"/>
              <w:right w:w="15" w:type="dxa"/>
              <w:bottom w:w="15" w:type="dxa"/>
            </w:tcMar>
            <w:tcW w:w="3085" w:type="dxa"/>
            <w:vAlign w:val="center"/>
          </w:tcPr>
          <w:p w14:paraId="623CF4C1">
            <w:pPr>
              <w:pBdr/>
              <w:spacing w:after="0" w:before="0" w:line="240"/>
              <w:ind/>
              <w:rPr/>
            </w:pPr>
            <w:r>
              <w:rPr>
                <w:rFonts w:ascii="Times New Roman" w:hAnsi="Times New Roman" w:eastAsia="Times New Roman" w:cs="Times New Roman"/>
                <w:color w:val="000000"/>
                <w:sz w:val="24"/>
              </w:rPr>
              <w:t xml:space="preserve">Uses decoded signalling and configuration histories</w:t>
            </w:r>
            <w:r/>
          </w:p>
        </w:tc>
        <w:tc>
          <w:tcPr>
            <w:tcBorders/>
            <w:tcMar>
              <w:left w:w="15" w:type="dxa"/>
              <w:top w:w="15" w:type="dxa"/>
              <w:right w:w="15" w:type="dxa"/>
              <w:bottom w:w="15" w:type="dxa"/>
            </w:tcMar>
            <w:tcW w:w="3400" w:type="dxa"/>
            <w:vAlign w:val="center"/>
          </w:tcPr>
          <w:p w14:paraId="03510A3E">
            <w:pPr>
              <w:pBdr/>
              <w:spacing w:after="0" w:before="0" w:line="240"/>
              <w:ind/>
              <w:rPr/>
            </w:pPr>
            <w:r>
              <w:rPr>
                <w:rFonts w:ascii="Times New Roman" w:hAnsi="Times New Roman" w:eastAsia="Times New Roman" w:cs="Times New Roman"/>
                <w:color w:val="000000"/>
                <w:sz w:val="24"/>
              </w:rPr>
              <w:t xml:space="preserve">Report-to-command attribution is not necessarily causal</w:t>
            </w:r>
            <w:r/>
          </w:p>
        </w:tc>
        <w:tc>
          <w:tcPr>
            <w:tcBorders/>
            <w:tcMar>
              <w:left w:w="15" w:type="dxa"/>
              <w:top w:w="15" w:type="dxa"/>
              <w:right w:w="15" w:type="dxa"/>
              <w:bottom w:w="15" w:type="dxa"/>
            </w:tcMar>
            <w:tcW w:w="1602" w:type="dxa"/>
            <w:vAlign w:val="center"/>
          </w:tcPr>
          <w:p w14:paraId="76B1762A">
            <w:pPr>
              <w:pBdr/>
              <w:spacing w:after="0" w:before="0" w:line="240"/>
              <w:ind/>
              <w:rPr/>
            </w:pPr>
            <w:r>
              <w:rPr>
                <w:rFonts w:ascii="Times New Roman" w:hAnsi="Times New Roman" w:eastAsia="Times New Roman" w:cs="Times New Roman"/>
                <w:color w:val="000000"/>
                <w:sz w:val="24"/>
              </w:rPr>
              <w:t xml:space="preserve">Useful descriptive analysis</w:t>
            </w:r>
            <w:r/>
          </w:p>
        </w:tc>
      </w:tr>
      <w:tr>
        <w:trPr/>
        <w:tc>
          <w:tcPr>
            <w:tcBorders/>
            <w:tcMar>
              <w:left w:w="15" w:type="dxa"/>
              <w:top w:w="15" w:type="dxa"/>
              <w:right w:w="15" w:type="dxa"/>
              <w:bottom w:w="15" w:type="dxa"/>
            </w:tcMar>
            <w:tcW w:w="1267" w:type="dxa"/>
            <w:vAlign w:val="center"/>
          </w:tcPr>
          <w:p w14:paraId="0181AFA8">
            <w:pPr>
              <w:pBdr/>
              <w:spacing w:after="0" w:before="0" w:line="240"/>
              <w:ind/>
              <w:rPr/>
            </w:pPr>
            <w:r>
              <w:rPr>
                <w:rFonts w:ascii="Times New Roman" w:hAnsi="Times New Roman" w:eastAsia="Times New Roman" w:cs="Times New Roman"/>
                <w:color w:val="000000"/>
                <w:sz w:val="24"/>
              </w:rPr>
              <w:t xml:space="preserve">Practical warning system</w:t>
            </w:r>
            <w:r/>
          </w:p>
        </w:tc>
        <w:tc>
          <w:tcPr>
            <w:tcBorders/>
            <w:tcMar>
              <w:left w:w="15" w:type="dxa"/>
              <w:top w:w="15" w:type="dxa"/>
              <w:right w:w="15" w:type="dxa"/>
              <w:bottom w:w="15" w:type="dxa"/>
            </w:tcMar>
            <w:tcW w:w="3085" w:type="dxa"/>
            <w:vAlign w:val="center"/>
          </w:tcPr>
          <w:p w14:paraId="31CC4EBB">
            <w:pPr>
              <w:pBdr/>
              <w:spacing w:after="0" w:before="0" w:line="240"/>
              <w:ind/>
              <w:rPr/>
            </w:pPr>
            <w:r>
              <w:rPr>
                <w:rFonts w:ascii="Times New Roman" w:hAnsi="Times New Roman" w:eastAsia="Times New Roman" w:cs="Times New Roman"/>
                <w:color w:val="000000"/>
                <w:sz w:val="24"/>
              </w:rPr>
              <w:t xml:space="preserve">Reports false alarms and lead times</w:t>
            </w:r>
            <w:r/>
          </w:p>
        </w:tc>
        <w:tc>
          <w:tcPr>
            <w:tcBorders/>
            <w:tcMar>
              <w:left w:w="15" w:type="dxa"/>
              <w:top w:w="15" w:type="dxa"/>
              <w:right w:w="15" w:type="dxa"/>
              <w:bottom w:w="15" w:type="dxa"/>
            </w:tcMar>
            <w:tcW w:w="3400" w:type="dxa"/>
            <w:vAlign w:val="center"/>
          </w:tcPr>
          <w:p w14:paraId="29403F31">
            <w:pPr>
              <w:pBdr/>
              <w:spacing w:after="0" w:before="0" w:line="240"/>
              <w:ind/>
              <w:rPr/>
            </w:pPr>
            <w:r>
              <w:rPr>
                <w:rFonts w:ascii="Times New Roman" w:hAnsi="Times New Roman" w:eastAsia="Times New Roman" w:cs="Times New Roman"/>
                <w:color w:val="000000"/>
                <w:sz w:val="24"/>
              </w:rPr>
              <w:t xml:space="preserve">No demonstrated operational benefit</w:t>
            </w:r>
            <w:r/>
          </w:p>
        </w:tc>
        <w:tc>
          <w:tcPr>
            <w:tcBorders/>
            <w:tcMar>
              <w:left w:w="15" w:type="dxa"/>
              <w:top w:w="15" w:type="dxa"/>
              <w:right w:w="15" w:type="dxa"/>
              <w:bottom w:w="15" w:type="dxa"/>
            </w:tcMar>
            <w:tcW w:w="1602" w:type="dxa"/>
            <w:vAlign w:val="center"/>
          </w:tcPr>
          <w:p w14:paraId="00D68D53">
            <w:pPr>
              <w:pBdr/>
              <w:spacing w:after="0" w:before="0" w:line="240"/>
              <w:ind/>
              <w:rPr/>
            </w:pPr>
            <w:r>
              <w:rPr>
                <w:rFonts w:ascii="Times New Roman" w:hAnsi="Times New Roman" w:eastAsia="Times New Roman" w:cs="Times New Roman"/>
                <w:color w:val="000000"/>
                <w:sz w:val="24"/>
              </w:rPr>
              <w:t xml:space="preserve">Preliminary feasibility evidence</w:t>
            </w:r>
            <w:r/>
          </w:p>
        </w:tc>
      </w:tr>
    </w:tbl>
    <w:p w14:paraId="718083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Critical: the figures and text do not describe one consistent experiment.</w:t>
      </w:r>
      <w:r/>
    </w:p>
    <w:p w14:paraId="0B6747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 confirmed document problems, not speculative concerns: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22"/>
        <w:gridCol w:w="8732"/>
      </w:tblGrid>
      <w:tr>
        <w:trPr/>
        <w:tc>
          <w:tcPr>
            <w:tcBorders/>
            <w:tcMar>
              <w:left w:w="15" w:type="dxa"/>
              <w:top w:w="15" w:type="dxa"/>
              <w:right w:w="15" w:type="dxa"/>
              <w:bottom w:w="15" w:type="dxa"/>
            </w:tcMar>
            <w:tcW w:w="622" w:type="dxa"/>
            <w:vAlign w:val="center"/>
          </w:tcPr>
          <w:p w14:paraId="40441852">
            <w:pPr>
              <w:pBdr/>
              <w:spacing w:after="0" w:before="0" w:line="240"/>
              <w:ind/>
              <w:jc w:val="center"/>
              <w:rPr/>
            </w:pPr>
            <w:r>
              <w:rPr>
                <w:rFonts w:ascii="Times New Roman" w:hAnsi="Times New Roman" w:eastAsia="Times New Roman" w:cs="Times New Roman"/>
                <w:b/>
                <w:color w:val="000000"/>
                <w:sz w:val="24"/>
              </w:rPr>
              <w:t xml:space="preserve">Location</w:t>
            </w:r>
            <w:r/>
          </w:p>
        </w:tc>
        <w:tc>
          <w:tcPr>
            <w:tcBorders/>
            <w:tcMar>
              <w:left w:w="15" w:type="dxa"/>
              <w:top w:w="15" w:type="dxa"/>
              <w:right w:w="15" w:type="dxa"/>
              <w:bottom w:w="15" w:type="dxa"/>
            </w:tcMar>
            <w:tcW w:w="8732" w:type="dxa"/>
            <w:vAlign w:val="center"/>
          </w:tcPr>
          <w:p w14:paraId="6759DA2E">
            <w:pPr>
              <w:pBdr/>
              <w:spacing w:after="0" w:before="0" w:line="240"/>
              <w:ind/>
              <w:jc w:val="center"/>
              <w:rPr/>
            </w:pPr>
            <w:r>
              <w:rPr>
                <w:rFonts w:ascii="Times New Roman" w:hAnsi="Times New Roman" w:eastAsia="Times New Roman" w:cs="Times New Roman"/>
                <w:b/>
                <w:color w:val="000000"/>
                <w:sz w:val="24"/>
              </w:rPr>
              <w:t xml:space="preserve">What I found</w:t>
            </w:r>
            <w:r/>
          </w:p>
        </w:tc>
      </w:tr>
      <w:tr>
        <w:trPr/>
        <w:tc>
          <w:tcPr>
            <w:tcBorders/>
            <w:tcMar>
              <w:left w:w="15" w:type="dxa"/>
              <w:top w:w="15" w:type="dxa"/>
              <w:right w:w="15" w:type="dxa"/>
              <w:bottom w:w="15" w:type="dxa"/>
            </w:tcMar>
            <w:tcW w:w="622" w:type="dxa"/>
            <w:vAlign w:val="center"/>
          </w:tcPr>
          <w:p w14:paraId="3CF5548D">
            <w:pPr>
              <w:pBdr/>
              <w:spacing w:after="0" w:before="0" w:line="240"/>
              <w:ind/>
              <w:rPr/>
            </w:pPr>
            <w:r>
              <w:rPr>
                <w:rFonts w:ascii="Times New Roman" w:hAnsi="Times New Roman" w:eastAsia="Times New Roman" w:cs="Times New Roman"/>
                <w:color w:val="000000"/>
                <w:sz w:val="24"/>
              </w:rPr>
              <w:t xml:space="preserve">Figure 5.6</w:t>
            </w:r>
            <w:r/>
          </w:p>
        </w:tc>
        <w:tc>
          <w:tcPr>
            <w:tcBorders/>
            <w:tcMar>
              <w:left w:w="15" w:type="dxa"/>
              <w:top w:w="15" w:type="dxa"/>
              <w:right w:w="15" w:type="dxa"/>
              <w:bottom w:w="15" w:type="dxa"/>
            </w:tcMar>
            <w:tcW w:w="8732" w:type="dxa"/>
            <w:vAlign w:val="center"/>
          </w:tcPr>
          <w:p w14:paraId="6DF91E98">
            <w:pPr>
              <w:pBdr/>
              <w:spacing w:after="0" w:before="0" w:line="240"/>
              <w:ind/>
              <w:rPr/>
            </w:pPr>
            <w:r>
              <w:rPr>
                <w:rFonts w:ascii="Times New Roman" w:hAnsi="Times New Roman" w:eastAsia="Times New Roman" w:cs="Times New Roman"/>
                <w:color w:val="000000"/>
                <w:sz w:val="24"/>
              </w:rPr>
              <w:t xml:space="preserve">The caption promises an independent-classifier versus hazard comparison. The image contains only hazard points. Those values resemble the tuned model’s campaign results, rather than the coherence experiment in Appendix A.</w:t>
            </w:r>
            <w:r/>
          </w:p>
        </w:tc>
      </w:tr>
      <w:tr>
        <w:trPr/>
        <w:tc>
          <w:tcPr>
            <w:tcBorders/>
            <w:tcMar>
              <w:left w:w="15" w:type="dxa"/>
              <w:top w:w="15" w:type="dxa"/>
              <w:right w:w="15" w:type="dxa"/>
              <w:bottom w:w="15" w:type="dxa"/>
            </w:tcMar>
            <w:tcW w:w="622" w:type="dxa"/>
            <w:vAlign w:val="center"/>
          </w:tcPr>
          <w:p w14:paraId="6F8B1D1E">
            <w:pPr>
              <w:pBdr/>
              <w:spacing w:after="0" w:before="0" w:line="240"/>
              <w:ind/>
              <w:rPr/>
            </w:pPr>
            <w:r>
              <w:rPr>
                <w:rFonts w:ascii="Times New Roman" w:hAnsi="Times New Roman" w:eastAsia="Times New Roman" w:cs="Times New Roman"/>
                <w:color w:val="000000"/>
                <w:sz w:val="24"/>
              </w:rPr>
              <w:t xml:space="preserve">Figure 5.15</w:t>
            </w:r>
            <w:r/>
          </w:p>
        </w:tc>
        <w:tc>
          <w:tcPr>
            <w:tcBorders/>
            <w:tcMar>
              <w:left w:w="15" w:type="dxa"/>
              <w:top w:w="15" w:type="dxa"/>
              <w:right w:w="15" w:type="dxa"/>
              <w:bottom w:w="15" w:type="dxa"/>
            </w:tcMar>
            <w:tcW w:w="8732" w:type="dxa"/>
            <w:vAlign w:val="center"/>
          </w:tcPr>
          <w:p w14:paraId="68CE1B6D">
            <w:pPr>
              <w:pBdr/>
              <w:spacing w:after="0" w:before="0" w:line="240"/>
              <w:ind/>
              <w:rPr/>
            </w:pPr>
            <w:r>
              <w:rPr>
                <w:rFonts w:ascii="Times New Roman" w:hAnsi="Times New Roman" w:eastAsia="Times New Roman" w:cs="Times New Roman"/>
                <w:color w:val="000000"/>
                <w:sz w:val="24"/>
              </w:rPr>
              <w:t xml:space="preserve">The image says </w:t>
            </w:r>
            <w:r>
              <w:rPr>
                <w:rFonts w:ascii="Times New Roman" w:hAnsi="Times New Roman" w:eastAsia="Times New Roman" w:cs="Times New Roman"/>
                <w:b/>
                <w:color w:val="000000"/>
                <w:sz w:val="24"/>
              </w:rPr>
              <w:t xml:space="preserve">938 handovers</w:t>
            </w:r>
            <w:r>
              <w:rPr>
                <w:rFonts w:ascii="Times New Roman" w:hAnsi="Times New Roman" w:eastAsia="Times New Roman" w:cs="Times New Roman"/>
                <w:color w:val="000000"/>
                <w:sz w:val="24"/>
              </w:rPr>
              <w:t xml:space="preserve"> and shows a strict 15-second return rate of </w:t>
            </w:r>
            <w:r>
              <w:rPr>
                <w:rFonts w:ascii="Times New Roman" w:hAnsi="Times New Roman" w:eastAsia="Times New Roman" w:cs="Times New Roman"/>
                <w:b/>
                <w:color w:val="000000"/>
                <w:sz w:val="24"/>
              </w:rPr>
              <w:t xml:space="preserve">24.5%</w:t>
            </w:r>
            <w:r>
              <w:rPr>
                <w:rFonts w:ascii="Times New Roman" w:hAnsi="Times New Roman" w:eastAsia="Times New Roman" w:cs="Times New Roman"/>
                <w:color w:val="000000"/>
                <w:sz w:val="24"/>
              </w:rPr>
              <w:t xml:space="preserve">. The accompanying discussion describes </w:t>
            </w:r>
            <w:r>
              <w:rPr>
                <w:rFonts w:ascii="Times New Roman" w:hAnsi="Times New Roman" w:eastAsia="Times New Roman" w:cs="Times New Roman"/>
                <w:b/>
                <w:color w:val="000000"/>
                <w:sz w:val="24"/>
              </w:rPr>
              <w:t xml:space="preserve">957 commands</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26.3%</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622" w:type="dxa"/>
            <w:vAlign w:val="center"/>
          </w:tcPr>
          <w:p w14:paraId="39E55AA4">
            <w:pPr>
              <w:pBdr/>
              <w:spacing w:after="0" w:before="0" w:line="240"/>
              <w:ind/>
              <w:rPr/>
            </w:pPr>
            <w:r>
              <w:rPr>
                <w:rFonts w:ascii="Times New Roman" w:hAnsi="Times New Roman" w:eastAsia="Times New Roman" w:cs="Times New Roman"/>
                <w:color w:val="000000"/>
                <w:sz w:val="24"/>
              </w:rPr>
              <w:t xml:space="preserve">Figure 5.16</w:t>
            </w:r>
            <w:r/>
          </w:p>
        </w:tc>
        <w:tc>
          <w:tcPr>
            <w:tcBorders/>
            <w:tcMar>
              <w:left w:w="15" w:type="dxa"/>
              <w:top w:w="15" w:type="dxa"/>
              <w:right w:w="15" w:type="dxa"/>
              <w:bottom w:w="15" w:type="dxa"/>
            </w:tcMar>
            <w:tcW w:w="8732" w:type="dxa"/>
            <w:vAlign w:val="center"/>
          </w:tcPr>
          <w:p w14:paraId="7549A568">
            <w:pPr>
              <w:pBdr/>
              <w:spacing w:after="0" w:before="0" w:line="240"/>
              <w:ind/>
              <w:rPr/>
            </w:pPr>
            <w:r>
              <w:rPr>
                <w:rFonts w:ascii="Times New Roman" w:hAnsi="Times New Roman" w:eastAsia="Times New Roman" w:cs="Times New Roman"/>
                <w:color w:val="000000"/>
                <w:sz w:val="24"/>
              </w:rPr>
              <w:t xml:space="preserve">The image reports </w:t>
            </w:r>
            <w:r>
              <w:rPr>
                <w:rFonts w:ascii="Times New Roman" w:hAnsi="Times New Roman" w:eastAsia="Times New Roman" w:cs="Times New Roman"/>
                <w:b/>
                <w:color w:val="000000"/>
                <w:sz w:val="24"/>
              </w:rPr>
              <w:t xml:space="preserve">690 intra-frequency and 248 inter-frequency handovers</w:t>
            </w:r>
            <w:r>
              <w:rPr>
                <w:rFonts w:ascii="Times New Roman" w:hAnsi="Times New Roman" w:eastAsia="Times New Roman" w:cs="Times New Roman"/>
                <w:color w:val="000000"/>
                <w:sz w:val="24"/>
              </w:rPr>
              <w:t xml:space="preserve">, with rates of </w:t>
            </w:r>
            <w:r>
              <w:rPr>
                <w:rFonts w:ascii="Times New Roman" w:hAnsi="Times New Roman" w:eastAsia="Times New Roman" w:cs="Times New Roman"/>
                <w:b/>
                <w:color w:val="000000"/>
                <w:sz w:val="24"/>
              </w:rPr>
              <w:t xml:space="preserve">31.0% and 6.5%</w:t>
            </w:r>
            <w:r>
              <w:rPr>
                <w:rFonts w:ascii="Times New Roman" w:hAnsi="Times New Roman" w:eastAsia="Times New Roman" w:cs="Times New Roman"/>
                <w:color w:val="000000"/>
                <w:sz w:val="24"/>
              </w:rPr>
              <w:t xml:space="preserve">. Table 5.14 reports </w:t>
            </w:r>
            <w:r>
              <w:rPr>
                <w:rFonts w:ascii="Times New Roman" w:hAnsi="Times New Roman" w:eastAsia="Times New Roman" w:cs="Times New Roman"/>
                <w:b/>
                <w:color w:val="000000"/>
                <w:sz w:val="24"/>
              </w:rPr>
              <w:t xml:space="preserve">748 and 209</w:t>
            </w:r>
            <w:r>
              <w:rPr>
                <w:rFonts w:ascii="Times New Roman" w:hAnsi="Times New Roman" w:eastAsia="Times New Roman" w:cs="Times New Roman"/>
                <w:color w:val="000000"/>
                <w:sz w:val="24"/>
              </w:rPr>
              <w:t xml:space="preserve">, with </w:t>
            </w:r>
            <w:r>
              <w:rPr>
                <w:rFonts w:ascii="Times New Roman" w:hAnsi="Times New Roman" w:eastAsia="Times New Roman" w:cs="Times New Roman"/>
                <w:b/>
                <w:color w:val="000000"/>
                <w:sz w:val="24"/>
              </w:rPr>
              <w:t xml:space="preserve">31.1% and 9.1%</w:t>
            </w:r>
            <w:r>
              <w:rPr>
                <w:rFonts w:ascii="Times New Roman" w:hAnsi="Times New Roman" w:eastAsia="Times New Roman" w:cs="Times New Roman"/>
                <w:color w:val="000000"/>
                <w:sz w:val="24"/>
              </w:rPr>
              <w:t xml:space="preserve">. Its second panel shows TTT profiles, although the caption describes mobility regimes.</w:t>
            </w:r>
            <w:r/>
          </w:p>
        </w:tc>
      </w:tr>
      <w:tr>
        <w:trPr/>
        <w:tc>
          <w:tcPr>
            <w:tcBorders/>
            <w:tcMar>
              <w:left w:w="15" w:type="dxa"/>
              <w:top w:w="15" w:type="dxa"/>
              <w:right w:w="15" w:type="dxa"/>
              <w:bottom w:w="15" w:type="dxa"/>
            </w:tcMar>
            <w:tcW w:w="622" w:type="dxa"/>
            <w:vAlign w:val="center"/>
          </w:tcPr>
          <w:p w14:paraId="67E8352F">
            <w:pPr>
              <w:pBdr/>
              <w:spacing w:after="0" w:before="0" w:line="240"/>
              <w:ind/>
              <w:rPr/>
            </w:pPr>
            <w:r>
              <w:rPr>
                <w:rFonts w:ascii="Times New Roman" w:hAnsi="Times New Roman" w:eastAsia="Times New Roman" w:cs="Times New Roman"/>
                <w:color w:val="000000"/>
                <w:sz w:val="24"/>
              </w:rPr>
              <w:t xml:space="preserve">Figures 5.17–5.18</w:t>
            </w:r>
            <w:r/>
          </w:p>
        </w:tc>
        <w:tc>
          <w:tcPr>
            <w:tcBorders/>
            <w:tcMar>
              <w:left w:w="15" w:type="dxa"/>
              <w:top w:w="15" w:type="dxa"/>
              <w:right w:w="15" w:type="dxa"/>
              <w:bottom w:w="15" w:type="dxa"/>
            </w:tcMar>
            <w:tcW w:w="8732" w:type="dxa"/>
            <w:vAlign w:val="center"/>
          </w:tcPr>
          <w:p w14:paraId="155862C2">
            <w:pPr>
              <w:pBdr/>
              <w:spacing w:after="0" w:before="0" w:line="240"/>
              <w:ind/>
              <w:rPr/>
            </w:pPr>
            <w:r>
              <w:rPr>
                <w:rFonts w:ascii="Times New Roman" w:hAnsi="Times New Roman" w:eastAsia="Times New Roman" w:cs="Times New Roman"/>
                <w:color w:val="000000"/>
                <w:sz w:val="24"/>
              </w:rPr>
              <w:t xml:space="preserve">The plotted pooled Hawkes branching ratio is </w:t>
            </w:r>
            <w:r>
              <w:rPr>
                <w:rFonts w:ascii="Times New Roman" w:hAnsi="Times New Roman" w:eastAsia="Times New Roman" w:cs="Times New Roman"/>
                <w:b/>
                <w:color w:val="000000"/>
                <w:sz w:val="24"/>
              </w:rPr>
              <w:t xml:space="preserve">0.605</w:t>
            </w:r>
            <w:r>
              <w:rPr>
                <w:rFonts w:ascii="Times New Roman" w:hAnsi="Times New Roman" w:eastAsia="Times New Roman" w:cs="Times New Roman"/>
                <w:color w:val="000000"/>
                <w:sz w:val="24"/>
              </w:rPr>
              <w:t xml:space="preserve">; the text reports </w:t>
            </w:r>
            <w:r>
              <w:rPr>
                <w:rFonts w:ascii="Times New Roman" w:hAnsi="Times New Roman" w:eastAsia="Times New Roman" w:cs="Times New Roman"/>
                <w:b/>
                <w:color w:val="000000"/>
                <w:sz w:val="24"/>
              </w:rPr>
              <w:t xml:space="preserve">0.653</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622" w:type="dxa"/>
            <w:vAlign w:val="center"/>
          </w:tcPr>
          <w:p w14:paraId="04FA50FE">
            <w:pPr>
              <w:pBdr/>
              <w:spacing w:after="0" w:before="0" w:line="240"/>
              <w:ind/>
              <w:rPr/>
            </w:pPr>
            <w:r>
              <w:rPr>
                <w:rFonts w:ascii="Times New Roman" w:hAnsi="Times New Roman" w:eastAsia="Times New Roman" w:cs="Times New Roman"/>
                <w:color w:val="000000"/>
                <w:sz w:val="24"/>
              </w:rPr>
              <w:t xml:space="preserve">Figure 5.18</w:t>
            </w:r>
            <w:r/>
          </w:p>
        </w:tc>
        <w:tc>
          <w:tcPr>
            <w:tcBorders/>
            <w:tcMar>
              <w:left w:w="15" w:type="dxa"/>
              <w:top w:w="15" w:type="dxa"/>
              <w:right w:w="15" w:type="dxa"/>
              <w:bottom w:w="15" w:type="dxa"/>
            </w:tcMar>
            <w:tcW w:w="8732" w:type="dxa"/>
            <w:vAlign w:val="center"/>
          </w:tcPr>
          <w:p w14:paraId="6637A419">
            <w:pPr>
              <w:pBdr/>
              <w:spacing w:after="0" w:before="0" w:line="240"/>
              <w:ind/>
              <w:rPr/>
            </w:pPr>
            <w:r>
              <w:rPr>
                <w:rFonts w:ascii="Times New Roman" w:hAnsi="Times New Roman" w:eastAsia="Times New Roman" w:cs="Times New Roman"/>
                <w:color w:val="000000"/>
                <w:sz w:val="24"/>
              </w:rPr>
              <w:t xml:space="preserve">The image states that six in ten handovers are triggered by a previous handover. The text explicitly withdraws this interpretation after the model fails its residual test.</w:t>
            </w:r>
            <w:r/>
          </w:p>
        </w:tc>
      </w:tr>
      <w:tr>
        <w:trPr/>
        <w:tc>
          <w:tcPr>
            <w:tcBorders/>
            <w:tcMar>
              <w:left w:w="15" w:type="dxa"/>
              <w:top w:w="15" w:type="dxa"/>
              <w:right w:w="15" w:type="dxa"/>
              <w:bottom w:w="15" w:type="dxa"/>
            </w:tcMar>
            <w:tcW w:w="622" w:type="dxa"/>
            <w:vAlign w:val="center"/>
          </w:tcPr>
          <w:p w14:paraId="73367BFE">
            <w:pPr>
              <w:pBdr/>
              <w:spacing w:after="0" w:before="0" w:line="240"/>
              <w:ind/>
              <w:rPr/>
            </w:pPr>
            <w:r>
              <w:rPr>
                <w:rFonts w:ascii="Times New Roman" w:hAnsi="Times New Roman" w:eastAsia="Times New Roman" w:cs="Times New Roman"/>
                <w:color w:val="000000"/>
                <w:sz w:val="24"/>
              </w:rPr>
              <w:t xml:space="preserve">Appendix B</w:t>
            </w:r>
            <w:r/>
          </w:p>
        </w:tc>
        <w:tc>
          <w:tcPr>
            <w:tcBorders/>
            <w:tcMar>
              <w:left w:w="15" w:type="dxa"/>
              <w:top w:w="15" w:type="dxa"/>
              <w:right w:w="15" w:type="dxa"/>
              <w:bottom w:w="15" w:type="dxa"/>
            </w:tcMar>
            <w:tcW w:w="8732" w:type="dxa"/>
            <w:vAlign w:val="center"/>
          </w:tcPr>
          <w:p w14:paraId="4322F02F">
            <w:pPr>
              <w:pBdr/>
              <w:spacing w:after="0" w:before="0" w:line="240"/>
              <w:ind/>
              <w:rPr/>
            </w:pPr>
            <w:r>
              <w:rPr>
                <w:rFonts w:ascii="Times New Roman" w:hAnsi="Times New Roman" w:eastAsia="Times New Roman" w:cs="Times New Roman"/>
                <w:color w:val="000000"/>
                <w:sz w:val="24"/>
              </w:rPr>
              <w:t xml:space="preserve">Its feature blocks total </w:t>
            </w:r>
            <w:r>
              <w:rPr>
                <w:rFonts w:ascii="Times New Roman" w:hAnsi="Times New Roman" w:eastAsia="Times New Roman" w:cs="Times New Roman"/>
                <w:b/>
                <w:color w:val="000000"/>
                <w:sz w:val="24"/>
              </w:rPr>
              <w:t xml:space="preserve">120</w:t>
            </w:r>
            <w:r>
              <w:rPr>
                <w:rFonts w:ascii="Times New Roman" w:hAnsi="Times New Roman" w:eastAsia="Times New Roman" w:cs="Times New Roman"/>
                <w:color w:val="000000"/>
                <w:sz w:val="24"/>
              </w:rPr>
              <w:t xml:space="preserve">, despite claiming </w:t>
            </w:r>
            <w:r>
              <w:rPr>
                <w:rFonts w:ascii="Times New Roman" w:hAnsi="Times New Roman" w:eastAsia="Times New Roman" w:cs="Times New Roman"/>
                <w:b/>
                <w:color w:val="000000"/>
                <w:sz w:val="24"/>
              </w:rPr>
              <w:t xml:space="preserve">112</w:t>
            </w:r>
            <w:r>
              <w:rPr>
                <w:rFonts w:ascii="Times New Roman" w:hAnsi="Times New Roman" w:eastAsia="Times New Roman" w:cs="Times New Roman"/>
                <w:color w:val="000000"/>
                <w:sz w:val="24"/>
              </w:rPr>
              <w:t xml:space="preserve">. Section 4.6 instead specifies </w:t>
            </w:r>
            <w:r>
              <w:rPr>
                <w:rFonts w:ascii="Times New Roman" w:hAnsi="Times New Roman" w:eastAsia="Times New Roman" w:cs="Times New Roman"/>
                <w:b/>
                <w:color w:val="000000"/>
                <w:sz w:val="24"/>
              </w:rPr>
              <w:t xml:space="preserve">89 radio + 17 mobility + 6 history = 112</w:t>
            </w:r>
            <w:r>
              <w:rPr>
                <w:rFonts w:ascii="Times New Roman" w:hAnsi="Times New Roman" w:eastAsia="Times New Roman" w:cs="Times New Roman"/>
                <w:color w:val="000000"/>
                <w:sz w:val="24"/>
              </w:rPr>
              <w:t xml:space="preserve">, with 10 additional signalling features.</w:t>
            </w:r>
            <w:r/>
          </w:p>
        </w:tc>
      </w:tr>
    </w:tbl>
    <w:p w14:paraId="10097F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Required action:</w:t>
      </w:r>
      <w:r>
        <w:rPr>
          <w:rFonts w:ascii="Times New Roman" w:hAnsi="Times New Roman" w:eastAsia="Times New Roman" w:cs="Times New Roman"/>
          <w:color w:val="000000"/>
          <w:sz w:val="24"/>
        </w:rPr>
        <w:t xml:space="preserve"> regenerate all figures and tables from one frozen set of experiment outputs. Editing individual numbers manually will leave further inconsistencies.</w:t>
      </w:r>
      <w:r/>
    </w:p>
    <w:p w14:paraId="6599C8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Critical: the ping-pong subset result is mathematically inconsistent.</w:t>
      </w:r>
      <w:r/>
    </w:p>
    <w:p w14:paraId="1B82A9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Table 5.14 reports </w:t>
      </w:r>
      <w:r>
        <w:rPr>
          <w:rFonts w:ascii="Times New Roman" w:hAnsi="Times New Roman" w:eastAsia="Times New Roman" w:cs="Times New Roman"/>
          <w:b/>
          <w:color w:val="000000"/>
          <w:sz w:val="24"/>
        </w:rPr>
        <w:t xml:space="preserve">252 ping-pongs among 957 commands</w:t>
      </w:r>
      <w:r>
        <w:rPr>
          <w:rFonts w:ascii="Times New Roman" w:hAnsi="Times New Roman" w:eastAsia="Times New Roman" w:cs="Times New Roman"/>
          <w:color w:val="000000"/>
          <w:sz w:val="24"/>
        </w:rPr>
        <w:t xml:space="preserve">. Table 5.13 reports </w:t>
      </w:r>
      <w:r>
        <w:rPr>
          <w:rFonts w:ascii="Times New Roman" w:hAnsi="Times New Roman" w:eastAsia="Times New Roman" w:cs="Times New Roman"/>
          <w:b/>
          <w:color w:val="000000"/>
          <w:sz w:val="24"/>
        </w:rPr>
        <w:t xml:space="preserve">28.7% among a retained subset of 938 commands</w:t>
      </w:r>
      <w:r>
        <w:rPr>
          <w:rFonts w:ascii="Times New Roman" w:hAnsi="Times New Roman" w:eastAsia="Times New Roman" w:cs="Times New Roman"/>
          <w:color w:val="000000"/>
          <w:sz w:val="24"/>
        </w:rPr>
        <w:t xml:space="preserve"> under what it describes as the same return definition.</w:t>
      </w:r>
      <w:r/>
    </w:p>
    <w:p w14:paraId="36C727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check is straightforward:</w:t>
      </w:r>
      <w:r/>
    </w:p>
    <w:p w14:paraId="3845512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subset cannot contain more than the original 252 flagged events.</w:t>
      </w:r>
      <w:r/>
    </w:p>
    <w:p w14:paraId="69D5C98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Its largest possible rate is therefore:\[ \frac{252}{938}\times100=26.87\%. \]</w:t>
      </w:r>
      <w:r/>
    </w:p>
    <w:p w14:paraId="1FB007C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rate of 28.7% implies approximately:\[ 0.287\times938\approx269 \]flagged events.</w:t>
      </w:r>
      <w:r/>
    </w:p>
    <w:p w14:paraId="61E4DD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cannot be a simple restriction of the original labels. Either the labels were recomputed after filtering, the definition changed, or a reported value is stale. Recomputing “previous cell” after removing events would itself change the task.</w:t>
      </w:r>
      <w:r/>
    </w:p>
    <w:p w14:paraId="03D78E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Flag each event once on the full session sequence, then apply subsets to those fixed flags.</w:t>
      </w:r>
      <w:r/>
    </w:p>
    <w:p w14:paraId="7D766B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 Critical: the claimed “one-hertz instrument ceiling” mixes sampling limits with your own exclusion policy.</w:t>
      </w:r>
      <w:r/>
    </w:p>
    <w:p w14:paraId="329957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Sections 4.1 and 3.4 remove prediction rows during the </w:t>
      </w:r>
      <w:r>
        <w:rPr>
          <w:rFonts w:ascii="Times New Roman" w:hAnsi="Times New Roman" w:eastAsia="Times New Roman" w:cs="Times New Roman"/>
          <w:b/>
          <w:color w:val="000000"/>
          <w:sz w:val="24"/>
        </w:rPr>
        <w:t xml:space="preserve">two seconds after a handover</w:t>
      </w:r>
      <w:r>
        <w:rPr>
          <w:rFonts w:ascii="Times New Roman" w:hAnsi="Times New Roman" w:eastAsia="Times New Roman" w:cs="Times New Roman"/>
          <w:color w:val="000000"/>
          <w:sz w:val="24"/>
        </w:rPr>
        <w:t xml:space="preserve">. Appendix A then reports that only </w:t>
      </w:r>
      <w:r>
        <w:rPr>
          <w:rFonts w:ascii="Times New Roman" w:hAnsi="Times New Roman" w:eastAsia="Times New Roman" w:cs="Times New Roman"/>
          <w:b/>
          <w:color w:val="000000"/>
          <w:sz w:val="24"/>
        </w:rPr>
        <w:t xml:space="preserve">64.6%</w:t>
      </w:r>
      <w:r>
        <w:rPr>
          <w:rFonts w:ascii="Times New Roman" w:hAnsi="Times New Roman" w:eastAsia="Times New Roman" w:cs="Times New Roman"/>
          <w:color w:val="000000"/>
          <w:sz w:val="24"/>
        </w:rPr>
        <w:t xml:space="preserve"> of commands have a usable prediction row in their preceding one-second window.</w:t>
      </w:r>
      <w:r/>
    </w:p>
    <w:p w14:paraId="425DA2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percentage is not attributable to one-hertz sampling alone.</w:t>
      </w:r>
      <w:r/>
    </w:p>
    <w:p w14:paraId="3F4331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an uninterrupted integer-second grid:</w:t>
      </w:r>
      <w:r/>
    </w:p>
    <w:p w14:paraId="7B3D470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Consider a command at time \(12.7\).</w:t>
      </w:r>
      <w:r/>
    </w:p>
    <w:p w14:paraId="1F7886B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Its one-second warning window is \([11.7,12.7)\).</w:t>
      </w:r>
      <w:r/>
    </w:p>
    <w:p w14:paraId="2F37F49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grid contains a prediction instant at \(12.0\).</w:t>
      </w:r>
      <w:r/>
    </w:p>
    <w:p w14:paraId="6BD54A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same reasoning applies to every interior event on a complete one-second grid. Lagged features may reduce informativeness, but they do not remove that prediction instant.</w:t>
      </w:r>
      <w:r/>
    </w:p>
    <w:p w14:paraId="5AC540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missing opportunities must therefore also reflect blanking, gaps, filtering or boundary rules. The two-second blank is particularly consequential for closely spaced handovers.</w:t>
      </w:r>
      <w:r/>
    </w:p>
    <w:p w14:paraId="62938B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Required correction:</w:t>
      </w:r>
      <w:r>
        <w:rPr>
          <w:rFonts w:ascii="Times New Roman" w:hAnsi="Times New Roman" w:eastAsia="Times New Roman" w:cs="Times New Roman"/>
          <w:color w:val="000000"/>
          <w:sz w:val="24"/>
        </w:rPr>
        <w:t xml:space="preserve"> call this an </w:t>
      </w:r>
      <w:r>
        <w:rPr>
          <w:rFonts w:ascii="Times New Roman" w:hAnsi="Times New Roman" w:eastAsia="Times New Roman" w:cs="Times New Roman"/>
          <w:b/>
          <w:color w:val="000000"/>
          <w:sz w:val="24"/>
        </w:rPr>
        <w:t xml:space="preserve">eligible-prediction-window ceiling under the chosen preprocessing and warning policy</w:t>
      </w:r>
      <w:r>
        <w:rPr>
          <w:rFonts w:ascii="Times New Roman" w:hAnsi="Times New Roman" w:eastAsia="Times New Roman" w:cs="Times New Roman"/>
          <w:color w:val="000000"/>
          <w:sz w:val="24"/>
        </w:rPr>
        <w:t xml:space="preserve">. Report separately how many events become unresolvable because of each exclusion.</w:t>
      </w:r>
      <w:r/>
    </w:p>
    <w:p w14:paraId="30F289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also an arithmetic inconsistency: </w:t>
      </w:r>
      <w:r>
        <w:rPr>
          <w:rFonts w:ascii="Times New Roman" w:hAnsi="Times New Roman" w:eastAsia="Times New Roman" w:cs="Times New Roman"/>
          <w:b/>
          <w:color w:val="000000"/>
          <w:sz w:val="24"/>
        </w:rPr>
        <w:t xml:space="preserve">64.6% resolvable means 35.4% unresolvable</w:t>
      </w:r>
      <w:r>
        <w:rPr>
          <w:rFonts w:ascii="Times New Roman" w:hAnsi="Times New Roman" w:eastAsia="Times New Roman" w:cs="Times New Roman"/>
          <w:color w:val="000000"/>
          <w:sz w:val="24"/>
        </w:rPr>
        <w:t xml:space="preserve">, whereas the risk-control discussion repeatedly uses </w:t>
      </w:r>
      <w:r>
        <w:rPr>
          <w:rFonts w:ascii="Times New Roman" w:hAnsi="Times New Roman" w:eastAsia="Times New Roman" w:cs="Times New Roman"/>
          <w:b/>
          <w:color w:val="000000"/>
          <w:sz w:val="24"/>
        </w:rPr>
        <w:t xml:space="preserve">36.4%</w:t>
      </w:r>
      <w:r>
        <w:rPr>
          <w:rFonts w:ascii="Times New Roman" w:hAnsi="Times New Roman" w:eastAsia="Times New Roman" w:cs="Times New Roman"/>
          <w:color w:val="000000"/>
          <w:sz w:val="24"/>
        </w:rPr>
        <w:t xml:space="preserve">. Different evaluation populations could explain this, but they must be identified.</w:t>
      </w:r>
      <w:r/>
    </w:p>
    <w:p w14:paraId="4F5E5F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 Critical: the conformal section needs mathematical revision.</w:t>
      </w:r>
      <w:r/>
    </w:p>
    <w:p w14:paraId="395EFB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are four separate problems.</w:t>
      </w:r>
      <w:r/>
    </w:p>
    <w:p w14:paraId="5FAEC85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Threshold direction:</w:t>
      </w:r>
      <w:r>
        <w:rPr>
          <w:rFonts w:ascii="Times New Roman" w:hAnsi="Times New Roman" w:eastAsia="Times New Roman" w:cs="Times New Roman"/>
          <w:color w:val="000000"/>
          <w:sz w:val="24"/>
        </w:rPr>
        <w:t xml:space="preserve"> Equation 4.9 assumes loss decreases as \(\lambda\) increases. Equation 4.10 defines misses through \(p&lt;\lambda\), so loss increases with \(\lambda\). Reparameterize alarm permissiveness or change the selection rule consistently.</w:t>
      </w:r>
      <w:r/>
    </w:p>
    <w:p w14:paraId="03A5E01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Meaning of the guarantee:</w:t>
      </w:r>
      <w:r>
        <w:rPr>
          <w:rFonts w:ascii="Times New Roman" w:hAnsi="Times New Roman" w:eastAsia="Times New Roman" w:cs="Times New Roman"/>
          <w:color w:val="000000"/>
          <w:sz w:val="24"/>
        </w:rPr>
        <w:t xml:space="preserve"> expected-risk control does not require every test campaign to have loss below \(\alpha\). Therefore, “83% of rotations respect the bound” does not establish that the theorem failed.</w:t>
      </w:r>
      <w:r/>
    </w:p>
    <w:p w14:paraId="3D86B3D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Exchangeability:</w:t>
      </w:r>
      <w:r>
        <w:rPr>
          <w:rFonts w:ascii="Times New Roman" w:hAnsi="Times New Roman" w:eastAsia="Times New Roman" w:cs="Times New Roman"/>
          <w:color w:val="000000"/>
          <w:sz w:val="24"/>
        </w:rPr>
        <w:t xml:space="preserve"> drawing blocks randomly from a common pool does not, by itself, establish the exchangeability required for deployment to future campaigns.</w:t>
      </w:r>
      <w:r/>
    </w:p>
    <w:p w14:paraId="62BC39B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sample-size floor is overstated:</w:t>
      </w:r>
      <w:r>
        <w:rPr>
          <w:rFonts w:ascii="Times New Roman" w:hAnsi="Times New Roman" w:eastAsia="Times New Roman" w:cs="Times New Roman"/>
          <w:color w:val="000000"/>
          <w:sz w:val="24"/>
        </w:rPr>
        <w:t xml:space="preserve"> \(1/(n+1)\) is a floor for satisfying the displayed corrected empirical-risk inequality. It is not a universal impossibility result for risk control. The cited theorem includes a most-permissive fallback, subject to its endpoint-loss assumption. For row-l</w:t>
      </w:r>
      <w:r>
        <w:rPr>
          <w:rFonts w:ascii="Times New Roman" w:hAnsi="Times New Roman" w:eastAsia="Times New Roman" w:cs="Times New Roman"/>
          <w:color w:val="000000"/>
          <w:sz w:val="24"/>
        </w:rPr>
        <w:t xml:space="preserve">evel misses, an always-alarm rule can have zero loss while being operationally useless.</w:t>
      </w:r>
      <w:r/>
    </w:p>
    <w:p w14:paraId="3C4FA5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distinctions follow directly from </w:t>
      </w:r>
      <w:hyperlink r:id="rId9" w:tooltip="https://arxiv.org/html/2208.02814v4?utm_source=chatgpt.com" w:history="1">
        <w:r>
          <w:rPr>
            <w:rStyle w:val="187"/>
            <w:rFonts w:ascii="Times New Roman" w:hAnsi="Times New Roman" w:eastAsia="Times New Roman" w:cs="Times New Roman"/>
            <w:color w:val="0000ee"/>
            <w:sz w:val="24"/>
            <w:u w:val="none"/>
          </w:rPr>
          <w:t xml:space="preserve">Angelopoulos et al., </w:t>
        </w:r>
        <w:r>
          <w:rPr>
            <w:rStyle w:val="187"/>
            <w:rFonts w:ascii="Times New Roman" w:hAnsi="Times New Roman" w:eastAsia="Times New Roman" w:cs="Times New Roman"/>
            <w:i/>
            <w:color w:val="0000ee"/>
            <w:sz w:val="24"/>
            <w:u w:val="single"/>
          </w:rPr>
          <w:t xml:space="preserve">Conformal Risk Control</w:t>
        </w:r>
        <w:r>
          <w:rPr>
            <w:rStyle w:val="187"/>
            <w:rFonts w:ascii="Times New Roman" w:hAnsi="Times New Roman" w:eastAsia="Times New Roman" w:cs="Times New Roman"/>
            <w:color w:val="0000ee"/>
            <w:sz w:val="24"/>
            <w:u w:val="none"/>
          </w:rPr>
          <w:t xml:space="preserve">, Theorem 1</w:t>
        </w:r>
      </w:hyperlink>
      <w:r>
        <w:rPr>
          <w:rFonts w:ascii="Times New Roman" w:hAnsi="Times New Roman" w:eastAsia="Times New Roman" w:cs="Times New Roman"/>
          <w:color w:val="000000"/>
          <w:sz w:val="24"/>
        </w:rPr>
        <w:t xml:space="preserve">.</w:t>
      </w:r>
      <w:r/>
    </w:p>
    <w:p w14:paraId="12F470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observed cross-campaign mean loss at \(\alpha=0.20\) is </w:t>
      </w:r>
      <w:r>
        <w:rPr>
          <w:rFonts w:ascii="Times New Roman" w:hAnsi="Times New Roman" w:eastAsia="Times New Roman" w:cs="Times New Roman"/>
          <w:b/>
          <w:color w:val="000000"/>
          <w:sz w:val="24"/>
        </w:rPr>
        <w:t xml:space="preserve">0.153</w:t>
      </w:r>
      <w:r>
        <w:rPr>
          <w:rFonts w:ascii="Times New Roman" w:hAnsi="Times New Roman" w:eastAsia="Times New Roman" w:cs="Times New Roman"/>
          <w:color w:val="000000"/>
          <w:sz w:val="24"/>
        </w:rPr>
        <w:t xml:space="preserve">, below the target. That does not prove validity either, but it makes the manuscript’s “failure in 17% of rotations” interpretation particularly misleading.</w:t>
      </w:r>
      <w:r/>
    </w:p>
    <w:p w14:paraId="0DBC46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My recommendation:</w:t>
      </w:r>
      <w:r>
        <w:rPr>
          <w:rFonts w:ascii="Times New Roman" w:hAnsi="Times New Roman" w:eastAsia="Times New Roman" w:cs="Times New Roman"/>
          <w:color w:val="000000"/>
          <w:sz w:val="24"/>
        </w:rPr>
        <w:t xml:space="preserve"> retain this as an exploratory risk–alarm trade-off analysis until the implementation, parameter direction, calibration separation and theorem assumptions are verified.</w:t>
      </w:r>
      <w:r/>
    </w:p>
    <w:p w14:paraId="01A4A0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5. High priority: the event definition and completion matching need auditing.</w:t>
      </w:r>
      <w:r/>
    </w:p>
    <w:p w14:paraId="4B59F4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Section 3.6 says all commands have a decoded completion, then adds that this is </w:t>
      </w:r>
      <w:r>
        <w:rPr>
          <w:rFonts w:ascii="Times New Roman" w:hAnsi="Times New Roman" w:eastAsia="Times New Roman" w:cs="Times New Roman"/>
          <w:b/>
          <w:color w:val="000000"/>
          <w:sz w:val="24"/>
        </w:rPr>
        <w:t xml:space="preserve">“what defines the set.”</w:t>
      </w:r>
      <w:r/>
    </w:p>
    <w:p w14:paraId="51DF3D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creates an ambiguity:</w:t>
      </w:r>
      <w:r/>
    </w:p>
    <w:p w14:paraId="5864408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Did you extract every handover command and independently find that all completed?</w:t>
      </w:r>
      <w:r/>
    </w:p>
    <w:p w14:paraId="7CD32FE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 did you retain only commands with a matching completion?</w:t>
      </w:r>
      <w:r/>
    </w:p>
    <w:p w14:paraId="544BC0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second procedure predicts </w:t>
      </w:r>
      <w:r>
        <w:rPr>
          <w:rFonts w:ascii="Times New Roman" w:hAnsi="Times New Roman" w:eastAsia="Times New Roman" w:cs="Times New Roman"/>
          <w:b/>
          <w:color w:val="000000"/>
          <w:sz w:val="24"/>
        </w:rPr>
        <w:t xml:space="preserve">commands associated with confirmed completions</w:t>
      </w:r>
      <w:r>
        <w:rPr>
          <w:rFonts w:ascii="Times New Roman" w:hAnsi="Times New Roman" w:eastAsia="Times New Roman" w:cs="Times New Roman"/>
          <w:color w:val="000000"/>
          <w:sz w:val="24"/>
        </w:rPr>
        <w:t xml:space="preserve">, not all issued commands. That distinction matters when discussing failures or warning utility.</w:t>
      </w:r>
      <w:r/>
    </w:p>
    <w:p w14:paraId="6F2EB4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Table 3.3 also reports median “interruption” times of </w:t>
      </w:r>
      <w:r>
        <w:rPr>
          <w:rFonts w:ascii="Times New Roman" w:hAnsi="Times New Roman" w:eastAsia="Times New Roman" w:cs="Times New Roman"/>
          <w:b/>
          <w:color w:val="000000"/>
          <w:sz w:val="24"/>
        </w:rPr>
        <w:t xml:space="preserve">0–1 ms</w:t>
      </w:r>
      <w:r>
        <w:rPr>
          <w:rFonts w:ascii="Times New Roman" w:hAnsi="Times New Roman" w:eastAsia="Times New Roman" w:cs="Times New Roman"/>
          <w:color w:val="000000"/>
          <w:sz w:val="24"/>
        </w:rPr>
        <w:t xml:space="preserve">. These values deserve direct inspection of the matching and timestamp semantics. A command-to-completion log interval is not automatically a measurement of user-plane service interruption.</w:t>
      </w:r>
      <w:r/>
    </w:p>
    <w:p w14:paraId="6697F4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Document the matching keys, transaction handling, duplicate removal and treatment of intervening reconfigurations. Show several complete raw message sequences, including zero-duration cases. The relevant handover and completion procedures are defined in </w:t>
      </w:r>
      <w:hyperlink r:id="rId10" w:tooltip="https://www.etsi.org/deliver/etsi_ts/136300_136399/136331/17.06.00_60/ts_136331v170600p.pdf?utm_source=chatgpt.com" w:history="1">
        <w:r>
          <w:rPr>
            <w:rStyle w:val="187"/>
            <w:rFonts w:ascii="Times New Roman" w:hAnsi="Times New Roman" w:eastAsia="Times New Roman" w:cs="Times New Roman"/>
            <w:color w:val="0000ee"/>
            <w:sz w:val="24"/>
            <w:u w:val="none"/>
          </w:rPr>
          <w:t xml:space="preserve">3GPP TS 36.331</w:t>
        </w:r>
      </w:hyperlink>
      <w:r>
        <w:rPr>
          <w:rFonts w:ascii="Times New Roman" w:hAnsi="Times New Roman" w:eastAsia="Times New Roman" w:cs="Times New Roman"/>
          <w:color w:val="000000"/>
          <w:sz w:val="24"/>
        </w:rPr>
        <w:t xml:space="preserve">.</w:t>
      </w:r>
      <w:r/>
    </w:p>
    <w:p w14:paraId="5F8694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6. High priority: the leakage observation is stronger than the proposed mechanism.</w:t>
      </w:r>
      <w:r/>
    </w:p>
    <w:p w14:paraId="3BF649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large score reduction after correcting alignment is compelling </w:t>
      </w:r>
      <w:r>
        <w:rPr>
          <w:rFonts w:ascii="Times New Roman" w:hAnsi="Times New Roman" w:eastAsia="Times New Roman" w:cs="Times New Roman"/>
          <w:b/>
          <w:color w:val="000000"/>
          <w:sz w:val="24"/>
        </w:rPr>
        <w:t xml:space="preserve">as reported</w:t>
      </w:r>
      <w:r>
        <w:rPr>
          <w:rFonts w:ascii="Times New Roman" w:hAnsi="Times New Roman" w:eastAsia="Times New Roman" w:cs="Times New Roman"/>
          <w:color w:val="000000"/>
          <w:sz w:val="24"/>
        </w:rPr>
        <w:t xml:space="preserve">. But several explanations are stated too conclusively:</w:t>
      </w:r>
      <w:r/>
    </w:p>
    <w:p w14:paraId="20AE248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text says the end-of-second rule holds “exactly,” yet </w:t>
      </w:r>
      <w:r>
        <w:rPr>
          <w:rFonts w:ascii="Times New Roman" w:hAnsi="Times New Roman" w:eastAsia="Times New Roman" w:cs="Times New Roman"/>
          <w:b/>
          <w:color w:val="000000"/>
          <w:sz w:val="24"/>
        </w:rPr>
        <w:t xml:space="preserve">211 positive-margin cases</w:t>
      </w:r>
      <w:r>
        <w:rPr>
          <w:rFonts w:ascii="Times New Roman" w:hAnsi="Times New Roman" w:eastAsia="Times New Roman" w:cs="Times New Roman"/>
          <w:color w:val="000000"/>
          <w:sz w:val="24"/>
        </w:rPr>
        <w:t xml:space="preserve"> do not show the expected target cell.</w:t>
      </w:r>
      <w:r/>
    </w:p>
    <w:p w14:paraId="13B27F4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Seeing the target in the following row is consistent with delayed refresh; it does not uniquely establish that mechanism.</w:t>
      </w:r>
      <w:r/>
    </w:p>
    <w:p w14:paraId="7AB413B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completion-message timestamp does not directly measure when a KPI register refreshed.</w:t>
      </w:r>
      <w:r/>
    </w:p>
    <w:p w14:paraId="6D26A40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Irish control lacks an independent signalling event clock, limiting its ability to establish the absence of leakage.</w:t>
      </w:r>
      <w:r/>
    </w:p>
    <w:p w14:paraId="0C27963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Artificially downsampling native data demonstrates that an aggregation rule can create leakage. It does not prove that your own exporter uses precisely that rule.</w:t>
      </w:r>
      <w:r/>
    </w:p>
    <w:p w14:paraId="543B49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manuscript acknowledges some of these limits in Section 5.13, but its abstract and contribution statements remain stronger.</w:t>
      </w:r>
      <w:r/>
    </w:p>
    <w:p w14:paraId="7273E2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approximately 60 ms update-delay estimate</w:t>
      </w:r>
      <w:r>
        <w:rPr>
          <w:rFonts w:ascii="Times New Roman" w:hAnsi="Times New Roman" w:eastAsia="Times New Roman" w:cs="Times New Roman"/>
          <w:color w:val="000000"/>
          <w:sz w:val="24"/>
        </w:rPr>
        <w:t xml:space="preserve"> also needs a sampling-phase analysis. With native 100 ms sampling, the observed transition can combine physical delay, logging delay and sample timing.</w:t>
      </w:r>
      <w:r/>
    </w:p>
    <w:p w14:paraId="2F4B97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Finally, shifting serving-radio features identifies a sensitive feature family, but </w:t>
      </w:r>
      <w:r>
        <w:rPr>
          <w:rFonts w:ascii="Times New Roman" w:hAnsi="Times New Roman" w:eastAsia="Times New Roman" w:cs="Times New Roman"/>
          <w:b/>
          <w:color w:val="000000"/>
          <w:sz w:val="24"/>
        </w:rPr>
        <w:t xml:space="preserve">“96% of the leak comes from these features”</w:t>
      </w:r>
      <w:r>
        <w:rPr>
          <w:rFonts w:ascii="Times New Roman" w:hAnsi="Times New Roman" w:eastAsia="Times New Roman" w:cs="Times New Roman"/>
          <w:color w:val="000000"/>
          <w:sz w:val="24"/>
        </w:rPr>
        <w:t xml:space="preserve"> is not an additive causal decomposition. Correlated features and stale valid information can affect the ablation.</w:t>
      </w:r>
      <w:r/>
    </w:p>
    <w:p w14:paraId="730A2B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Keep the measured alignment effect. Present the exporter mechanism and delay estimate as hypotheses supported by the observations.</w:t>
      </w:r>
      <w:r/>
    </w:p>
    <w:p w14:paraId="41071C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7. High priority: the A3 comparison does not yet establish superiority over the deployed mobility system.</w:t>
      </w:r>
      <w:r/>
    </w:p>
    <w:p w14:paraId="2899EF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one-hertz reconstruction cannot faithfully recover whether an entry condition remained true continuously for </w:t>
      </w:r>
      <w:r>
        <w:rPr>
          <w:rFonts w:ascii="Times New Roman" w:hAnsi="Times New Roman" w:eastAsia="Times New Roman" w:cs="Times New Roman"/>
          <w:b/>
          <w:color w:val="000000"/>
          <w:sz w:val="24"/>
        </w:rPr>
        <w:t xml:space="preserve">160, 320 or 640 ms</w:t>
      </w:r>
      <w:r>
        <w:rPr>
          <w:rFonts w:ascii="Times New Roman" w:hAnsi="Times New Roman" w:eastAsia="Times New Roman" w:cs="Times New Roman"/>
          <w:color w:val="000000"/>
          <w:sz w:val="24"/>
        </w:rPr>
        <w:t xml:space="preserve">. The manuscript needs to specify exactly what generates the A3 baseline score:</w:t>
      </w:r>
      <w:r/>
    </w:p>
    <w:p w14:paraId="356587B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binary instantaneous condition;</w:t>
      </w:r>
      <w:r/>
    </w:p>
    <w:p w14:paraId="2000807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continuous signal margin;</w:t>
      </w:r>
      <w:r/>
    </w:p>
    <w:p w14:paraId="040BED2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approximation of TTT;</w:t>
      </w:r>
      <w:r/>
    </w:p>
    <w:p w14:paraId="54CF5BE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 actual decoded A3 reports.</w:t>
      </w:r>
      <w:r/>
    </w:p>
    <w:p w14:paraId="52C894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Those are different predictors.</w:t>
      </w:r>
      <w:r/>
    </w:p>
    <w:p w14:paraId="65A44C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Moreover, A3 is a measurement-reporting event; the network’s handover decision contains additional logic. The full A3 condition includes frequency and cell offsets as well as hysteresis. A raw target RSRP need not always exceed serving RSRP. </w:t>
      </w:r>
      <w:hyperlink r:id="rId11" w:tooltip="https://www.etsi.org/deliver/etsi_ts/136300_136399/136331/17.06.00_60/ts_136331v170600p.pdf?utm_source=chatgpt.com" w:history="1">
        <w:r>
          <w:rPr>
            <w:rStyle w:val="187"/>
            <w:rFonts w:ascii="Times New Roman" w:hAnsi="Times New Roman" w:eastAsia="Times New Roman" w:cs="Times New Roman"/>
            <w:color w:val="0000ee"/>
            <w:sz w:val="24"/>
            <w:u w:val="none"/>
          </w:rPr>
          <w:t xml:space="preserve">3GPP TS 36.331, §5.5.4.4</w:t>
        </w:r>
      </w:hyperlink>
      <w:r/>
      <w:r/>
    </w:p>
    <w:p w14:paraId="010E13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defensible claim is:</w:t>
      </w:r>
      <w:r/>
    </w:p>
    <w:p w14:paraId="7D7E00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“The learned model outperforms this specified A3-derived forecasting baseline on the evaluated rows.”</w:t>
      </w:r>
      <w:r/>
    </w:p>
    <w:p w14:paraId="2524C6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Also compare against </w:t>
      </w:r>
      <w:r>
        <w:rPr>
          <w:rFonts w:ascii="Times New Roman" w:hAnsi="Times New Roman" w:eastAsia="Times New Roman" w:cs="Times New Roman"/>
          <w:b/>
          <w:color w:val="000000"/>
          <w:sz w:val="24"/>
        </w:rPr>
        <w:t xml:space="preserve">recent decoded A3-report history at matched false-alarm budgets</w:t>
      </w:r>
      <w:r>
        <w:rPr>
          <w:rFonts w:ascii="Times New Roman" w:hAnsi="Times New Roman" w:eastAsia="Times New Roman" w:cs="Times New Roman"/>
          <w:color w:val="000000"/>
          <w:sz w:val="24"/>
        </w:rPr>
        <w:t xml:space="preserve">. That is a more demanding practical baseline.</w:t>
      </w:r>
      <w:r/>
    </w:p>
    <w:p w14:paraId="45A855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8. High priority: report-to-command attribution is being interpreted as network intent.</w:t>
      </w:r>
      <w:r/>
    </w:p>
    <w:p w14:paraId="28CBC2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Figure 3.3 describes attribution using the latest report within two seconds. Temporal proximity does not establish which report caused a command.</w:t>
      </w:r>
      <w:r/>
    </w:p>
    <w:p w14:paraId="3117C3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Consequently:</w:t>
      </w:r>
      <w:r/>
    </w:p>
    <w:p w14:paraId="60AE44F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“A1-triggered handover” may mean “handover preceded by an A1 report.”</w:t>
      </w:r>
      <w:r/>
    </w:p>
    <w:p w14:paraId="4FBFEF3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unmatched episode was not necessarily “declined.”</w:t>
      </w:r>
      <w:r/>
    </w:p>
    <w:p w14:paraId="1C09156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Low conversion does not prove that a configuration was intended solely for monitoring.</w:t>
      </w:r>
      <w:r/>
    </w:p>
    <w:p w14:paraId="58AE791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Enforcing one-to-one matching eliminates duplicate counting but does not reveal the true causal association.</w:t>
      </w:r>
      <w:r/>
    </w:p>
    <w:p w14:paraId="3F55CF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 target PCI/carrier agreement where available, distinguish ambiguous cases, and vary the matching window. Prefer </w:t>
      </w:r>
      <w:r>
        <w:rPr>
          <w:rFonts w:ascii="Times New Roman" w:hAnsi="Times New Roman" w:eastAsia="Times New Roman" w:cs="Times New Roman"/>
          <w:b/>
          <w:color w:val="000000"/>
          <w:sz w:val="24"/>
        </w:rPr>
        <w:t xml:space="preserve">“associated with”</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“not followed by a matched command”</w:t>
      </w:r>
      <w:r>
        <w:rPr>
          <w:rFonts w:ascii="Times New Roman" w:hAnsi="Times New Roman" w:eastAsia="Times New Roman" w:cs="Times New Roman"/>
          <w:color w:val="000000"/>
          <w:sz w:val="24"/>
        </w:rPr>
        <w:t xml:space="preserve"> over “triggered by” and “declined.”</w:t>
      </w:r>
      <w:r/>
    </w:p>
    <w:p w14:paraId="5404DB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Also reconcile </w:t>
      </w:r>
      <w:r>
        <w:rPr>
          <w:rFonts w:ascii="Times New Roman" w:hAnsi="Times New Roman" w:eastAsia="Times New Roman" w:cs="Times New Roman"/>
          <w:b/>
          <w:color w:val="000000"/>
          <w:sz w:val="24"/>
        </w:rPr>
        <w:t xml:space="preserve">651 A3-associated commands</w:t>
      </w:r>
      <w:r>
        <w:rPr>
          <w:rFonts w:ascii="Times New Roman" w:hAnsi="Times New Roman" w:eastAsia="Times New Roman" w:cs="Times New Roman"/>
          <w:color w:val="000000"/>
          <w:sz w:val="24"/>
        </w:rPr>
        <w:t xml:space="preserve"> with </w:t>
      </w:r>
      <w:r>
        <w:rPr>
          <w:rFonts w:ascii="Times New Roman" w:hAnsi="Times New Roman" w:eastAsia="Times New Roman" w:cs="Times New Roman"/>
          <w:b/>
          <w:color w:val="000000"/>
          <w:sz w:val="24"/>
        </w:rPr>
        <w:t xml:space="preserve">635 episodes owning commands</w:t>
      </w:r>
      <w:r>
        <w:rPr>
          <w:rFonts w:ascii="Times New Roman" w:hAnsi="Times New Roman" w:eastAsia="Times New Roman" w:cs="Times New Roman"/>
          <w:color w:val="000000"/>
          <w:sz w:val="24"/>
        </w:rPr>
        <w:t xml:space="preserve">. Multiple commands per episode might explain it, but then the one-to-one terminology needs qualification.</w:t>
      </w:r>
      <w:r/>
    </w:p>
    <w:p w14:paraId="35926E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9. The predictive results suggest useful signal, but modest probability improvement.</w:t>
      </w:r>
      <w:r/>
    </w:p>
    <w:p w14:paraId="79AD96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Taking the main tables at face value: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83"/>
        <w:gridCol w:w="3161"/>
        <w:gridCol w:w="3010"/>
      </w:tblGrid>
      <w:tr>
        <w:trPr/>
        <w:tc>
          <w:tcPr>
            <w:tcBorders/>
            <w:tcMar>
              <w:left w:w="15" w:type="dxa"/>
              <w:top w:w="15" w:type="dxa"/>
              <w:right w:w="15" w:type="dxa"/>
              <w:bottom w:w="15" w:type="dxa"/>
            </w:tcMar>
            <w:tcW w:w="3183" w:type="dxa"/>
            <w:vAlign w:val="center"/>
          </w:tcPr>
          <w:p w14:paraId="4532B00A">
            <w:pPr>
              <w:pBdr/>
              <w:spacing w:after="0" w:before="0" w:line="240"/>
              <w:ind/>
              <w:jc w:val="center"/>
              <w:rPr/>
            </w:pPr>
            <w:r>
              <w:rPr>
                <w:rFonts w:ascii="Times New Roman" w:hAnsi="Times New Roman" w:eastAsia="Times New Roman" w:cs="Times New Roman"/>
                <w:b/>
                <w:color w:val="000000"/>
                <w:sz w:val="24"/>
              </w:rPr>
              <w:t xml:space="preserve">Result</w:t>
            </w:r>
            <w:r/>
          </w:p>
        </w:tc>
        <w:tc>
          <w:tcPr>
            <w:tcBorders/>
            <w:tcMar>
              <w:left w:w="15" w:type="dxa"/>
              <w:top w:w="15" w:type="dxa"/>
              <w:right w:w="15" w:type="dxa"/>
              <w:bottom w:w="15" w:type="dxa"/>
            </w:tcMar>
            <w:tcW w:w="3161" w:type="dxa"/>
            <w:vAlign w:val="center"/>
          </w:tcPr>
          <w:p w14:paraId="0B9BB10B">
            <w:pPr>
              <w:pBdr/>
              <w:spacing w:after="0" w:before="0" w:line="240"/>
              <w:ind/>
              <w:jc w:val="center"/>
              <w:rPr/>
            </w:pPr>
            <w:r>
              <w:rPr>
                <w:rFonts w:ascii="Times New Roman" w:hAnsi="Times New Roman" w:eastAsia="Times New Roman" w:cs="Times New Roman"/>
                <w:b/>
                <w:color w:val="000000"/>
                <w:sz w:val="24"/>
              </w:rPr>
              <w:t xml:space="preserve">What it supports</w:t>
            </w:r>
            <w:r/>
          </w:p>
        </w:tc>
        <w:tc>
          <w:tcPr>
            <w:tcBorders/>
            <w:tcMar>
              <w:left w:w="15" w:type="dxa"/>
              <w:top w:w="15" w:type="dxa"/>
              <w:right w:w="15" w:type="dxa"/>
              <w:bottom w:w="15" w:type="dxa"/>
            </w:tcMar>
            <w:tcW w:w="3010" w:type="dxa"/>
            <w:vAlign w:val="center"/>
          </w:tcPr>
          <w:p w14:paraId="0ABC1012">
            <w:pPr>
              <w:pBdr/>
              <w:spacing w:after="0" w:before="0" w:line="240"/>
              <w:ind/>
              <w:jc w:val="center"/>
              <w:rPr/>
            </w:pPr>
            <w:r>
              <w:rPr>
                <w:rFonts w:ascii="Times New Roman" w:hAnsi="Times New Roman" w:eastAsia="Times New Roman" w:cs="Times New Roman"/>
                <w:b/>
                <w:color w:val="000000"/>
                <w:sz w:val="24"/>
              </w:rPr>
              <w:t xml:space="preserve">What it does not establish</w:t>
            </w:r>
            <w:r/>
          </w:p>
        </w:tc>
      </w:tr>
      <w:tr>
        <w:trPr/>
        <w:tc>
          <w:tcPr>
            <w:tcBorders/>
            <w:tcMar>
              <w:left w:w="15" w:type="dxa"/>
              <w:top w:w="15" w:type="dxa"/>
              <w:right w:w="15" w:type="dxa"/>
              <w:bottom w:w="15" w:type="dxa"/>
            </w:tcMar>
            <w:tcW w:w="3183" w:type="dxa"/>
            <w:vAlign w:val="center"/>
          </w:tcPr>
          <w:p w14:paraId="63903168">
            <w:pPr>
              <w:pBdr/>
              <w:spacing w:after="0" w:before="0" w:line="240"/>
              <w:ind/>
              <w:rPr/>
            </w:pPr>
            <w:r>
              <w:rPr>
                <w:rFonts w:ascii="Times New Roman" w:hAnsi="Times New Roman" w:eastAsia="Times New Roman" w:cs="Times New Roman"/>
                <w:color w:val="000000"/>
                <w:sz w:val="24"/>
              </w:rPr>
              <w:t xml:space="preserve">One-second AUPRC 0.179 versus prevalence 0.068</w:t>
            </w:r>
            <w:r/>
          </w:p>
        </w:tc>
        <w:tc>
          <w:tcPr>
            <w:tcBorders/>
            <w:tcMar>
              <w:left w:w="15" w:type="dxa"/>
              <w:top w:w="15" w:type="dxa"/>
              <w:right w:w="15" w:type="dxa"/>
              <w:bottom w:w="15" w:type="dxa"/>
            </w:tcMar>
            <w:tcW w:w="3161" w:type="dxa"/>
            <w:vAlign w:val="center"/>
          </w:tcPr>
          <w:p w14:paraId="3BAAEABA">
            <w:pPr>
              <w:pBdr/>
              <w:spacing w:after="0" w:before="0" w:line="240"/>
              <w:ind/>
              <w:rPr/>
            </w:pPr>
            <w:r>
              <w:rPr>
                <w:rFonts w:ascii="Times New Roman" w:hAnsi="Times New Roman" w:eastAsia="Times New Roman" w:cs="Times New Roman"/>
                <w:color w:val="000000"/>
                <w:sz w:val="24"/>
              </w:rPr>
              <w:t xml:space="preserve">Useful discrimination above the prevalence baseline</w:t>
            </w:r>
            <w:r/>
          </w:p>
        </w:tc>
        <w:tc>
          <w:tcPr>
            <w:tcBorders/>
            <w:tcMar>
              <w:left w:w="15" w:type="dxa"/>
              <w:top w:w="15" w:type="dxa"/>
              <w:right w:w="15" w:type="dxa"/>
              <w:bottom w:w="15" w:type="dxa"/>
            </w:tcMar>
            <w:tcW w:w="3010" w:type="dxa"/>
            <w:vAlign w:val="center"/>
          </w:tcPr>
          <w:p w14:paraId="3FCE37CE">
            <w:pPr>
              <w:pBdr/>
              <w:spacing w:after="0" w:before="0" w:line="240"/>
              <w:ind/>
              <w:rPr/>
            </w:pPr>
            <w:r>
              <w:rPr>
                <w:rFonts w:ascii="Times New Roman" w:hAnsi="Times New Roman" w:eastAsia="Times New Roman" w:cs="Times New Roman"/>
                <w:color w:val="000000"/>
                <w:sz w:val="24"/>
              </w:rPr>
              <w:t xml:space="preserve">Deployment readiness</w:t>
            </w:r>
            <w:r/>
          </w:p>
        </w:tc>
      </w:tr>
      <w:tr>
        <w:trPr/>
        <w:tc>
          <w:tcPr>
            <w:tcBorders/>
            <w:tcMar>
              <w:left w:w="15" w:type="dxa"/>
              <w:top w:w="15" w:type="dxa"/>
              <w:right w:w="15" w:type="dxa"/>
              <w:bottom w:w="15" w:type="dxa"/>
            </w:tcMar>
            <w:tcW w:w="3183" w:type="dxa"/>
            <w:vAlign w:val="center"/>
          </w:tcPr>
          <w:p w14:paraId="2E7A0753">
            <w:pPr>
              <w:pBdr/>
              <w:spacing w:after="0" w:before="0" w:line="240"/>
              <w:ind/>
              <w:rPr/>
            </w:pPr>
            <w:r>
              <w:rPr>
                <w:rFonts w:ascii="Times New Roman" w:hAnsi="Times New Roman" w:eastAsia="Times New Roman" w:cs="Times New Roman"/>
                <w:color w:val="000000"/>
                <w:sz w:val="24"/>
              </w:rPr>
              <w:t xml:space="preserve">Five-second AUPRC 0.475 versus prevalence 0.261</w:t>
            </w:r>
            <w:r/>
          </w:p>
        </w:tc>
        <w:tc>
          <w:tcPr>
            <w:tcBorders/>
            <w:tcMar>
              <w:left w:w="15" w:type="dxa"/>
              <w:top w:w="15" w:type="dxa"/>
              <w:right w:w="15" w:type="dxa"/>
              <w:bottom w:w="15" w:type="dxa"/>
            </w:tcMar>
            <w:tcW w:w="3161" w:type="dxa"/>
            <w:vAlign w:val="center"/>
          </w:tcPr>
          <w:p w14:paraId="6EC6E41F">
            <w:pPr>
              <w:pBdr/>
              <w:spacing w:after="0" w:before="0" w:line="240"/>
              <w:ind/>
              <w:rPr/>
            </w:pPr>
            <w:r>
              <w:rPr>
                <w:rFonts w:ascii="Times New Roman" w:hAnsi="Times New Roman" w:eastAsia="Times New Roman" w:cs="Times New Roman"/>
                <w:color w:val="000000"/>
                <w:sz w:val="24"/>
              </w:rPr>
              <w:t xml:space="preserve">Useful longer-window ranking</w:t>
            </w:r>
            <w:r/>
          </w:p>
        </w:tc>
        <w:tc>
          <w:tcPr>
            <w:tcBorders/>
            <w:tcMar>
              <w:left w:w="15" w:type="dxa"/>
              <w:top w:w="15" w:type="dxa"/>
              <w:right w:w="15" w:type="dxa"/>
              <w:bottom w:w="15" w:type="dxa"/>
            </w:tcMar>
            <w:tcW w:w="3010" w:type="dxa"/>
            <w:vAlign w:val="center"/>
          </w:tcPr>
          <w:p w14:paraId="780CF49A">
            <w:pPr>
              <w:pBdr/>
              <w:spacing w:after="0" w:before="0" w:line="240"/>
              <w:ind/>
              <w:rPr/>
            </w:pPr>
            <w:r>
              <w:rPr>
                <w:rFonts w:ascii="Times New Roman" w:hAnsi="Times New Roman" w:eastAsia="Times New Roman" w:cs="Times New Roman"/>
                <w:color w:val="000000"/>
                <w:sz w:val="24"/>
              </w:rPr>
              <w:t xml:space="preserve">That five-second forecasting is intrinsically better</w:t>
            </w:r>
            <w:r/>
          </w:p>
        </w:tc>
      </w:tr>
      <w:tr>
        <w:trPr/>
        <w:tc>
          <w:tcPr>
            <w:tcBorders/>
            <w:tcMar>
              <w:left w:w="15" w:type="dxa"/>
              <w:top w:w="15" w:type="dxa"/>
              <w:right w:w="15" w:type="dxa"/>
              <w:bottom w:w="15" w:type="dxa"/>
            </w:tcMar>
            <w:tcW w:w="3183" w:type="dxa"/>
            <w:vAlign w:val="center"/>
          </w:tcPr>
          <w:p w14:paraId="67F269D5">
            <w:pPr>
              <w:pBdr/>
              <w:spacing w:after="0" w:before="0" w:line="240"/>
              <w:ind/>
              <w:rPr/>
            </w:pPr>
            <w:r>
              <w:rPr>
                <w:rFonts w:ascii="Times New Roman" w:hAnsi="Times New Roman" w:eastAsia="Times New Roman" w:cs="Times New Roman"/>
                <w:color w:val="000000"/>
                <w:sz w:val="24"/>
              </w:rPr>
              <w:t xml:space="preserve">One-second detection 34%, 179 false alarms/hour</w:t>
            </w:r>
            <w:r/>
          </w:p>
        </w:tc>
        <w:tc>
          <w:tcPr>
            <w:tcBorders/>
            <w:tcMar>
              <w:left w:w="15" w:type="dxa"/>
              <w:top w:w="15" w:type="dxa"/>
              <w:right w:w="15" w:type="dxa"/>
              <w:bottom w:w="15" w:type="dxa"/>
            </w:tcMar>
            <w:tcW w:w="3161" w:type="dxa"/>
            <w:vAlign w:val="center"/>
          </w:tcPr>
          <w:p w14:paraId="7E099FA2">
            <w:pPr>
              <w:pBdr/>
              <w:spacing w:after="0" w:before="0" w:line="240"/>
              <w:ind/>
              <w:rPr/>
            </w:pPr>
            <w:r>
              <w:rPr>
                <w:rFonts w:ascii="Times New Roman" w:hAnsi="Times New Roman" w:eastAsia="Times New Roman" w:cs="Times New Roman"/>
                <w:color w:val="000000"/>
                <w:sz w:val="24"/>
              </w:rPr>
              <w:t xml:space="preserve">A costly tested warning point</w:t>
            </w:r>
            <w:r/>
          </w:p>
        </w:tc>
        <w:tc>
          <w:tcPr>
            <w:tcBorders/>
            <w:tcMar>
              <w:left w:w="15" w:type="dxa"/>
              <w:top w:w="15" w:type="dxa"/>
              <w:right w:w="15" w:type="dxa"/>
              <w:bottom w:w="15" w:type="dxa"/>
            </w:tcMar>
            <w:tcW w:w="3010" w:type="dxa"/>
            <w:vAlign w:val="center"/>
          </w:tcPr>
          <w:p w14:paraId="2DE254E8">
            <w:pPr>
              <w:pBdr/>
              <w:spacing w:after="0" w:before="0" w:line="240"/>
              <w:ind/>
              <w:rPr/>
            </w:pPr>
            <w:r>
              <w:rPr>
                <w:rFonts w:ascii="Times New Roman" w:hAnsi="Times New Roman" w:eastAsia="Times New Roman" w:cs="Times New Roman"/>
                <w:color w:val="000000"/>
                <w:sz w:val="24"/>
              </w:rPr>
              <w:t xml:space="preserve">A useful network intervention</w:t>
            </w:r>
            <w:r/>
          </w:p>
        </w:tc>
      </w:tr>
      <w:tr>
        <w:trPr/>
        <w:tc>
          <w:tcPr>
            <w:tcBorders/>
            <w:tcMar>
              <w:left w:w="15" w:type="dxa"/>
              <w:top w:w="15" w:type="dxa"/>
              <w:right w:w="15" w:type="dxa"/>
              <w:bottom w:w="15" w:type="dxa"/>
            </w:tcMar>
            <w:tcW w:w="3183" w:type="dxa"/>
            <w:vAlign w:val="center"/>
          </w:tcPr>
          <w:p w14:paraId="6B443A4A">
            <w:pPr>
              <w:pBdr/>
              <w:spacing w:after="0" w:before="0" w:line="240"/>
              <w:ind/>
              <w:rPr/>
            </w:pPr>
            <w:r>
              <w:rPr>
                <w:rFonts w:ascii="Times New Roman" w:hAnsi="Times New Roman" w:eastAsia="Times New Roman" w:cs="Times New Roman"/>
                <w:color w:val="000000"/>
                <w:sz w:val="24"/>
              </w:rPr>
              <w:t xml:space="preserve">Five-second detection 42.5%, 69.6 false alarms/hour</w:t>
            </w:r>
            <w:r/>
          </w:p>
        </w:tc>
        <w:tc>
          <w:tcPr>
            <w:tcBorders/>
            <w:tcMar>
              <w:left w:w="15" w:type="dxa"/>
              <w:top w:w="15" w:type="dxa"/>
              <w:right w:w="15" w:type="dxa"/>
              <w:bottom w:w="15" w:type="dxa"/>
            </w:tcMar>
            <w:tcW w:w="3161" w:type="dxa"/>
            <w:vAlign w:val="center"/>
          </w:tcPr>
          <w:p w14:paraId="6EEC9CE2">
            <w:pPr>
              <w:pBdr/>
              <w:spacing w:after="0" w:before="0" w:line="240"/>
              <w:ind/>
              <w:rPr/>
            </w:pPr>
            <w:r>
              <w:rPr>
                <w:rFonts w:ascii="Times New Roman" w:hAnsi="Times New Roman" w:eastAsia="Times New Roman" w:cs="Times New Roman"/>
                <w:color w:val="000000"/>
                <w:sz w:val="24"/>
              </w:rPr>
              <w:t xml:space="preserve">More lead time at the reported threshold</w:t>
            </w:r>
            <w:r/>
          </w:p>
        </w:tc>
        <w:tc>
          <w:tcPr>
            <w:tcBorders/>
            <w:tcMar>
              <w:left w:w="15" w:type="dxa"/>
              <w:top w:w="15" w:type="dxa"/>
              <w:right w:w="15" w:type="dxa"/>
              <w:bottom w:w="15" w:type="dxa"/>
            </w:tcMar>
            <w:tcW w:w="3010" w:type="dxa"/>
            <w:vAlign w:val="center"/>
          </w:tcPr>
          <w:p w14:paraId="71DB38D5">
            <w:pPr>
              <w:pBdr/>
              <w:spacing w:after="0" w:before="0" w:line="240"/>
              <w:ind/>
              <w:rPr/>
            </w:pPr>
            <w:r>
              <w:rPr>
                <w:rFonts w:ascii="Times New Roman" w:hAnsi="Times New Roman" w:eastAsia="Times New Roman" w:cs="Times New Roman"/>
                <w:color w:val="000000"/>
                <w:sz w:val="24"/>
              </w:rPr>
              <w:t xml:space="preserve">Acceptable resource cost</w:t>
            </w:r>
            <w:r/>
          </w:p>
        </w:tc>
      </w:tr>
      <w:tr>
        <w:trPr/>
        <w:tc>
          <w:tcPr>
            <w:tcBorders/>
            <w:tcMar>
              <w:left w:w="15" w:type="dxa"/>
              <w:top w:w="15" w:type="dxa"/>
              <w:right w:w="15" w:type="dxa"/>
              <w:bottom w:w="15" w:type="dxa"/>
            </w:tcMar>
            <w:tcW w:w="3183" w:type="dxa"/>
            <w:vAlign w:val="center"/>
          </w:tcPr>
          <w:p w14:paraId="27936740">
            <w:pPr>
              <w:pBdr/>
              <w:spacing w:after="0" w:before="0" w:line="240"/>
              <w:ind/>
              <w:rPr/>
            </w:pPr>
            <w:r>
              <w:rPr>
                <w:rFonts w:ascii="Times New Roman" w:hAnsi="Times New Roman" w:eastAsia="Times New Roman" w:cs="Times New Roman"/>
                <w:color w:val="000000"/>
                <w:sz w:val="24"/>
              </w:rPr>
              <w:t xml:space="preserve">Zero horizon violations</w:t>
            </w:r>
            <w:r/>
          </w:p>
        </w:tc>
        <w:tc>
          <w:tcPr>
            <w:tcBorders/>
            <w:tcMar>
              <w:left w:w="15" w:type="dxa"/>
              <w:top w:w="15" w:type="dxa"/>
              <w:right w:w="15" w:type="dxa"/>
              <w:bottom w:w="15" w:type="dxa"/>
            </w:tcMar>
            <w:tcW w:w="3161" w:type="dxa"/>
            <w:vAlign w:val="center"/>
          </w:tcPr>
          <w:p w14:paraId="42E25BB7">
            <w:pPr>
              <w:pBdr/>
              <w:spacing w:after="0" w:before="0" w:line="240"/>
              <w:ind/>
              <w:rPr/>
            </w:pPr>
            <w:r>
              <w:rPr>
                <w:rFonts w:ascii="Times New Roman" w:hAnsi="Times New Roman" w:eastAsia="Times New Roman" w:cs="Times New Roman"/>
                <w:color w:val="000000"/>
                <w:sz w:val="24"/>
              </w:rPr>
              <w:t xml:space="preserve">Correct structural coherence</w:t>
            </w:r>
            <w:r/>
          </w:p>
        </w:tc>
        <w:tc>
          <w:tcPr>
            <w:tcBorders/>
            <w:tcMar>
              <w:left w:w="15" w:type="dxa"/>
              <w:top w:w="15" w:type="dxa"/>
              <w:right w:w="15" w:type="dxa"/>
              <w:bottom w:w="15" w:type="dxa"/>
            </w:tcMar>
            <w:tcW w:w="3010" w:type="dxa"/>
            <w:vAlign w:val="center"/>
          </w:tcPr>
          <w:p w14:paraId="6E02779D">
            <w:pPr>
              <w:pBdr/>
              <w:spacing w:after="0" w:before="0" w:line="240"/>
              <w:ind/>
              <w:rPr/>
            </w:pPr>
            <w:r>
              <w:rPr>
                <w:rFonts w:ascii="Times New Roman" w:hAnsi="Times New Roman" w:eastAsia="Times New Roman" w:cs="Times New Roman"/>
                <w:color w:val="000000"/>
                <w:sz w:val="24"/>
              </w:rPr>
              <w:t xml:space="preserve">Accurate probabilities</w:t>
            </w:r>
            <w:r/>
          </w:p>
        </w:tc>
      </w:tr>
    </w:tbl>
    <w:p w14:paraId="30895B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Brier comparison is worth adding:</w:t>
      </w:r>
      <w:r/>
    </w:p>
    <w:p w14:paraId="03EE36B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constant predictor equal to prevalence has Brier score \(p(1-p)\).</w:t>
      </w:r>
      <w:r/>
    </w:p>
    <w:p w14:paraId="3B2F409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At one second:\[ 0.068(1-0.068)=0.063376. \]</w:t>
      </w:r>
      <w:r/>
    </w:p>
    <w:p w14:paraId="6BDF2A4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Your model reports </w:t>
      </w:r>
      <w:r>
        <w:rPr>
          <w:rFonts w:ascii="Times New Roman" w:hAnsi="Times New Roman" w:eastAsia="Times New Roman" w:cs="Times New Roman"/>
          <w:b/>
          <w:color w:val="000000"/>
          <w:sz w:val="24"/>
        </w:rPr>
        <w:t xml:space="preserve">0.060</w:t>
      </w:r>
      <w:r>
        <w:rPr>
          <w:rFonts w:ascii="Times New Roman" w:hAnsi="Times New Roman" w:eastAsia="Times New Roman" w:cs="Times New Roman"/>
          <w:color w:val="000000"/>
          <w:sz w:val="24"/>
        </w:rPr>
        <w:t xml:space="preserve">, approximately </w:t>
      </w:r>
      <w:r>
        <w:rPr>
          <w:rFonts w:ascii="Times New Roman" w:hAnsi="Times New Roman" w:eastAsia="Times New Roman" w:cs="Times New Roman"/>
          <w:b/>
          <w:color w:val="000000"/>
          <w:sz w:val="24"/>
        </w:rPr>
        <w:t xml:space="preserve">5.3% lower</w:t>
      </w:r>
      <w:r>
        <w:rPr>
          <w:rFonts w:ascii="Times New Roman" w:hAnsi="Times New Roman" w:eastAsia="Times New Roman" w:cs="Times New Roman"/>
          <w:color w:val="000000"/>
          <w:sz w:val="24"/>
        </w:rPr>
        <w:t xml:space="preserve">.</w:t>
      </w:r>
      <w:r/>
    </w:p>
    <w:p w14:paraId="3C0A43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 is a modest improvement against this descriptive constant baseline. For a deployable benchmark, estimate the constant from training data.</w:t>
      </w:r>
      <w:r/>
    </w:p>
    <w:p w14:paraId="242D96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Also, ECE </w:t>
      </w:r>
      <w:r>
        <w:rPr>
          <w:rFonts w:ascii="Times New Roman" w:hAnsi="Times New Roman" w:eastAsia="Times New Roman" w:cs="Times New Roman"/>
          <w:b/>
          <w:color w:val="000000"/>
          <w:sz w:val="24"/>
        </w:rPr>
        <w:t xml:space="preserve">0.012</w:t>
      </w:r>
      <w:r>
        <w:rPr>
          <w:rFonts w:ascii="Times New Roman" w:hAnsi="Times New Roman" w:eastAsia="Times New Roman" w:cs="Times New Roman"/>
          <w:color w:val="000000"/>
          <w:sz w:val="24"/>
        </w:rPr>
        <w:t xml:space="preserve"> does not establish the specific claim that predictions near 0.8 succeed 80% of the time. Show reliability plots, bin counts and uncertainty, especially in the alarm region. Calibration concerns probability–frequency agreement, as discussed by </w:t>
      </w:r>
      <w:hyperlink r:id="rId12" w:tooltip="https://arxiv.org/abs/1706.04599?utm_source=chatgpt.com" w:history="1">
        <w:r>
          <w:rPr>
            <w:rStyle w:val="187"/>
            <w:rFonts w:ascii="Times New Roman" w:hAnsi="Times New Roman" w:eastAsia="Times New Roman" w:cs="Times New Roman"/>
            <w:color w:val="0000ee"/>
            <w:sz w:val="24"/>
            <w:u w:val="none"/>
          </w:rPr>
          <w:t xml:space="preserve">Guo et al.</w:t>
        </w:r>
      </w:hyperlink>
      <w:r>
        <w:rPr>
          <w:rFonts w:ascii="Times New Roman" w:hAnsi="Times New Roman" w:eastAsia="Times New Roman" w:cs="Times New Roman"/>
          <w:color w:val="000000"/>
          <w:sz w:val="24"/>
        </w:rPr>
        <w:t xml:space="preserve">.</w:t>
      </w:r>
      <w:r/>
    </w:p>
    <w:p w14:paraId="03677F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10. The workflow has good safeguards, but important gaps remain.</w:t>
      </w:r>
      <w:r/>
    </w:p>
    <w:p w14:paraId="235E7A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Campaign-level holdouts and separating tuned, fixed-parameter and coherence experiments are sensible. Preserve them.</w:t>
      </w:r>
      <w:r/>
    </w:p>
    <w:p w14:paraId="7834BE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However:</w:t>
      </w:r>
      <w:r/>
    </w:p>
    <w:p w14:paraId="23BB19F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Four sessions are four clusters, not proven independent draws from the wider deployment population.</w:t>
      </w:r>
      <w:r/>
    </w:p>
    <w:p w14:paraId="41E8D73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manuscript correctly admits that alignment changes followed inspection of all campaigns. The final results should therefore remain </w:t>
      </w:r>
      <w:r>
        <w:rPr>
          <w:rFonts w:ascii="Times New Roman" w:hAnsi="Times New Roman" w:eastAsia="Times New Roman" w:cs="Times New Roman"/>
          <w:b/>
          <w:color w:val="000000"/>
          <w:sz w:val="24"/>
        </w:rPr>
        <w:t xml:space="preserve">exploratory</w:t>
      </w:r>
      <w:r>
        <w:rPr>
          <w:rFonts w:ascii="Times New Roman" w:hAnsi="Times New Roman" w:eastAsia="Times New Roman" w:cs="Times New Roman"/>
          <w:color w:val="000000"/>
          <w:sz w:val="24"/>
        </w:rPr>
        <w:t xml:space="preserve">.</w:t>
      </w:r>
      <w:r/>
    </w:p>
    <w:p w14:paraId="1C2D3B4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Sequence models receive ten feature vectors; tabular models receive one engineered vector. Their information inputs are related, but not identical.</w:t>
      </w:r>
      <w:r/>
    </w:p>
    <w:p w14:paraId="27B5D8F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higher random-split score does not prove that 180-second block bootstrapping is invalid. Prediction leakage and bootstrap validity require separate arguments.</w:t>
      </w:r>
      <w:r/>
    </w:p>
    <w:p w14:paraId="0B8C686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Define alarm episodes, merging, cooldowns, event matching and exposure time explicitly.</w:t>
      </w:r>
      <w:r/>
    </w:p>
    <w:p w14:paraId="0BBD8D4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Distinguish a threshold targeting </w:t>
      </w:r>
      <w:r>
        <w:rPr>
          <w:rFonts w:ascii="Times New Roman" w:hAnsi="Times New Roman" w:eastAsia="Times New Roman" w:cs="Times New Roman"/>
          <w:b/>
          <w:color w:val="000000"/>
          <w:sz w:val="24"/>
        </w:rPr>
        <w:t xml:space="preserve">5% calibration FPR</w:t>
      </w:r>
      <w:r>
        <w:rPr>
          <w:rFonts w:ascii="Times New Roman" w:hAnsi="Times New Roman" w:eastAsia="Times New Roman" w:cs="Times New Roman"/>
          <w:color w:val="000000"/>
          <w:sz w:val="24"/>
        </w:rPr>
        <w:t xml:space="preserve"> from an observed </w:t>
      </w:r>
      <w:r>
        <w:rPr>
          <w:rFonts w:ascii="Times New Roman" w:hAnsi="Times New Roman" w:eastAsia="Times New Roman" w:cs="Times New Roman"/>
          <w:b/>
          <w:color w:val="000000"/>
          <w:sz w:val="24"/>
        </w:rPr>
        <w:t xml:space="preserve">5% test FPR</w:t>
      </w:r>
      <w:r>
        <w:rPr>
          <w:rFonts w:ascii="Times New Roman" w:hAnsi="Times New Roman" w:eastAsia="Times New Roman" w:cs="Times New Roman"/>
          <w:color w:val="000000"/>
          <w:sz w:val="24"/>
        </w:rPr>
        <w:t xml:space="preserve">.</w:t>
      </w:r>
      <w:r/>
    </w:p>
    <w:p w14:paraId="17F4642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State whether hyperparameter selection and conformal calibration reuse the same observations.</w:t>
      </w:r>
      <w:r/>
    </w:p>
    <w:p w14:paraId="247B597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Explain why tuned logistic regression scores </w:t>
      </w:r>
      <w:r>
        <w:rPr>
          <w:rFonts w:ascii="Times New Roman" w:hAnsi="Times New Roman" w:eastAsia="Times New Roman" w:cs="Times New Roman"/>
          <w:b/>
          <w:color w:val="000000"/>
          <w:sz w:val="24"/>
        </w:rPr>
        <w:t xml:space="preserve">0.130</w:t>
      </w:r>
      <w:r>
        <w:rPr>
          <w:rFonts w:ascii="Times New Roman" w:hAnsi="Times New Roman" w:eastAsia="Times New Roman" w:cs="Times New Roman"/>
          <w:color w:val="000000"/>
          <w:sz w:val="24"/>
        </w:rPr>
        <w:t xml:space="preserve">, while the fixed-parameter version scores </w:t>
      </w:r>
      <w:r>
        <w:rPr>
          <w:rFonts w:ascii="Times New Roman" w:hAnsi="Times New Roman" w:eastAsia="Times New Roman" w:cs="Times New Roman"/>
          <w:b/>
          <w:color w:val="000000"/>
          <w:sz w:val="24"/>
        </w:rPr>
        <w:t xml:space="preserve">0.167</w:t>
      </w:r>
      <w:r>
        <w:rPr>
          <w:rFonts w:ascii="Times New Roman" w:hAnsi="Times New Roman" w:eastAsia="Times New Roman" w:cs="Times New Roman"/>
          <w:color w:val="000000"/>
          <w:sz w:val="24"/>
        </w:rPr>
        <w:t xml:space="preserve">. This can happen, but deserves examination.</w:t>
      </w:r>
      <w:r/>
    </w:p>
    <w:p w14:paraId="41DBD4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fresh campaign collected after the pipeline is frozen would provide more convincing evidence than adding another model architecture.</w:t>
      </w:r>
      <w:r/>
    </w:p>
    <w:p w14:paraId="3B2316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11. External validation and the literature audit need narrower claims.</w:t>
      </w:r>
      <w:r/>
    </w:p>
    <w:p w14:paraId="298EC6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Section 5.7 appropriately admits that its external experiment tests a </w:t>
      </w:r>
      <w:r>
        <w:rPr>
          <w:rFonts w:ascii="Times New Roman" w:hAnsi="Times New Roman" w:eastAsia="Times New Roman" w:cs="Times New Roman"/>
          <w:b/>
          <w:color w:val="000000"/>
          <w:sz w:val="24"/>
        </w:rPr>
        <w:t xml:space="preserve">six-feature signalling model</w:t>
      </w:r>
      <w:r>
        <w:rPr>
          <w:rFonts w:ascii="Times New Roman" w:hAnsi="Times New Roman" w:eastAsia="Times New Roman" w:cs="Times New Roman"/>
          <w:color w:val="000000"/>
          <w:sz w:val="24"/>
        </w:rPr>
        <w:t xml:space="preserve">, not the primary 112-feature model. That limitation must also govern the abstract and objective assessment.</w:t>
      </w:r>
      <w:r/>
    </w:p>
    <w:p w14:paraId="01EC80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statement that the public dataset does not provide periodic radio exports needs checking against the actual files used. Its official description explicitly mentions raw CSVs, radio measurements, velocity, cell IDs, signalling and processed interpolated</w:t>
      </w:r>
      <w:r>
        <w:rPr>
          <w:rFonts w:ascii="Times New Roman" w:hAnsi="Times New Roman" w:eastAsia="Times New Roman" w:cs="Times New Roman"/>
          <w:color w:val="000000"/>
          <w:sz w:val="24"/>
        </w:rPr>
        <w:t xml:space="preserve"> data. This does not prove that every required feature is available, but it requires a file-level explanation. </w:t>
      </w:r>
      <w:r>
        <w:rPr>
          <w:rFonts w:ascii="Times New Roman" w:hAnsi="Times New Roman" w:eastAsia="Times New Roman" w:cs="Times New Roman"/>
          <w:b/>
          <w:color w:val="000000"/>
          <w:sz w:val="24"/>
        </w:rPr>
        <w:t xml:space="preserve">Confirm that labels were reconstructed from signalling rather than inherited from its TTT-refined processed labels.</w:t>
      </w:r>
      <w:r>
        <w:rPr>
          <w:rFonts w:ascii="Times New Roman" w:hAnsi="Times New Roman" w:eastAsia="Times New Roman" w:cs="Times New Roman"/>
          <w:color w:val="000000"/>
          <w:sz w:val="24"/>
        </w:rPr>
        <w:t xml:space="preserve"> </w:t>
      </w:r>
      <w:hyperlink r:id="rId13" w:tooltip="https://data.mendeley.com/datasets/n2pvmtyn2j/1?utm_source=chatgpt.com" w:history="1">
        <w:r>
          <w:rPr>
            <w:rStyle w:val="187"/>
            <w:rFonts w:ascii="Times New Roman" w:hAnsi="Times New Roman" w:eastAsia="Times New Roman" w:cs="Times New Roman"/>
            <w:color w:val="0000ee"/>
            <w:sz w:val="24"/>
            <w:u w:val="none"/>
          </w:rPr>
          <w:t xml:space="preserve">Official dataset record</w:t>
        </w:r>
      </w:hyperlink>
      <w:r/>
      <w:r/>
    </w:p>
    <w:p w14:paraId="271886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literature audit has internal inconsistencies:</w:t>
      </w:r>
      <w:r/>
    </w:p>
    <w:p w14:paraId="72A092A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Kabeer and Mandapati are described as outside the screened set, but appear in Appendix D.</w:t>
      </w:r>
      <w:r/>
    </w:p>
    <w:p w14:paraId="3B4DA2DD">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“22 prediction models” include a dataset entry explicitly marked as having no trained models.</w:t>
      </w:r>
      <w:r/>
    </w:p>
    <w:p w14:paraId="21C610D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Some rows are unverified or not applicable, yet broad counts use 22 as the denominator.</w:t>
      </w:r>
      <w:r/>
    </w:p>
    <w:p w14:paraId="4EC13DA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exclusion of Prognos needs a consistent methodological justification, particularly because the manuscript identifies it as a close comparator.</w:t>
      </w:r>
      <w:r/>
    </w:p>
    <w:p w14:paraId="14D049F7">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Several references retain unfinished verification notes.</w:t>
      </w:r>
      <w:r/>
    </w:p>
    <w:p w14:paraId="53B01D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Do not base a “none of the literature does this” claim on the current audit table.</w:t>
      </w:r>
      <w:r/>
    </w:p>
    <w:p w14:paraId="0E627B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12. Other technical statements should be corrected.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781"/>
        <w:gridCol w:w="6573"/>
      </w:tblGrid>
      <w:tr>
        <w:trPr/>
        <w:tc>
          <w:tcPr>
            <w:tcBorders/>
            <w:tcMar>
              <w:left w:w="15" w:type="dxa"/>
              <w:top w:w="15" w:type="dxa"/>
              <w:right w:w="15" w:type="dxa"/>
              <w:bottom w:w="15" w:type="dxa"/>
            </w:tcMar>
            <w:tcW w:w="2781" w:type="dxa"/>
            <w:vAlign w:val="center"/>
          </w:tcPr>
          <w:p w14:paraId="47962E7C">
            <w:pPr>
              <w:pBdr/>
              <w:spacing w:after="0" w:before="0" w:line="240"/>
              <w:ind/>
              <w:jc w:val="center"/>
              <w:rPr/>
            </w:pPr>
            <w:r>
              <w:rPr>
                <w:rFonts w:ascii="Times New Roman" w:hAnsi="Times New Roman" w:eastAsia="Times New Roman" w:cs="Times New Roman"/>
                <w:b/>
                <w:color w:val="000000"/>
                <w:sz w:val="24"/>
              </w:rPr>
              <w:t xml:space="preserve">Statement</w:t>
            </w:r>
            <w:r/>
          </w:p>
        </w:tc>
        <w:tc>
          <w:tcPr>
            <w:tcBorders/>
            <w:tcMar>
              <w:left w:w="15" w:type="dxa"/>
              <w:top w:w="15" w:type="dxa"/>
              <w:right w:w="15" w:type="dxa"/>
              <w:bottom w:w="15" w:type="dxa"/>
            </w:tcMar>
            <w:tcW w:w="6573" w:type="dxa"/>
            <w:vAlign w:val="center"/>
          </w:tcPr>
          <w:p w14:paraId="21FEDE37">
            <w:pPr>
              <w:pBdr/>
              <w:spacing w:after="0" w:before="0" w:line="240"/>
              <w:ind/>
              <w:jc w:val="center"/>
              <w:rPr/>
            </w:pPr>
            <w:r>
              <w:rPr>
                <w:rFonts w:ascii="Times New Roman" w:hAnsi="Times New Roman" w:eastAsia="Times New Roman" w:cs="Times New Roman"/>
                <w:b/>
                <w:color w:val="000000"/>
                <w:sz w:val="24"/>
              </w:rPr>
              <w:t xml:space="preserve">Issue</w:t>
            </w:r>
            <w:r/>
          </w:p>
        </w:tc>
      </w:tr>
      <w:tr>
        <w:trPr/>
        <w:tc>
          <w:tcPr>
            <w:tcBorders/>
            <w:tcMar>
              <w:left w:w="15" w:type="dxa"/>
              <w:top w:w="15" w:type="dxa"/>
              <w:right w:w="15" w:type="dxa"/>
              <w:bottom w:w="15" w:type="dxa"/>
            </w:tcMar>
            <w:tcW w:w="2781" w:type="dxa"/>
            <w:vAlign w:val="center"/>
          </w:tcPr>
          <w:p w14:paraId="73FC9BD2">
            <w:pPr>
              <w:pBdr/>
              <w:spacing w:after="0" w:before="0" w:line="240"/>
              <w:ind/>
              <w:rPr/>
            </w:pPr>
            <w:r>
              <w:rPr>
                <w:rFonts w:ascii="Times New Roman" w:hAnsi="Times New Roman" w:eastAsia="Times New Roman" w:cs="Times New Roman"/>
                <w:color w:val="000000"/>
                <w:sz w:val="24"/>
              </w:rPr>
              <w:t xml:space="preserve">Class weighting preserves ranking throughout the hazard model</w:t>
            </w:r>
            <w:r/>
          </w:p>
        </w:tc>
        <w:tc>
          <w:tcPr>
            <w:tcBorders/>
            <w:tcMar>
              <w:left w:w="15" w:type="dxa"/>
              <w:top w:w="15" w:type="dxa"/>
              <w:right w:w="15" w:type="dxa"/>
              <w:bottom w:w="15" w:type="dxa"/>
            </w:tcMar>
            <w:tcW w:w="6573" w:type="dxa"/>
            <w:vAlign w:val="center"/>
          </w:tcPr>
          <w:p w14:paraId="5BF165C4">
            <w:pPr>
              <w:pBdr/>
              <w:spacing w:after="0" w:before="0" w:line="240"/>
              <w:ind/>
              <w:rPr/>
            </w:pPr>
            <w:r>
              <w:rPr>
                <w:rFonts w:ascii="Times New Roman" w:hAnsi="Times New Roman" w:eastAsia="Times New Roman" w:cs="Times New Roman"/>
                <w:color w:val="000000"/>
                <w:sz w:val="24"/>
              </w:rPr>
              <w:t xml:space="preserve">Monotonic transformation of each hazard does not generally preserve ranking after combining hazards across bins. Retraining also changes more than the probability scale.</w:t>
            </w:r>
            <w:r/>
          </w:p>
        </w:tc>
      </w:tr>
      <w:tr>
        <w:trPr/>
        <w:tc>
          <w:tcPr>
            <w:tcBorders/>
            <w:tcMar>
              <w:left w:w="15" w:type="dxa"/>
              <w:top w:w="15" w:type="dxa"/>
              <w:right w:w="15" w:type="dxa"/>
              <w:bottom w:w="15" w:type="dxa"/>
            </w:tcMar>
            <w:tcW w:w="2781" w:type="dxa"/>
            <w:vAlign w:val="center"/>
          </w:tcPr>
          <w:p w14:paraId="5DB26CEE">
            <w:pPr>
              <w:pBdr/>
              <w:spacing w:after="0" w:before="0" w:line="240"/>
              <w:ind/>
              <w:rPr/>
            </w:pPr>
            <w:r>
              <w:rPr>
                <w:rFonts w:ascii="Times New Roman" w:hAnsi="Times New Roman" w:eastAsia="Times New Roman" w:cs="Times New Roman"/>
                <w:color w:val="000000"/>
                <w:sz w:val="24"/>
              </w:rPr>
              <w:t xml:space="preserve">Temperature scaling cannot change horizon ordering</w:t>
            </w:r>
            <w:r/>
          </w:p>
        </w:tc>
        <w:tc>
          <w:tcPr>
            <w:tcBorders/>
            <w:tcMar>
              <w:left w:w="15" w:type="dxa"/>
              <w:top w:w="15" w:type="dxa"/>
              <w:right w:w="15" w:type="dxa"/>
              <w:bottom w:w="15" w:type="dxa"/>
            </w:tcMar>
            <w:tcW w:w="6573" w:type="dxa"/>
            <w:vAlign w:val="center"/>
          </w:tcPr>
          <w:p w14:paraId="0DC8D223">
            <w:pPr>
              <w:pBdr/>
              <w:spacing w:after="0" w:before="0" w:line="240"/>
              <w:ind/>
              <w:rPr/>
            </w:pPr>
            <w:r>
              <w:rPr>
                <w:rFonts w:ascii="Times New Roman" w:hAnsi="Times New Roman" w:eastAsia="Times New Roman" w:cs="Times New Roman"/>
                <w:color w:val="000000"/>
                <w:sz w:val="24"/>
              </w:rPr>
              <w:t xml:space="preserve">True for one shared increasing transformation; not generally true for separately fitted temperatures across horizons.</w:t>
            </w:r>
            <w:r/>
          </w:p>
        </w:tc>
      </w:tr>
      <w:tr>
        <w:trPr/>
        <w:tc>
          <w:tcPr>
            <w:tcBorders/>
            <w:tcMar>
              <w:left w:w="15" w:type="dxa"/>
              <w:top w:w="15" w:type="dxa"/>
              <w:right w:w="15" w:type="dxa"/>
              <w:bottom w:w="15" w:type="dxa"/>
            </w:tcMar>
            <w:tcW w:w="2781" w:type="dxa"/>
            <w:vAlign w:val="center"/>
          </w:tcPr>
          <w:p w14:paraId="77A077A4">
            <w:pPr>
              <w:pBdr/>
              <w:spacing w:after="0" w:before="0" w:line="240"/>
              <w:ind/>
              <w:rPr/>
            </w:pPr>
            <w:r>
              <w:rPr>
                <w:rFonts w:ascii="Times New Roman" w:hAnsi="Times New Roman" w:eastAsia="Times New Roman" w:cs="Times New Roman"/>
                <w:color w:val="000000"/>
                <w:sz w:val="24"/>
              </w:rPr>
              <w:t xml:space="preserve">A Hawkes residual-test rejection proves the decay is non-exponential</w:t>
            </w:r>
            <w:r/>
          </w:p>
        </w:tc>
        <w:tc>
          <w:tcPr>
            <w:tcBorders/>
            <w:tcMar>
              <w:left w:w="15" w:type="dxa"/>
              <w:top w:w="15" w:type="dxa"/>
              <w:right w:w="15" w:type="dxa"/>
              <w:bottom w:w="15" w:type="dxa"/>
            </w:tcMar>
            <w:tcW w:w="6573" w:type="dxa"/>
            <w:vAlign w:val="center"/>
          </w:tcPr>
          <w:p w14:paraId="1252D7AF">
            <w:pPr>
              <w:pBdr/>
              <w:spacing w:after="0" w:before="0" w:line="240"/>
              <w:ind/>
              <w:rPr/>
            </w:pPr>
            <w:r>
              <w:rPr>
                <w:rFonts w:ascii="Times New Roman" w:hAnsi="Times New Roman" w:eastAsia="Times New Roman" w:cs="Times New Roman"/>
                <w:color w:val="000000"/>
                <w:sz w:val="24"/>
              </w:rPr>
              <w:t xml:space="preserve">Rejection concerns the fitted model as a whole. A varying baseline or omitted covariates could also explain it.</w:t>
            </w:r>
            <w:r/>
          </w:p>
        </w:tc>
      </w:tr>
      <w:tr>
        <w:trPr/>
        <w:tc>
          <w:tcPr>
            <w:tcBorders/>
            <w:tcMar>
              <w:left w:w="15" w:type="dxa"/>
              <w:top w:w="15" w:type="dxa"/>
              <w:right w:w="15" w:type="dxa"/>
              <w:bottom w:w="15" w:type="dxa"/>
            </w:tcMar>
            <w:tcW w:w="2781" w:type="dxa"/>
            <w:vAlign w:val="center"/>
          </w:tcPr>
          <w:p w14:paraId="7B651673">
            <w:pPr>
              <w:pBdr/>
              <w:spacing w:after="0" w:before="0" w:line="240"/>
              <w:ind/>
              <w:rPr/>
            </w:pPr>
            <w:r>
              <w:rPr>
                <w:rFonts w:ascii="Times New Roman" w:hAnsi="Times New Roman" w:eastAsia="Times New Roman" w:cs="Times New Roman"/>
                <w:color w:val="000000"/>
                <w:sz w:val="24"/>
              </w:rPr>
              <w:t xml:space="preserve">No exported neighbour means an A3 report is impossible</w:t>
            </w:r>
            <w:r/>
          </w:p>
        </w:tc>
        <w:tc>
          <w:tcPr>
            <w:tcBorders/>
            <w:tcMar>
              <w:left w:w="15" w:type="dxa"/>
              <w:top w:w="15" w:type="dxa"/>
              <w:right w:w="15" w:type="dxa"/>
              <w:bottom w:w="15" w:type="dxa"/>
            </w:tcMar>
            <w:tcW w:w="6573" w:type="dxa"/>
            <w:vAlign w:val="center"/>
          </w:tcPr>
          <w:p w14:paraId="4282756C">
            <w:pPr>
              <w:pBdr/>
              <w:spacing w:after="0" w:before="0" w:line="240"/>
              <w:ind/>
              <w:rPr/>
            </w:pPr>
            <w:r>
              <w:rPr>
                <w:rFonts w:ascii="Times New Roman" w:hAnsi="Times New Roman" w:eastAsia="Times New Roman" w:cs="Times New Roman"/>
                <w:color w:val="000000"/>
                <w:sz w:val="24"/>
              </w:rPr>
              <w:t xml:space="preserve">Missing export information does not prove the UE had no qualifying measurement.</w:t>
            </w:r>
            <w:r/>
          </w:p>
        </w:tc>
      </w:tr>
      <w:tr>
        <w:trPr/>
        <w:tc>
          <w:tcPr>
            <w:tcBorders/>
            <w:tcMar>
              <w:left w:w="15" w:type="dxa"/>
              <w:top w:w="15" w:type="dxa"/>
              <w:right w:w="15" w:type="dxa"/>
              <w:bottom w:w="15" w:type="dxa"/>
            </w:tcMar>
            <w:tcW w:w="2781" w:type="dxa"/>
            <w:vAlign w:val="center"/>
          </w:tcPr>
          <w:p w14:paraId="1E30A5C9">
            <w:pPr>
              <w:pBdr/>
              <w:spacing w:after="0" w:before="0" w:line="240"/>
              <w:ind/>
              <w:rPr/>
            </w:pPr>
            <w:r>
              <w:rPr>
                <w:rFonts w:ascii="Times New Roman" w:hAnsi="Times New Roman" w:eastAsia="Times New Roman" w:cs="Times New Roman"/>
                <w:color w:val="000000"/>
                <w:sz w:val="24"/>
              </w:rPr>
              <w:t xml:space="preserve">A3 determinism establishes deterministic handover-policy propensities</w:t>
            </w:r>
            <w:r/>
          </w:p>
        </w:tc>
        <w:tc>
          <w:tcPr>
            <w:tcBorders/>
            <w:tcMar>
              <w:left w:w="15" w:type="dxa"/>
              <w:top w:w="15" w:type="dxa"/>
              <w:right w:w="15" w:type="dxa"/>
              <w:bottom w:w="15" w:type="dxa"/>
            </w:tcMar>
            <w:tcW w:w="6573" w:type="dxa"/>
            <w:vAlign w:val="center"/>
          </w:tcPr>
          <w:p w14:paraId="74498DDE">
            <w:pPr>
              <w:pBdr/>
              <w:spacing w:after="0" w:before="0" w:line="240"/>
              <w:ind/>
              <w:rPr/>
            </w:pPr>
            <w:r>
              <w:rPr>
                <w:rFonts w:ascii="Times New Roman" w:hAnsi="Times New Roman" w:eastAsia="Times New Roman" w:cs="Times New Roman"/>
                <w:color w:val="000000"/>
                <w:sz w:val="24"/>
              </w:rPr>
              <w:t xml:space="preserve">The measurement trigger and the network’s action policy are different objects.</w:t>
            </w:r>
            <w:r/>
          </w:p>
        </w:tc>
      </w:tr>
      <w:tr>
        <w:trPr/>
        <w:tc>
          <w:tcPr>
            <w:tcBorders/>
            <w:tcMar>
              <w:left w:w="15" w:type="dxa"/>
              <w:top w:w="15" w:type="dxa"/>
              <w:right w:w="15" w:type="dxa"/>
              <w:bottom w:w="15" w:type="dxa"/>
            </w:tcMar>
            <w:tcW w:w="2781" w:type="dxa"/>
            <w:vAlign w:val="center"/>
          </w:tcPr>
          <w:p w14:paraId="7CDECA9F">
            <w:pPr>
              <w:pBdr/>
              <w:spacing w:after="0" w:before="0" w:line="240"/>
              <w:ind/>
              <w:rPr/>
            </w:pPr>
            <w:r>
              <w:rPr>
                <w:rFonts w:ascii="Times New Roman" w:hAnsi="Times New Roman" w:eastAsia="Times New Roman" w:cs="Times New Roman"/>
                <w:color w:val="000000"/>
                <w:sz w:val="24"/>
              </w:rPr>
              <w:t xml:space="preserve">Returning to the previous cell proves the first handover was unnecessary</w:t>
            </w:r>
            <w:r/>
          </w:p>
        </w:tc>
        <w:tc>
          <w:tcPr>
            <w:tcBorders/>
            <w:tcMar>
              <w:left w:w="15" w:type="dxa"/>
              <w:top w:w="15" w:type="dxa"/>
              <w:right w:w="15" w:type="dxa"/>
              <w:bottom w:w="15" w:type="dxa"/>
            </w:tcMar>
            <w:tcW w:w="6573" w:type="dxa"/>
            <w:vAlign w:val="center"/>
          </w:tcPr>
          <w:p w14:paraId="444810FA">
            <w:pPr>
              <w:pBdr/>
              <w:spacing w:after="0" w:before="0" w:line="240"/>
              <w:ind/>
              <w:rPr/>
            </w:pPr>
            <w:r>
              <w:rPr>
                <w:rFonts w:ascii="Times New Roman" w:hAnsi="Times New Roman" w:eastAsia="Times New Roman" w:cs="Times New Roman"/>
                <w:color w:val="000000"/>
                <w:sz w:val="24"/>
              </w:rPr>
              <w:t xml:space="preserve">A return does not establish the counterfactual service quality without the first transfer.</w:t>
            </w:r>
            <w:r/>
          </w:p>
        </w:tc>
      </w:tr>
    </w:tbl>
    <w:p w14:paraId="71DA8B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My recommendation is to keep the research direction and narrow its central claim:</w:t>
      </w:r>
      <w:r>
        <w:rPr>
          <w:rFonts w:ascii="Times New Roman" w:hAnsi="Times New Roman" w:eastAsia="Times New Roman" w:cs="Times New Roman"/>
          <w:color w:val="000000"/>
          <w:sz w:val="24"/>
        </w:rPr>
        <w:t xml:space="preserve"> trustworthy evaluation of multi-horizon handover forecasting from commercial drive-test logs.</w:t>
      </w:r>
      <w:r/>
    </w:p>
    <w:p w14:paraId="0198BE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Complete the remaining work in this order:</w:t>
      </w:r>
      <w:r/>
    </w:p>
    <w:p w14:paraId="322B658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Reconcile every table, figure, feature count and event population.</w:t>
      </w:r>
      <w:r/>
    </w:p>
    <w:p w14:paraId="06E610AC">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Audit command extraction, completion matching and timestamp availability.</w:t>
      </w:r>
      <w:r/>
    </w:p>
    <w:p w14:paraId="2BC4C7D3">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Recompute event detectability with blanking, gaps and sampling separated.</w:t>
      </w:r>
      <w:r/>
    </w:p>
    <w:p w14:paraId="2DA8FC0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Correct the conformal mathematics and remove unsupported certification language.</w:t>
      </w:r>
      <w:r/>
    </w:p>
    <w:p w14:paraId="632C88C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Specify and strengthen the A3/report-history and operational warning baselines.</w:t>
      </w:r>
      <w:r/>
    </w:p>
    <w:p w14:paraId="4408231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Freeze the pipeline and evaluate one genuinely untouched session.</w:t>
      </w:r>
      <w:r/>
    </w:p>
    <w:p w14:paraId="6030A38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Generate the manuscript from traceable experiment outputs.</w:t>
      </w:r>
      <w:r/>
    </w:p>
    <w:p w14:paraId="0694C2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modest corrected prediction score does not invalidate the thesis. </w:t>
      </w:r>
      <w:r>
        <w:rPr>
          <w:rFonts w:ascii="Times New Roman" w:hAnsi="Times New Roman" w:eastAsia="Times New Roman" w:cs="Times New Roman"/>
          <w:b/>
          <w:color w:val="000000"/>
          <w:sz w:val="24"/>
        </w:rPr>
        <w:t xml:space="preserve">The main threat is that the manuscript currently claims a level of verification that its own conflicting evidence does not support.</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DA1E3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51C5B8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7940D8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7DBBD9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4B457C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arxiv.org/html/2208.02814v4?utm_source=chatgpt.com" TargetMode="External"/><Relationship Id="rId10" Type="http://schemas.openxmlformats.org/officeDocument/2006/relationships/hyperlink" Target="https://www.etsi.org/deliver/etsi_ts/136300_136399/136331/17.06.00_60/ts_136331v170600p.pdf?utm_source=chatgpt.com" TargetMode="External"/><Relationship Id="rId11" Type="http://schemas.openxmlformats.org/officeDocument/2006/relationships/hyperlink" Target="https://www.etsi.org/deliver/etsi_ts/136300_136399/136331/17.06.00_60/ts_136331v170600p.pdf?utm_source=chatgpt.com" TargetMode="External"/><Relationship Id="rId12" Type="http://schemas.openxmlformats.org/officeDocument/2006/relationships/hyperlink" Target="https://arxiv.org/abs/1706.04599?utm_source=chatgpt.com" TargetMode="External"/><Relationship Id="rId13" Type="http://schemas.openxmlformats.org/officeDocument/2006/relationships/hyperlink" Target="https://data.mendeley.com/datasets/n2pvmtyn2j/1?utm_source=chatgpt.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2026-09-19T08:56:28Z</dcterms:modified>
</cp:coreProperties>
</file>