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737373"/>
          <w:sz w:val="20"/>
        </w:rPr>
        <w:t>ISLAMIC UNIVERSITY OF TECHNOLOGY (IUT)</w:t>
        <w:br/>
        <w:t>DEPARTMENT OF ELECTRICAL AND ELECTRONIC ENGINEERING</w:t>
        <w:br/>
        <w:t>B.Sc. Thesis Technical Report (Report 23)</w:t>
      </w:r>
    </w:p>
    <w:p>
      <w:pPr>
        <w:spacing w:before="120" w:after="80"/>
        <w:jc w:val="center"/>
      </w:pPr>
      <w:r>
        <w:rPr>
          <w:rFonts w:ascii="Arial" w:hAnsi="Arial"/>
          <w:b/>
          <w:color w:val="891313"/>
          <w:sz w:val="36"/>
        </w:rPr>
        <w:t>15 September Highway Capture:</w:t>
        <w:br/>
        <w:t>Empirical Validation, Multi-Regime Contrast, &amp; Cross-Campaign Analysis</w:t>
      </w:r>
    </w:p>
    <w:p>
      <w:pPr>
        <w:spacing w:before="80" w:after="320"/>
        <w:jc w:val="center"/>
      </w:pPr>
      <w:r>
        <w:rPr>
          <w:rFonts w:ascii="Arial" w:hAnsi="Arial"/>
          <w:i/>
          <w:color w:val="1F4E79"/>
          <w:sz w:val="19"/>
        </w:rPr>
        <w:t>Candidate: Abeer Saadman  |  Date: 15 September 2026  |  Network: Grameenphone Commercial LTE</w:t>
      </w:r>
    </w:p>
    <w:p>
      <w:pPr>
        <w:pStyle w:val="Heading1"/>
        <w:spacing w:before="200" w:after="120"/>
      </w:pPr>
      <w:r>
        <w:rPr>
          <w:rFonts w:ascii="Arial" w:hAnsi="Arial"/>
          <w:b/>
          <w:color w:val="891313"/>
          <w:sz w:val="26"/>
        </w:rPr>
        <w:t>1. Executive Summary: The Fourth Campaign</w:t>
      </w:r>
    </w:p>
    <w:p>
      <w:pPr>
        <w:spacing w:after="120"/>
      </w:pPr>
      <w:r>
        <w:rPr>
          <w:rFonts w:ascii="Arial" w:hAnsi="Arial"/>
          <w:color w:val="262626"/>
          <w:sz w:val="20"/>
        </w:rPr>
        <w:t>On 15 September 2026, a fourth continuous drive-test campaign was executed on the Grameenphone commercial LTE network in Dhaka using the XCAL diagnostic system. This capture introduces the first dedicated high-speed highway mobility trace into the research corpus, extending previous urban datasets along the northern arterial corridor connecting Airport/Uttara to Gazipur and the IUT campus (34.6 km total distance, mean vehicular speed 49.5 km/h, peak 98.0 km/h).</w:t>
      </w:r>
    </w:p>
    <w:tbl>
      <w:tblPr>
        <w:tblW w:type="auto" w:w="0"/>
        <w:jc w:val="center"/>
        <w:tblLook w:firstColumn="1" w:firstRow="1" w:lastColumn="0" w:lastRow="0" w:noHBand="0" w:noVBand="1" w:val="04A0"/>
      </w:tblPr>
      <w:tblGrid>
        <w:gridCol w:w="9936"/>
      </w:tblGrid>
      <w:tr>
        <w:tc>
          <w:tcPr>
            <w:tcW w:type="dxa" w:w="9792"/>
            <w:shd w:fill="FBF9F9"/>
            <w:tcMar>
              <w:top w:w="100" w:type="dxa"/>
              <w:bottom w:w="100" w:type="dxa"/>
              <w:left w:w="160" w:type="dxa"/>
              <w:right w:w="160" w:type="dxa"/>
            </w:tcMar>
            <w:tcBorders>
              <w:top w:val="none"/>
              <w:left w:val="single" w:sz="20" w:space="0" w:color="891313"/>
              <w:bottom w:val="none"/>
              <w:right w:val="none"/>
            </w:tcBorders>
          </w:tcPr>
          <w:p>
            <w:r>
              <w:rPr>
                <w:rFonts w:ascii="Arial" w:hAnsi="Arial"/>
                <w:b/>
                <w:color w:val="891313"/>
                <w:sz w:val="18"/>
              </w:rPr>
              <w:t>🎯 Core Scientific Purpose of 15 September Data:</w:t>
              <w:br/>
            </w:r>
            <w:r>
              <w:rPr>
                <w:rFonts w:ascii="Arial" w:hAnsi="Arial"/>
                <w:color w:val="262626"/>
                <w:sz w:val="19"/>
              </w:rPr>
              <w:t>In Report 08 §4, Report 18 §4, and Thesis Defence Slide 29, the thesis explicitly stated that expanding from one urban corridor to a second high-speed corridor was the definitive test of generalizability. The 15 September data confirms that the mathematical mechanisms discovered in congested urban canyons (e.g., high unacted A3 report rates, self-exciting ping-pong cascades) generalize directly to high-speed highway macro-cells.</w:t>
            </w:r>
          </w:p>
        </w:tc>
      </w:tr>
    </w:tbl>
    <w:p>
      <w:pPr>
        <w:pStyle w:val="Heading1"/>
        <w:spacing w:before="280" w:after="120"/>
      </w:pPr>
      <w:r>
        <w:rPr>
          <w:rFonts w:ascii="Arial" w:hAnsi="Arial"/>
          <w:b/>
          <w:color w:val="891313"/>
          <w:sz w:val="26"/>
        </w:rPr>
        <w:t>2. Four-Campaign Comprehensive Comparative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880"/>
            <w:vAlign w:val="center"/>
            <w:tcMar>
              <w:top w:w="60" w:type="dxa"/>
              <w:bottom w:w="60" w:type="dxa"/>
              <w:left w:w="90" w:type="dxa"/>
              <w:right w:w="90" w:type="dxa"/>
            </w:tcMar>
            <w:shd w:fill="891313"/>
          </w:tcPr>
          <w:p>
            <w:pPr>
              <w:spacing w:before="0" w:after="0"/>
            </w:pPr>
            <w:r>
              <w:rPr>
                <w:rFonts w:ascii="Arial" w:hAnsi="Arial"/>
                <w:b/>
                <w:color w:val="FFFFFF"/>
                <w:sz w:val="17"/>
              </w:rPr>
              <w:t>Metric / Dimension</w:t>
            </w:r>
          </w:p>
        </w:tc>
        <w:tc>
          <w:tcPr>
            <w:tcW w:type="dxa" w:w="1296"/>
            <w:vAlign w:val="center"/>
            <w:tcMar>
              <w:top w:w="60" w:type="dxa"/>
              <w:bottom w:w="60" w:type="dxa"/>
              <w:left w:w="90" w:type="dxa"/>
              <w:right w:w="90" w:type="dxa"/>
            </w:tcMar>
            <w:shd w:fill="891313"/>
          </w:tcPr>
          <w:p>
            <w:pPr>
              <w:spacing w:before="0" w:after="0"/>
            </w:pPr>
            <w:r>
              <w:rPr>
                <w:rFonts w:ascii="Arial" w:hAnsi="Arial"/>
                <w:b/>
                <w:color w:val="FFFFFF"/>
                <w:sz w:val="17"/>
              </w:rPr>
              <w:t>10 Sept</w:t>
            </w:r>
          </w:p>
        </w:tc>
        <w:tc>
          <w:tcPr>
            <w:tcW w:type="dxa" w:w="1296"/>
            <w:vAlign w:val="center"/>
            <w:tcMar>
              <w:top w:w="60" w:type="dxa"/>
              <w:bottom w:w="60" w:type="dxa"/>
              <w:left w:w="90" w:type="dxa"/>
              <w:right w:w="90" w:type="dxa"/>
            </w:tcMar>
            <w:shd w:fill="891313"/>
          </w:tcPr>
          <w:p>
            <w:pPr>
              <w:spacing w:before="0" w:after="0"/>
            </w:pPr>
            <w:r>
              <w:rPr>
                <w:rFonts w:ascii="Arial" w:hAnsi="Arial"/>
                <w:b/>
                <w:color w:val="FFFFFF"/>
                <w:sz w:val="17"/>
              </w:rPr>
              <w:t>12 Sept</w:t>
            </w:r>
          </w:p>
        </w:tc>
        <w:tc>
          <w:tcPr>
            <w:tcW w:type="dxa" w:w="1440"/>
            <w:vAlign w:val="center"/>
            <w:tcMar>
              <w:top w:w="60" w:type="dxa"/>
              <w:bottom w:w="60" w:type="dxa"/>
              <w:left w:w="90" w:type="dxa"/>
              <w:right w:w="90" w:type="dxa"/>
            </w:tcMar>
            <w:shd w:fill="891313"/>
          </w:tcPr>
          <w:p>
            <w:pPr>
              <w:spacing w:before="0" w:after="0"/>
            </w:pPr>
            <w:r>
              <w:rPr>
                <w:rFonts w:ascii="Arial" w:hAnsi="Arial"/>
                <w:b/>
                <w:color w:val="FFFFFF"/>
                <w:sz w:val="17"/>
              </w:rPr>
              <w:t>13 Sept</w:t>
            </w:r>
          </w:p>
        </w:tc>
        <w:tc>
          <w:tcPr>
            <w:tcW w:type="dxa" w:w="1584"/>
            <w:vAlign w:val="center"/>
            <w:tcMar>
              <w:top w:w="60" w:type="dxa"/>
              <w:bottom w:w="60" w:type="dxa"/>
              <w:left w:w="90" w:type="dxa"/>
              <w:right w:w="90" w:type="dxa"/>
            </w:tcMar>
            <w:shd w:fill="891313"/>
          </w:tcPr>
          <w:p>
            <w:pPr>
              <w:spacing w:before="0" w:after="0"/>
            </w:pPr>
            <w:r>
              <w:rPr>
                <w:rFonts w:ascii="Arial" w:hAnsi="Arial"/>
                <w:b/>
                <w:color w:val="FFFFFF"/>
                <w:sz w:val="17"/>
              </w:rPr>
              <w:t>15 Sept (NEW)</w:t>
            </w:r>
          </w:p>
        </w:tc>
        <w:tc>
          <w:tcPr>
            <w:tcW w:type="dxa" w:w="1440"/>
            <w:vAlign w:val="center"/>
            <w:tcMar>
              <w:top w:w="60" w:type="dxa"/>
              <w:bottom w:w="60" w:type="dxa"/>
              <w:left w:w="90" w:type="dxa"/>
              <w:right w:w="90" w:type="dxa"/>
            </w:tcMar>
            <w:shd w:fill="891313"/>
          </w:tcPr>
          <w:p>
            <w:pPr>
              <w:spacing w:before="0" w:after="0"/>
            </w:pPr>
            <w:r>
              <w:rPr>
                <w:rFonts w:ascii="Arial" w:hAnsi="Arial"/>
                <w:b/>
                <w:color w:val="FFFFFF"/>
                <w:sz w:val="17"/>
              </w:rPr>
              <w:t>Pooled Total / Mean</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Corridor / Route</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Uttara – Mohakhali</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Mirpur Loop</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Gulshan – Mohakhali</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Uttara – Gazipur / IUT</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Multi-corridor</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Terrain Type</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Urban Arterial</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Urban Residential</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Dense Urban Canyon</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Highway Express</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Mixed Urban / Highway</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Duration (mm:ss)</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45:56 (2,756 s)</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24:29 (1,469 s)</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60:05 (3,605 s)</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42:56 (2,576 s)</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173:26 (10,406 s)</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Distance Traversed</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30.2 km</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9.2 km</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23.3 km</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34.6 km</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97.3 km</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Mean Speed</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39.2 km/h</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23.5 km/h</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21.4 km/h</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49.5 km/h (+130%)</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33.4 km/h</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Peak Speed</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83.0 km/h</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38.0 km/h</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55.0 km/h</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98.0 km/h</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98.0 km/h</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Mean Serving RSRP</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-84.0 dBm</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-91.1 dBm</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-84.2 dBm</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-97.5 dBm</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-89.2 dBm</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Min Serving RSRP</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-122.0 dBm</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-119.0 dBm</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-117.0 dBm</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-141.0 dBm</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-141.0 dBm</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Mean Serving SINR</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3.2 dB</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4.6 dB</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5.2 dB</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4.9 dB</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4.5 dB</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Signalling Size</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30.1 MB</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17.7 MB</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28.8 MB</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18.4 MB</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95.0 MB</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Measurement Reports</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5,695</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4,761</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5,010</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3,923</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19,389 reports</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Confirmed Handovers</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307</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176</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297</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177</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957 handovers</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Handover Spacing</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1 per 9.0 s</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1 per 8.3 s</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 per 12.1 s</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 per 14.5 s</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 per 10.9 s</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Radio Link Failures</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113 RLFs</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64 RLFs</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159 RLFs</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5 RLFs (-97%)</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341 RLFs</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Ping-Pong Rate (15s)</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38.8%</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59.7%</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33.7%</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40.7%</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43.2%</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Unacted A3 Reports</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63.9% declined</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67.2% declined</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68.6% declined</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74.4% declined</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68.5% declined</w:t>
            </w:r>
          </w:p>
        </w:tc>
      </w:tr>
      <w:tr>
        <w:tc>
          <w:tcPr>
            <w:tcW w:type="dxa" w:w="2880"/>
            <w:vAlign w:val="center"/>
            <w:tcMar>
              <w:top w:w="60" w:type="dxa"/>
              <w:bottom w:w="60" w:type="dxa"/>
              <w:left w:w="90" w:type="dxa"/>
              <w:right w:w="90" w:type="dxa"/>
            </w:tcMar>
            <w:shd w:fill="FFFFFF"/>
          </w:tcPr>
          <w:p>
            <w:pPr>
              <w:spacing w:before="0" w:after="0"/>
            </w:pPr>
            <w:r>
              <w:rPr>
                <w:rFonts w:ascii="Arial" w:hAnsi="Arial"/>
                <w:color w:val="262626"/>
                <w:sz w:val="17"/>
              </w:rPr>
              <w:t>HO Completion Rate</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100% (307/307)</w:t>
            </w:r>
          </w:p>
        </w:tc>
        <w:tc>
          <w:tcPr>
            <w:tcW w:type="dxa" w:w="1296"/>
            <w:vAlign w:val="center"/>
            <w:tcMar>
              <w:top w:w="60" w:type="dxa"/>
              <w:bottom w:w="60" w:type="dxa"/>
              <w:left w:w="90" w:type="dxa"/>
              <w:right w:w="90" w:type="dxa"/>
            </w:tcMar>
            <w:shd w:fill="FFFFFF"/>
          </w:tcPr>
          <w:p>
            <w:pPr>
              <w:spacing w:before="0" w:after="0"/>
            </w:pPr>
            <w:r>
              <w:rPr>
                <w:rFonts w:ascii="Arial" w:hAnsi="Arial"/>
                <w:color w:val="262626"/>
                <w:sz w:val="17"/>
              </w:rPr>
              <w:t>100% (176/176)</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100% (297/297)</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100% (177/177)</w:t>
            </w:r>
          </w:p>
        </w:tc>
        <w:tc>
          <w:tcPr>
            <w:tcW w:type="dxa" w:w="1440"/>
            <w:vAlign w:val="center"/>
            <w:tcMar>
              <w:top w:w="60" w:type="dxa"/>
              <w:bottom w:w="60" w:type="dxa"/>
              <w:left w:w="90" w:type="dxa"/>
              <w:right w:w="90" w:type="dxa"/>
            </w:tcMar>
            <w:shd w:fill="FFFFFF"/>
          </w:tcPr>
          <w:p>
            <w:pPr>
              <w:spacing w:before="0" w:after="0"/>
            </w:pPr>
            <w:r>
              <w:rPr>
                <w:rFonts w:ascii="Arial" w:hAnsi="Arial"/>
                <w:color w:val="262626"/>
                <w:sz w:val="17"/>
              </w:rPr>
              <w:t>100% (957/957)</w:t>
            </w:r>
          </w:p>
        </w:tc>
      </w:tr>
      <w:tr>
        <w:tc>
          <w:tcPr>
            <w:tcW w:type="dxa" w:w="2880"/>
            <w:vAlign w:val="center"/>
            <w:tcMar>
              <w:top w:w="60" w:type="dxa"/>
              <w:bottom w:w="60" w:type="dxa"/>
              <w:left w:w="90" w:type="dxa"/>
              <w:right w:w="90" w:type="dxa"/>
            </w:tcMar>
            <w:shd w:fill="F9F9F9"/>
          </w:tcPr>
          <w:p>
            <w:pPr>
              <w:spacing w:before="0" w:after="0"/>
            </w:pPr>
            <w:r>
              <w:rPr>
                <w:rFonts w:ascii="Arial" w:hAnsi="Arial"/>
                <w:color w:val="262626"/>
                <w:sz w:val="17"/>
              </w:rPr>
              <w:t>Mean Interruption</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17.5 ms</w:t>
            </w:r>
          </w:p>
        </w:tc>
        <w:tc>
          <w:tcPr>
            <w:tcW w:type="dxa" w:w="1296"/>
            <w:vAlign w:val="center"/>
            <w:tcMar>
              <w:top w:w="60" w:type="dxa"/>
              <w:bottom w:w="60" w:type="dxa"/>
              <w:left w:w="90" w:type="dxa"/>
              <w:right w:w="90" w:type="dxa"/>
            </w:tcMar>
            <w:shd w:fill="F9F9F9"/>
          </w:tcPr>
          <w:p>
            <w:pPr>
              <w:spacing w:before="0" w:after="0"/>
            </w:pPr>
            <w:r>
              <w:rPr>
                <w:rFonts w:ascii="Arial" w:hAnsi="Arial"/>
                <w:color w:val="262626"/>
                <w:sz w:val="17"/>
              </w:rPr>
              <w:t>17.8 ms</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20.8 ms</w:t>
            </w:r>
          </w:p>
        </w:tc>
        <w:tc>
          <w:tcPr>
            <w:tcW w:type="dxa" w:w="1584"/>
            <w:vAlign w:val="center"/>
            <w:tcMar>
              <w:top w:w="60" w:type="dxa"/>
              <w:bottom w:w="60" w:type="dxa"/>
              <w:left w:w="90" w:type="dxa"/>
              <w:right w:w="90" w:type="dxa"/>
            </w:tcMar>
            <w:shd w:fill="F2EAEA"/>
          </w:tcPr>
          <w:p>
            <w:pPr>
              <w:spacing w:before="0" w:after="0"/>
            </w:pPr>
            <w:r>
              <w:rPr>
                <w:rFonts w:ascii="Arial" w:hAnsi="Arial"/>
                <w:b/>
                <w:color w:val="891313"/>
                <w:sz w:val="17"/>
              </w:rPr>
              <w:t>19.7 ms</w:t>
            </w:r>
          </w:p>
        </w:tc>
        <w:tc>
          <w:tcPr>
            <w:tcW w:type="dxa" w:w="1440"/>
            <w:vAlign w:val="center"/>
            <w:tcMar>
              <w:top w:w="60" w:type="dxa"/>
              <w:bottom w:w="60" w:type="dxa"/>
              <w:left w:w="90" w:type="dxa"/>
              <w:right w:w="90" w:type="dxa"/>
            </w:tcMar>
            <w:shd w:fill="F9F9F9"/>
          </w:tcPr>
          <w:p>
            <w:pPr>
              <w:spacing w:before="0" w:after="0"/>
            </w:pPr>
            <w:r>
              <w:rPr>
                <w:rFonts w:ascii="Arial" w:hAnsi="Arial"/>
                <w:color w:val="262626"/>
                <w:sz w:val="17"/>
              </w:rPr>
              <w:t>18.9 ms</w:t>
            </w:r>
          </w:p>
        </w:tc>
      </w:tr>
    </w:tbl>
    <w:p>
      <w:pPr>
        <w:pStyle w:val="Heading1"/>
        <w:spacing w:before="280" w:after="120"/>
      </w:pPr>
      <w:r>
        <w:rPr>
          <w:rFonts w:ascii="Arial" w:hAnsi="Arial"/>
          <w:b/>
          <w:color w:val="891313"/>
          <w:sz w:val="26"/>
        </w:rPr>
        <w:t>3. Key Scientific Findings &amp; Contrasts</w:t>
      </w:r>
    </w:p>
    <w:p>
      <w:pPr>
        <w:spacing w:before="80" w:after="80"/>
      </w:pPr>
      <w:r>
        <w:rPr>
          <w:rFonts w:ascii="Arial" w:hAnsi="Arial"/>
          <w:b/>
          <w:color w:val="1F4E79"/>
          <w:sz w:val="19"/>
        </w:rPr>
        <w:t xml:space="preserve">• Radio Link Failure (RLF) Collapse in Highway Geometry (5 vs. 159): </w:t>
      </w:r>
      <w:r>
        <w:rPr>
          <w:rFonts w:ascii="Arial" w:hAnsi="Arial"/>
          <w:color w:val="262626"/>
          <w:sz w:val="19"/>
        </w:rPr>
        <w:t>In dense urban canyons (13 Sept), 159 RRC re-establishments occurred due to sudden building corner and flyover shadow fading. On the 15 September highway run, re-establishments dropped to just 5 across 43 minutes. Macro-cell towers along the highway maintain line-of-sight propagation, allowing the A3 TTT countdown to complete smoothly without link loss.</w:t>
      </w:r>
    </w:p>
    <w:p>
      <w:pPr>
        <w:spacing w:before="80" w:after="80"/>
      </w:pPr>
      <w:r>
        <w:rPr>
          <w:rFonts w:ascii="Arial" w:hAnsi="Arial"/>
          <w:b/>
          <w:color w:val="1F4E79"/>
          <w:sz w:val="19"/>
        </w:rPr>
        <w:t xml:space="preserve">• Unacted A3 Reports Peak at 74.4% (Direct Replication of US Operator Benchmarks): </w:t>
      </w:r>
      <w:r>
        <w:rPr>
          <w:rFonts w:ascii="Arial" w:hAnsi="Arial"/>
          <w:color w:val="262626"/>
          <w:sz w:val="19"/>
        </w:rPr>
        <w:t>Out of 3,923 measurement reports transmitted on 15 Sept, 74.4% were declined by the eNodeB scheduler. This empirically validates the thesis's mechanism across wide-area cells and matches Ghoshal et al.'s US operator range (69%–87% unacted reports). Knowing the neighbor signal gap tells you little about whether the network will pull the trigger.</w:t>
      </w:r>
    </w:p>
    <w:p>
      <w:pPr>
        <w:spacing w:before="80" w:after="80"/>
      </w:pPr>
      <w:r>
        <w:rPr>
          <w:rFonts w:ascii="Arial" w:hAnsi="Arial"/>
          <w:b/>
          <w:color w:val="1F4E79"/>
          <w:sz w:val="19"/>
        </w:rPr>
        <w:t xml:space="preserve">• Weaker Signal Envelope (-97.5 dBm) Due to Wider Inter-Site Distance (ISD): </w:t>
      </w:r>
      <w:r>
        <w:rPr>
          <w:rFonts w:ascii="Arial" w:hAnsi="Arial"/>
          <w:color w:val="262626"/>
          <w:sz w:val="19"/>
        </w:rPr>
        <w:t>Inter-site distances expand from 300–500m in central Dhaka to 1.0–2.0 km along the highway, lowering mean RSRP to -97.5 dBm (minimum -141 dBm). Despite weaker received power, mean SINR remained healthy at 4.9 dB due to the absence of dense urban co-channel interference.</w:t>
      </w:r>
    </w:p>
    <w:p>
      <w:pPr>
        <w:spacing w:before="80" w:after="80"/>
      </w:pPr>
      <w:r>
        <w:rPr>
          <w:rFonts w:ascii="Arial" w:hAnsi="Arial"/>
          <w:b/>
          <w:color w:val="1F4E79"/>
          <w:sz w:val="19"/>
        </w:rPr>
        <w:t xml:space="preserve">• Ping-Pong Handovers Persist at High Speed (40.7%): </w:t>
      </w:r>
      <w:r>
        <w:rPr>
          <w:rFonts w:ascii="Arial" w:hAnsi="Arial"/>
          <w:color w:val="262626"/>
          <w:sz w:val="19"/>
        </w:rPr>
        <w:t>Even at an average speed of 49.5 km/h, 40.7% of handovers were 15-second ping-pongs. This disproves the common industry misconception that ping-pong handovers are solely caused by slow traffic jams on cell edges; they are an inherent outcome of antenna sector overlap and standard 3GPP hysteresis/TTT configuration.</w:t>
      </w:r>
    </w:p>
    <w:p>
      <w:pPr>
        <w:pStyle w:val="Heading1"/>
        <w:spacing w:before="280" w:after="120"/>
      </w:pPr>
      <w:r>
        <w:rPr>
          <w:rFonts w:ascii="Arial" w:hAnsi="Arial"/>
          <w:b/>
          <w:color w:val="891313"/>
          <w:sz w:val="26"/>
        </w:rPr>
        <w:t>4. Thesis Defence &amp; Manuscript Integration</w:t>
      </w:r>
    </w:p>
    <w:p>
      <w:pPr>
        <w:spacing w:after="80"/>
      </w:pPr>
      <w:r>
        <w:rPr>
          <w:rFonts w:ascii="Arial" w:hAnsi="Arial"/>
          <w:color w:val="262626"/>
          <w:sz w:val="20"/>
        </w:rPr>
        <w:t>The inclusion of the 15 September dataset solidifies the thesis defense against the most common committee challenge ('Does this only apply to Dhaka traffic jams?'). By demonstrating that the same 18-stage pipeline, stateful RRC timeline parser, and survival hazard formulation operate seamlessly on a 98 km/h highway corridor, the empirical claims transition from local observations to generalizable wireless networking contributions.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