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80"/>
        <w:jc w:val="center"/>
      </w:pPr>
      <w:r>
        <w:rPr>
          <w:b/>
          <w:bCs/>
          <w:color w:val="891313"/>
          <w:sz w:val="34"/>
          <w:szCs w:val="34"/>
        </w:rPr>
        <w:t xml:space="preserve">Final Thesis Defence Script — Data-Dense</w:t>
      </w:r>
    </w:p>
    <w:p>
      <w:pPr>
        <w:spacing w:after="120" w:line="280"/>
        <w:jc w:val="center"/>
      </w:pPr>
      <w:r>
        <w:rPr>
          <w:b w:val="false"/>
          <w:bCs w:val="false"/>
          <w:color w:val="1A1A1A"/>
          <w:sz w:val="24"/>
          <w:szCs w:val="24"/>
        </w:rPr>
        <w:t xml:space="preserve">Predicting the Next LTE Handover from Drive-Test Signalling</w:t>
      </w:r>
    </w:p>
    <w:p>
      <w:pPr>
        <w:spacing w:after="120" w:line="280"/>
        <w:jc w:val="center"/>
      </w:pPr>
      <w:r>
        <w:rPr>
          <w:b w:val="false"/>
          <w:bCs w:val="false"/>
          <w:color w:val="666666"/>
          <w:sz w:val="19"/>
          <w:szCs w:val="19"/>
        </w:rPr>
        <w:t xml:space="preserve">Same sections and slide grouping · fewer explanations · every number the work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Use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When the board wants results, not teaching. Short spoken lines carry the argument; the tables carry the evidence.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Length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≈ 1,100 words of connective speech +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20 result tables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— roughly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12–14 minutes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, depending on how much of each table you speak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Read-aloud rule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Speak the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bold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figure in each table and move on. The rest is there for the question that follows.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Companion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The Expanded script </w:t>
            </w:r>
            <w:r>
              <w:rPr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explains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these results. This one </w:t>
            </w:r>
            <w:r>
              <w:rPr>
                <w:b w:val="false"/>
                <w:bCs w:val="false"/>
                <w:i/>
                <w:iCs/>
                <w:color w:val="1A1A1A"/>
                <w:sz w:val="16"/>
                <w:szCs w:val="16"/>
              </w:rPr>
              <w:t xml:space="preserve">states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them. Same sections, same order — they interleave.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1–2 — Title and Outline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Assalamualaikum. Respected chairman, respected members of the board. This thesis predicts the next LTE handover from real drive-test signalling, on 57 drives and 938 signalling-confirmed handovers collected across four campaigns in Dhaka and Gazipur.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Headline, before anything else: </w:t>
      </w:r>
      <w:r>
        <w:rPr>
          <w:b/>
          <w:bCs/>
          <w:color w:val="1A1A1A"/>
          <w:sz w:val="19"/>
          <w:szCs w:val="19"/>
        </w:rPr>
        <w:t xml:space="preserve">one second ahead, AUROC 0.933 and AUPRC 0.784 against a 6.7 percent prevalence floor</w:t>
      </w:r>
      <w:r>
        <w:rPr>
          <w:color w:val="1A1A1A"/>
          <w:sz w:val="19"/>
          <w:szCs w:val="19"/>
        </w:rPr>
        <w:t xml:space="preserve"> — 11.7 times random — with calibrated probabilities and a distribution-free bound on the per-drive miss rate.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Four sections: the problem, the system, the evidence, and the boundary of the claim.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3–6 — Background, Motivation, Literature and Objectives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Event A3 fires only after a neighbour has been better by an offset for a full time-to-trigger. It is reactive by construction. Deployed on this network: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A3 parameter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Values observed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Offsets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−15, −10, −6.5,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+1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, +5 dB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Time-to-trigger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160 – 1024 ms,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320 ms dominant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Handovers under the dominant +1 dB / 320 ms profile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679 of 938 — 72%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cost of that lag, measured: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Quantity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Handovers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938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in 2.9 h — one every 11 s, median gap 3.5 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Returns to the cell just left within 15 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24.5%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Radio-link re-establishments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341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A3 reports never acted on within 2 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62.9%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of 7,385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Literature audit: </w:t>
      </w:r>
      <w:r>
        <w:rPr>
          <w:b/>
          <w:bCs/>
          <w:color w:val="1A1A1A"/>
          <w:sz w:val="19"/>
          <w:szCs w:val="19"/>
        </w:rPr>
        <w:t xml:space="preserve">108 papers screened, 22 comparable models reviewed</w:t>
      </w:r>
      <w:r>
        <w:rPr>
          <w:color w:val="1A1A1A"/>
          <w:sz w:val="19"/>
          <w:szCs w:val="19"/>
        </w:rPr>
        <w:t xml:space="preserve">. Of those 22 — none holds out the mobility unit for a per-timestep task on measured radio, none reports calibration, none reports a lead time or false-alarm rate. Zero of twenty-two on all three counts.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Five objectives: predict at five look-ahead times from handset-observable data; grouped evaluation; probabilities that are coherent, calibrated and bounded; generalisation beyond the training capture; and a stated mechanism.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7–12 — Methodology and Proposed System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Ground truth is the decoded </w:t>
      </w:r>
      <w:r>
        <w:rPr>
          <w:rFonts w:ascii="Consolas" w:cs="Consolas" w:eastAsia="Consolas" w:hAnsi="Consolas"/>
          <w:color w:val="1F4E79"/>
          <w:sz w:val="17"/>
          <w:szCs w:val="17"/>
        </w:rPr>
        <w:t xml:space="preserve">RRCConnectionReconfiguration</w:t>
      </w:r>
      <w:r>
        <w:rPr>
          <w:color w:val="1A1A1A"/>
          <w:sz w:val="19"/>
          <w:szCs w:val="19"/>
        </w:rPr>
        <w:t xml:space="preserve"> carrying </w:t>
      </w:r>
      <w:r>
        <w:rPr>
          <w:rFonts w:ascii="Consolas" w:cs="Consolas" w:eastAsia="Consolas" w:hAnsi="Consolas"/>
          <w:color w:val="1F4E79"/>
          <w:sz w:val="17"/>
          <w:szCs w:val="17"/>
        </w:rPr>
        <w:t xml:space="preserve">mobilityControlInfo</w:t>
      </w:r>
      <w:r>
        <w:rPr>
          <w:color w:val="1A1A1A"/>
          <w:sz w:val="19"/>
          <w:szCs w:val="19"/>
        </w:rPr>
        <w:t xml:space="preserve">, millisecond-timestamped. Measurement identifiers are message-scoped, so a configuration timeline is replayed before any report is resolved. That correction is what shows the deployed offsets here are negative, not the +3 dB assumed in earlier published work.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152 columns built, 107 survive a degenerate-feature filter: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Feature family retained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Radio — rolling mean, std, range and difference over 3 / 5 / 10 s windows, plus neighbour gaps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83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Mobility, from GPS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Signalling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History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Every window is backward-only, closes at </w:t>
      </w:r>
      <w:r>
        <w:rPr>
          <w:i/>
          <w:iCs/>
          <w:color w:val="1A1A1A"/>
          <w:sz w:val="19"/>
          <w:szCs w:val="19"/>
        </w:rPr>
        <w:t xml:space="preserve">t</w:t>
      </w:r>
      <w:r>
        <w:rPr>
          <w:color w:val="1A1A1A"/>
          <w:sz w:val="19"/>
          <w:szCs w:val="19"/>
        </w:rPr>
        <w:t xml:space="preserve">, and never crosses a drive boundary.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Formulation: one per-second hazard model; horizon probabilities are products of hazards, so ordering across the five look-ahead times holds by construction. Seven learners under identical folds, seeds and formulation — LightGBM, logistic regression, MLP, TCN, Transformer, GRU, and the A3 rule scored as a predictor.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13–16 — Data and Experimental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Capture (2026)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Corridor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Drives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Samples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Handovers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Duration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10 September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urban arterial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2,700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290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46 min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 September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urban loop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1,440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174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24 min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 September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dense urban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3,600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297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60 min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15 September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Uttara–Gazipur highway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2,520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177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43 min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Pooled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two mobility regimes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57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10,260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938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2.9 h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957 handovers appear in the raw logs; </w:t>
      </w:r>
      <w:r>
        <w:rPr>
          <w:b/>
          <w:bCs/>
          <w:color w:val="1A1A1A"/>
          <w:sz w:val="19"/>
          <w:szCs w:val="19"/>
        </w:rPr>
        <w:t xml:space="preserve">938</w:t>
      </w:r>
      <w:r>
        <w:rPr>
          <w:color w:val="1A1A1A"/>
          <w:sz w:val="19"/>
          <w:szCs w:val="19"/>
        </w:rPr>
        <w:t xml:space="preserve"> fall inside a quality-controlled drive and are what every model is scored against. The A3 configuration is identical across all four campaigns. The highway capture, mean speed 49.5 km/h, was driven </w:t>
      </w:r>
      <w:r>
        <w:rPr>
          <w:b/>
          <w:bCs/>
          <w:color w:val="1A1A1A"/>
          <w:sz w:val="19"/>
          <w:szCs w:val="19"/>
        </w:rPr>
        <w:t xml:space="preserve">after every modelling decision was frozen</w:t>
      </w:r>
      <w:r>
        <w:rPr>
          <w:color w:val="1A1A1A"/>
          <w:sz w:val="19"/>
          <w:szCs w:val="19"/>
        </w:rPr>
        <w:t xml:space="preserve">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Protocol: grouped by whole drive, 4-fold rotation so every drive is tested once, repeated over 5 seeds — 20 paired observations per comparison. Bootstrap confidence intervals over drives, not samples. Scaler, threshold and calibrator are fit inside each training fold only.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Prevalence by look-ahead time — why accuracy is not reported: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Look-ahead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0.5 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 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 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3 s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5 s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Positive samples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3.7%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6.7%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12.5%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17.5%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25.9%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Accuracy of "never"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96.3%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93.3%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87.5%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82.5%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74.1%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17–20 — Engineering Scope and Impact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Knowledge profile WK1–WK8, complex engineering problem attributes P1–P7, complex engineering activities A1–A5 — all mapped in the slide tables, all claiming only what the work does.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engineering trade-off, quantified rather than described: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480"/>
      </w:tblGrid>
      <w:tr>
        <w:trPr>
          <w:tblHeader/>
        </w:trPr>
        <w:tc>
          <w:tcPr>
            <w:tcW w:type="dxa" w:w="14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Certified target</w:t>
            </w:r>
          </w:p>
        </w:tc>
        <w:tc>
          <w:tcPr>
            <w:tcW w:type="dxa" w:w="32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Samples alarmed</w:t>
            </w:r>
          </w:p>
        </w:tc>
        <w:tc>
          <w:tcPr>
            <w:tcW w:type="dxa" w:w="54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Handovers actually missed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20% per-drive miss rate</w:t>
            </w:r>
          </w:p>
        </w:tc>
        <w:tc>
          <w:tcPr>
            <w:tcW w:type="dxa" w:w="32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23%</w:t>
            </w:r>
          </w:p>
        </w:tc>
        <w:tc>
          <w:tcPr>
            <w:tcW w:type="dxa" w:w="54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12.6%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5% per-drive miss rate</w:t>
            </w:r>
          </w:p>
        </w:tc>
        <w:tc>
          <w:tcPr>
            <w:tcW w:type="dxa" w:w="32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61%</w:t>
            </w:r>
          </w:p>
        </w:tc>
        <w:tc>
          <w:tcPr>
            <w:tcW w:type="dxa" w:w="54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A tighter promise is not a better system — it is a louder one. At a 5% target the alarm rate is 61%, which no operator would deploy.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Impact claim, stated narrowly: better connection continuity and fewer unnecessary handovers and signalling messages. The 24.5% return rate is measured. </w:t>
      </w:r>
      <w:r>
        <w:rPr>
          <w:b/>
          <w:bCs/>
          <w:color w:val="1A1A1A"/>
          <w:sz w:val="19"/>
          <w:szCs w:val="19"/>
        </w:rPr>
        <w:t xml:space="preserve">No deployed energy saving is claimed. No health claim is made</w:t>
      </w:r>
      <w:r>
        <w:rPr>
          <w:color w:val="1A1A1A"/>
          <w:sz w:val="19"/>
          <w:szCs w:val="19"/>
        </w:rPr>
        <w:t xml:space="preserve"> — no human subjects, no exposure experiments.</w:t>
      </w:r>
    </w:p>
    <w:p>
      <w:pPr>
        <w:pBdr>
          <w:bottom w:val="single" w:color="D8CFCF" w:sz="6" w:space="6"/>
        </w:pBd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 21 — Main Prediction Result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Pause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Look-ahead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Prevalence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AUPRC [95% CI]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Lift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AUROC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ECE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0.5 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0.037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0.416 [0.350, 0.490]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11.3×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0.916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0.023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 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0.067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0.784 [0.740, 0.826]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11.7×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0.933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0.024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 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0.125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0.627 [0.594, 0.657]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5.0×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0.854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0.061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 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0.175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0.598 [0.561, 0.636]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3.4×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0.816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0.091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 s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0.259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0.606 [0.564, 0.649]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2.3×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0.783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0.141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LightGBM, out-of-fold over 57 drives. LightGBM leads at every look-ahead time; </w:t>
      </w:r>
      <w:r>
        <w:rPr>
          <w:b/>
          <w:bCs/>
          <w:color w:val="1A1A1A"/>
          <w:sz w:val="19"/>
          <w:szCs w:val="19"/>
        </w:rPr>
        <w:t xml:space="preserve">logistic regression is second</w:t>
      </w:r>
      <w:r>
        <w:rPr>
          <w:color w:val="1A1A1A"/>
          <w:sz w:val="19"/>
          <w:szCs w:val="19"/>
        </w:rPr>
        <w:t xml:space="preserve">, ahead of the GRU, Transformer, TCN and MLP.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network's own A3 rule on the same data: </w:t>
      </w:r>
      <w:r>
        <w:rPr>
          <w:b/>
          <w:bCs/>
          <w:color w:val="1A1A1A"/>
          <w:sz w:val="19"/>
          <w:szCs w:val="19"/>
        </w:rPr>
        <w:t xml:space="preserve">AUROC 0.653</w:t>
      </w:r>
      <w:r>
        <w:rPr>
          <w:color w:val="1A1A1A"/>
          <w:sz w:val="19"/>
          <w:szCs w:val="19"/>
        </w:rPr>
        <w:t xml:space="preserve">, detecting </w:t>
      </w:r>
      <w:r>
        <w:rPr>
          <w:b/>
          <w:bCs/>
          <w:color w:val="1A1A1A"/>
          <w:sz w:val="19"/>
          <w:szCs w:val="19"/>
        </w:rPr>
        <w:t xml:space="preserve">5.5%</w:t>
      </w:r>
      <w:r>
        <w:rPr>
          <w:color w:val="1A1A1A"/>
          <w:sz w:val="19"/>
          <w:szCs w:val="19"/>
        </w:rPr>
        <w:t xml:space="preserve"> of handovers one second ahead.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Event level rather than sample level: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00"/>
        <w:gridCol w:w="4080"/>
      </w:tblGrid>
      <w:tr>
        <w:trPr>
          <w:tblHeader/>
        </w:trPr>
        <w:tc>
          <w:tcPr>
            <w:tcW w:type="dxa" w:w="9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 s</w:t>
            </w:r>
          </w:p>
        </w:tc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5 s</w:t>
            </w:r>
          </w:p>
        </w:tc>
        <w:tc>
          <w:tcPr>
            <w:tcW w:type="dxa" w:w="4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Ceiling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Handovers detected</w:t>
            </w:r>
          </w:p>
        </w:tc>
        <w:tc>
          <w:tcPr>
            <w:tcW w:type="dxa" w:w="21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44.7%</w:t>
            </w:r>
          </w:p>
        </w:tc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65.1%</w:t>
            </w:r>
          </w:p>
        </w:tc>
        <w:tc>
          <w:tcPr>
            <w:tcW w:type="dxa" w:w="4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90.5%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90.5% ceiling is imposed by the 1 Hz export — equipment, not model.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22–24 — Leakage, Coherence and the Risk Guarantee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Leakage is architecture-dependent.</w:t>
      </w:r>
      <w:r>
        <w:rPr>
          <w:color w:val="1A1A1A"/>
          <w:sz w:val="19"/>
          <w:szCs w:val="19"/>
        </w:rPr>
        <w:t xml:space="preserve"> Random-row splitting instead of grouped-drive splitting: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Model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Inflation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GRU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+74%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Transformer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+44%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TCN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+27%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LightGBM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+20%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MLP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+10%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Logistic regression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+4%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A3 rule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−2%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spread is the finding: a careless split reorders the leaderboard rather than merely lifting it.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Coherence.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480"/>
      </w:tblGrid>
      <w:tr>
        <w:trPr>
          <w:tblHeader/>
        </w:trPr>
        <w:tc>
          <w:tcPr>
            <w:tcW w:type="dxa" w:w="14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Configuration</w:t>
            </w:r>
          </w:p>
        </w:tc>
        <w:tc>
          <w:tcPr>
            <w:tcW w:type="dxa" w:w="32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Horizon violations</w:t>
            </w:r>
          </w:p>
        </w:tc>
        <w:tc>
          <w:tcPr>
            <w:tcW w:type="dxa" w:w="54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Five independent classifiers</w:t>
            </w:r>
          </w:p>
        </w:tc>
        <w:tc>
          <w:tcPr>
            <w:tcW w:type="dxa" w:w="32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43.6%</w:t>
            </w:r>
          </w:p>
        </w:tc>
        <w:tc>
          <w:tcPr>
            <w:tcW w:type="dxa" w:w="54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max violation 0.495 → 0.596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Same, plus per-horizon isotonic</w:t>
            </w:r>
          </w:p>
        </w:tc>
        <w:tc>
          <w:tcPr>
            <w:tcW w:type="dxa" w:w="32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48.7%</w:t>
            </w:r>
          </w:p>
        </w:tc>
        <w:tc>
          <w:tcPr>
            <w:tcW w:type="dxa" w:w="54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worse, and costs 2–5 AUPRC points and a held-out split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Hazard formulation</w:t>
            </w:r>
          </w:p>
        </w:tc>
        <w:tc>
          <w:tcPr>
            <w:tcW w:type="dxa" w:w="32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0%</w:t>
            </w:r>
          </w:p>
        </w:tc>
        <w:tc>
          <w:tcPr>
            <w:tcW w:type="dxa" w:w="54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by construction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Calibration beats the uncalibrated baseline at every look-ahead time, p &lt; 0.0001 over the 20 paired folds.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Conformal risk control.</w:t>
      </w:r>
      <w:r>
        <w:rPr>
          <w:color w:val="1A1A1A"/>
          <w:sz w:val="19"/>
          <w:szCs w:val="19"/>
        </w:rPr>
        <w:t xml:space="preserve"> Certified on 28 held-out calibration drives. Feasibility floor </w:t>
      </w:r>
      <w:r>
        <w:rPr>
          <w:b/>
          <w:bCs/>
          <w:color w:val="1A1A1A"/>
          <w:sz w:val="19"/>
          <w:szCs w:val="19"/>
        </w:rPr>
        <w:t xml:space="preserve">α ≥ 0.034</w:t>
      </w:r>
      <w:r>
        <w:rPr>
          <w:color w:val="1A1A1A"/>
          <w:sz w:val="19"/>
          <w:szCs w:val="19"/>
        </w:rPr>
        <w:t xml:space="preserve"> — with 28 drives, no tighter target is expressible. At α = 0.20 the bound held on </w:t>
      </w:r>
      <w:r>
        <w:rPr>
          <w:b/>
          <w:bCs/>
          <w:color w:val="1A1A1A"/>
          <w:sz w:val="19"/>
          <w:szCs w:val="19"/>
        </w:rPr>
        <w:t xml:space="preserve">82%</w:t>
      </w:r>
      <w:r>
        <w:rPr>
          <w:color w:val="1A1A1A"/>
          <w:sz w:val="19"/>
          <w:szCs w:val="19"/>
        </w:rPr>
        <w:t xml:space="preserve"> of test drives. The number of calibration drives is therefore a campaign-design quantity, not a modelling choice.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25–26 — Generalisation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Leave-one-capture-out, trained on three, tested on the fourth: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Held out</w:t>
            </w:r>
          </w:p>
        </w:tc>
        <w:tc>
          <w:tcPr>
            <w:tcW w:type="dxa" w:w="2016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AUPRC</w:t>
            </w:r>
          </w:p>
        </w:tc>
        <w:tc>
          <w:tcPr>
            <w:tcW w:type="dxa" w:w="2016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Lift</w:t>
            </w:r>
          </w:p>
        </w:tc>
        <w:tc>
          <w:tcPr>
            <w:tcW w:type="dxa" w:w="2016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AUROC</w:t>
            </w:r>
          </w:p>
        </w:tc>
        <w:tc>
          <w:tcPr>
            <w:tcW w:type="dxa" w:w="2016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ECE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10 Sept urban arterial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0.826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9.9×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0.949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0.027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12 Sept urban loop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0.718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9.4×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0.909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0.040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 Sept dense urban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0.832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13.2×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0.943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0.019</w:t>
            </w:r>
          </w:p>
        </w:tc>
      </w:tr>
      <w:tr>
        <w:trPr>
          <w:tblHeader w:val="false"/>
        </w:trPr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15 Sept highway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0.761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14.9×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0.927</w:t>
            </w:r>
          </w:p>
        </w:tc>
        <w:tc>
          <w:tcPr>
            <w:tcW w:type="dxa" w:w="2016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0.018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highway has the </w:t>
      </w:r>
      <w:r>
        <w:rPr>
          <w:b/>
          <w:bCs/>
          <w:color w:val="1A1A1A"/>
          <w:sz w:val="19"/>
          <w:szCs w:val="19"/>
        </w:rPr>
        <w:t xml:space="preserve">highest lift and the lowest calibration error of the four</w:t>
      </w:r>
      <w:r>
        <w:rPr>
          <w:color w:val="1A1A1A"/>
          <w:sz w:val="19"/>
          <w:szCs w:val="19"/>
        </w:rPr>
        <w:t xml:space="preserve">, and it was collected after all modelling choices were frozen. Adding it moved the pooled AUROC by zero — 0.933 before and after.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External transfer, on a public drive-test dataset from another team: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AUROC at 1 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Our model, transferred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0.752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Model trained on that dataset itself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0.745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27–30 — Mechanism and Network Findings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Single-feature AUROC</w:t>
      </w:r>
      <w:r>
        <w:rPr>
          <w:color w:val="1A1A1A"/>
          <w:sz w:val="19"/>
          <w:szCs w:val="19"/>
        </w:rPr>
        <w:t xml:space="preserve"> — what actually carries the signal: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Feature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AUROC alone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Serving dwell time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0.874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Serving SINR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0.830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A3 serving-to-neighbour gap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0.566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quantity the network thresholds on is nearly the weakest predictor available. The gap condition holds on </w:t>
      </w:r>
      <w:r>
        <w:rPr>
          <w:b/>
          <w:bCs/>
          <w:color w:val="1A1A1A"/>
          <w:sz w:val="19"/>
          <w:szCs w:val="19"/>
        </w:rPr>
        <w:t xml:space="preserve">27.1%</w:t>
      </w:r>
      <w:r>
        <w:rPr>
          <w:color w:val="1A1A1A"/>
          <w:sz w:val="19"/>
          <w:szCs w:val="19"/>
        </w:rPr>
        <w:t xml:space="preserve"> of samples; three in five of the resulting reports are declined.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A3 report conversion within 2 s</w:t>
      </w:r>
      <w:r>
        <w:rPr>
          <w:color w:val="1A1A1A"/>
          <w:sz w:val="19"/>
          <w:szCs w:val="19"/>
        </w:rPr>
        <w:t xml:space="preserve">, by capture: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Capture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10 Sept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12 Sept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13 Sept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15 Sept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Pooled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Converted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57.2%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60.1%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63.3%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71.9%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62.9%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Two qualifiers that are mandatory whenever this number is quoted: it is </w:t>
      </w:r>
      <w:r>
        <w:rPr>
          <w:b/>
          <w:bCs/>
          <w:color w:val="1A1A1A"/>
          <w:sz w:val="19"/>
          <w:szCs w:val="19"/>
        </w:rPr>
        <w:t xml:space="preserve">A3 reports only</w:t>
      </w:r>
      <w:r>
        <w:rPr>
          <w:color w:val="1A1A1A"/>
          <w:sz w:val="19"/>
          <w:szCs w:val="19"/>
        </w:rPr>
        <w:t xml:space="preserve"> — all report types convert at 68.7% — and only 43–52% of measurement reports are A3.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Ping-pong depends on three definition choices</w:t>
      </w:r>
      <w:r>
        <w:rPr>
          <w:color w:val="1A1A1A"/>
          <w:sz w:val="19"/>
          <w:szCs w:val="19"/>
        </w:rPr>
        <w:t xml:space="preserve"> usually left unstated. Same 938 handovers: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Definition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Rate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A→B→A, cell = PCI + carrier, 15 s window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24.5%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Cell = PCI only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29.0%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Any return within the window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38.5%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Ungrouped, over 957 raw events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41.3%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Where it concentrates: intra-carrier </w:t>
      </w:r>
      <w:r>
        <w:rPr>
          <w:b/>
          <w:bCs/>
          <w:color w:val="1A1A1A"/>
          <w:sz w:val="19"/>
          <w:szCs w:val="19"/>
        </w:rPr>
        <w:t xml:space="preserve">31.0%</w:t>
      </w:r>
      <w:r>
        <w:rPr>
          <w:color w:val="1A1A1A"/>
          <w:sz w:val="19"/>
          <w:szCs w:val="19"/>
        </w:rPr>
        <w:t xml:space="preserve"> against inter-carrier </w:t>
      </w:r>
      <w:r>
        <w:rPr>
          <w:b/>
          <w:bCs/>
          <w:color w:val="1A1A1A"/>
          <w:sz w:val="19"/>
          <w:szCs w:val="19"/>
        </w:rPr>
        <w:t xml:space="preserve">6.5%</w:t>
      </w:r>
      <w:r>
        <w:rPr>
          <w:color w:val="1A1A1A"/>
          <w:sz w:val="19"/>
          <w:szCs w:val="19"/>
        </w:rPr>
        <w:t xml:space="preserve">; the +1 dB / 320 ms profile returns at 29.2% on 72% of all handovers; the highway at 49.5 km/h still returns at </w:t>
      </w:r>
      <w:r>
        <w:rPr>
          <w:b/>
          <w:bCs/>
          <w:color w:val="1A1A1A"/>
          <w:sz w:val="19"/>
          <w:szCs w:val="19"/>
        </w:rPr>
        <w:t xml:space="preserve">31.1%</w:t>
      </w:r>
      <w:r>
        <w:rPr>
          <w:color w:val="1A1A1A"/>
          <w:sz w:val="19"/>
          <w:szCs w:val="19"/>
        </w:rPr>
        <w:t xml:space="preserve"> — so the lever is the time-to-trigger, not speed.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Handover clustering.</w:t>
      </w:r>
      <w:r>
        <w:rPr>
          <w:color w:val="1A1A1A"/>
          <w:sz w:val="19"/>
          <w:szCs w:val="19"/>
        </w:rPr>
        <w:t xml:space="preserve"> A Hawkes self-exciting fit gives a branching ratio of </w:t>
      </w:r>
      <w:r>
        <w:rPr>
          <w:b/>
          <w:bCs/>
          <w:color w:val="1A1A1A"/>
          <w:sz w:val="19"/>
          <w:szCs w:val="19"/>
        </w:rPr>
        <w:t xml:space="preserve">0.605 [0.524, 0.673]</w:t>
      </w:r>
      <w:r>
        <w:rPr>
          <w:color w:val="1A1A1A"/>
          <w:sz w:val="19"/>
          <w:szCs w:val="19"/>
        </w:rPr>
        <w:t xml:space="preserve"> — each handover triggers about 0.6 further handovers. Per capture: 0.649 / 0.609 / 0.567 / </w:t>
      </w:r>
      <w:r>
        <w:rPr>
          <w:b/>
          <w:bCs/>
          <w:color w:val="1A1A1A"/>
          <w:sz w:val="19"/>
          <w:szCs w:val="19"/>
        </w:rPr>
        <w:t xml:space="preserve">0.513</w:t>
      </w:r>
      <w:r>
        <w:rPr>
          <w:color w:val="1A1A1A"/>
          <w:sz w:val="19"/>
          <w:szCs w:val="19"/>
        </w:rPr>
        <w:t xml:space="preserve">, lowest on the highway. An Ogata residual test rejects the exponential kernel (D = 0.074, p = 7 × 10⁻⁴), so the clustering is real but not exponentially shaped.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Negative results, reported: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Attempted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Outcome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Dedicated ping-pong classifier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AUROC </w:t>
            </w:r>
            <w:r>
              <w:rPr>
                <w:b/>
                <w:bCs/>
                <w:color w:val="1A1A1A"/>
                <w:sz w:val="16"/>
                <w:szCs w:val="16"/>
              </w:rPr>
              <w:t xml:space="preserve">0.51</w:t>
            </w: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 — chance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Additional neighbour-cell features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 gain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Cell-clustering features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 gain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Two unsupervised domain-adaptation methods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no gain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Counting upper bound on benefit</w:t>
      </w:r>
      <w:r>
        <w:rPr>
          <w:color w:val="1A1A1A"/>
          <w:sz w:val="19"/>
          <w:szCs w:val="19"/>
        </w:rPr>
        <w:t xml:space="preserve"> — not a causal estimate: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Alarm budget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2%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5%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10%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20%</w:t>
            </w:r>
          </w:p>
        </w:tc>
        <w:tc>
          <w:tcPr>
            <w:tcW w:type="dxa" w:w="16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Bound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+0.21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+0.34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+0.25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+0.04</w:t>
            </w:r>
          </w:p>
        </w:tc>
        <w:tc>
          <w:tcPr>
            <w:tcW w:type="dxa" w:w="16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−0.03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The bound peaks at a 5% budget and goes negative by 40%.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Slides 31–33 — Conclusion, Novelty and Future Work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Five results, in order of how hard they are to argue with: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One.</w:t>
      </w:r>
      <w:r>
        <w:rPr>
          <w:color w:val="1A1A1A"/>
          <w:sz w:val="18"/>
          <w:szCs w:val="18"/>
        </w:rPr>
        <w:t xml:space="preserve"> Next handover predicted 1 s ahead at </w:t>
      </w:r>
      <w:r>
        <w:rPr>
          <w:b/>
          <w:bCs/>
          <w:color w:val="1A1A1A"/>
          <w:sz w:val="18"/>
          <w:szCs w:val="18"/>
        </w:rPr>
        <w:t xml:space="preserve">AUROC 0.933 / AUPRC 0.784</w:t>
      </w:r>
      <w:r>
        <w:rPr>
          <w:color w:val="1A1A1A"/>
          <w:sz w:val="18"/>
          <w:szCs w:val="18"/>
        </w:rPr>
        <w:t xml:space="preserve">, 11.7× the floor, ECE 0.024.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Two.</w:t>
      </w:r>
      <w:r>
        <w:rPr>
          <w:color w:val="1A1A1A"/>
          <w:sz w:val="18"/>
          <w:szCs w:val="18"/>
        </w:rPr>
        <w:t xml:space="preserve"> Hazard formulation: </w:t>
      </w:r>
      <w:r>
        <w:rPr>
          <w:b/>
          <w:bCs/>
          <w:color w:val="1A1A1A"/>
          <w:sz w:val="18"/>
          <w:szCs w:val="18"/>
        </w:rPr>
        <w:t xml:space="preserve">0% horizon violations</w:t>
      </w:r>
      <w:r>
        <w:rPr>
          <w:color w:val="1A1A1A"/>
          <w:sz w:val="18"/>
          <w:szCs w:val="18"/>
        </w:rPr>
        <w:t xml:space="preserve"> against 43.6% for independent classifiers — from one fit, no calibration split.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Three.</w:t>
      </w:r>
      <w:r>
        <w:rPr>
          <w:color w:val="1A1A1A"/>
          <w:sz w:val="18"/>
          <w:szCs w:val="18"/>
        </w:rPr>
        <w:t xml:space="preserve"> Grouped evaluation is worth </w:t>
      </w:r>
      <w:r>
        <w:rPr>
          <w:b/>
          <w:bCs/>
          <w:color w:val="1A1A1A"/>
          <w:sz w:val="18"/>
          <w:szCs w:val="18"/>
        </w:rPr>
        <w:t xml:space="preserve">+4% to +74%</w:t>
      </w:r>
      <w:r>
        <w:rPr>
          <w:color w:val="1A1A1A"/>
          <w:sz w:val="18"/>
          <w:szCs w:val="18"/>
        </w:rPr>
        <w:t xml:space="preserve"> depending on architecture, so it reorders the leaderboard.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Four.</w:t>
      </w:r>
      <w:r>
        <w:rPr>
          <w:color w:val="1A1A1A"/>
          <w:sz w:val="18"/>
          <w:szCs w:val="18"/>
        </w:rPr>
        <w:t xml:space="preserve"> </w:t>
      </w:r>
      <w:r>
        <w:rPr>
          <w:b/>
          <w:bCs/>
          <w:color w:val="1A1A1A"/>
          <w:sz w:val="18"/>
          <w:szCs w:val="18"/>
        </w:rPr>
        <w:t xml:space="preserve">AUROC 0.927</w:t>
      </w:r>
      <w:r>
        <w:rPr>
          <w:color w:val="1A1A1A"/>
          <w:sz w:val="18"/>
          <w:szCs w:val="18"/>
        </w:rPr>
        <w:t xml:space="preserve"> on a highway corridor frozen out of every modelling decision; 0.752 on an independent public dataset.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Five.</w:t>
      </w:r>
      <w:r>
        <w:rPr>
          <w:color w:val="1A1A1A"/>
          <w:sz w:val="18"/>
          <w:szCs w:val="18"/>
        </w:rPr>
        <w:t xml:space="preserve"> A distribution-free per-drive guarantee with its price stated: </w:t>
      </w:r>
      <w:r>
        <w:rPr>
          <w:b/>
          <w:bCs/>
          <w:color w:val="1A1A1A"/>
          <w:sz w:val="18"/>
          <w:szCs w:val="18"/>
        </w:rPr>
        <w:t xml:space="preserve">23% alarm rate for a 12.6% miss rate</w:t>
      </w:r>
      <w:r>
        <w:rPr>
          <w:color w:val="1A1A1A"/>
          <w:sz w:val="18"/>
          <w:szCs w:val="18"/>
        </w:rPr>
        <w:t xml:space="preserve">, floor α ≥ 0.034 on 28 drives.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Plus two network findings the literature has not modelled: the A3 report-conversion rate — 62.9% declined, rising with cell size — and a ping-pong rate reported together with its definition.</w:t>
      </w:r>
    </w:p>
    <w:tbl>
      <w:tblPr>
        <w:tblW w:type="dxa" w:w="10080"/>
        <w:tblBorders>
          <w:top w:val="none"/>
          <w:left w:val="single" w:color="891313" w:sz="18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6F6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A1A1A"/>
                <w:sz w:val="23"/>
                <w:szCs w:val="23"/>
              </w:rPr>
              <w:t xml:space="preserve">The novelty is not a new machine-learning algorithm. It is a signalling-grounded, leakage-safe, uncertainty-aware framework that turns real handover measurements into coherent predictions and validates them on unseen and external data.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Boundary, stated by us.</w:t>
      </w:r>
      <w:r>
        <w:rPr>
          <w:color w:val="1A1A1A"/>
          <w:sz w:val="19"/>
          <w:szCs w:val="19"/>
        </w:rPr>
        <w:t xml:space="preserve"> 57 drives, one operator, four days, 1 Hz export capping event detection at 90.5%. Cross-regime transfer rests on a single configuration pair. No causal claim: the logging policy is deterministic, so off-policy evaluation is unidentified here and only a counting bound is reported. Offline predictor, not a deployed controller.</w:t>
      </w:r>
    </w:p>
    <w:p>
      <w:pPr>
        <w:spacing w:after="80" w:line="250"/>
      </w:pPr>
      <w:r>
        <w:rPr>
          <w:b/>
          <w:bCs/>
          <w:color w:val="1A1A1A"/>
          <w:sz w:val="19"/>
          <w:szCs w:val="19"/>
        </w:rPr>
        <w:t xml:space="preserve">Next, in order:</w:t>
      </w:r>
      <w:r>
        <w:rPr>
          <w:color w:val="1A1A1A"/>
          <w:sz w:val="19"/>
          <w:szCs w:val="19"/>
        </w:rPr>
        <w:t xml:space="preserve"> a fuzzy regression-discontinuity design at the A3 boundary — identifiable on data already collected; a second corridor and operator; linking the warning to a measured throughput or interruption effect; an experimental time-to-trigger change; and release of the code and dataset.</w:t>
      </w:r>
    </w:p>
    <w:p>
      <w:pPr>
        <w:spacing w:after="80" w:line="250"/>
      </w:pPr>
      <w:r>
        <w:rPr>
          <w:color w:val="1A1A1A"/>
          <w:sz w:val="19"/>
          <w:szCs w:val="19"/>
        </w:rPr>
        <w:t xml:space="preserve">Thank you. I welcome your questions.</w:t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The eleven numbers to have on the tip of your tongue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Number</w:t>
            </w:r>
          </w:p>
        </w:tc>
        <w:tc>
          <w:tcPr>
            <w:tcW w:type="dxa" w:w="7080"/>
            <w:shd w:fill="F1ECEC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57 / 10,260 / 938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drives / samples / signalling-confirmed handovers (957 raw)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0.933 / 0.784 / 11.7×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AUROC / AUPRC / lift at 1 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6.7%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prevalence at 1 s — the floor everything is read against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0.653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the A3 rule scored as a predictor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43.6% → 0%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horizon violations, independent classifiers → hazard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+74% / +4%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leakage inflation, GRU / logistic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0.927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highway, frozen out of every modelling choice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0.874 / 0.566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dwell time / A3 gap, single-feature AUROC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62.9%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A3 reports declined within 2 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24.5%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ping-pong, PCI + carrier, 15 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23% / 12.6%</w:t>
            </w:r>
          </w:p>
        </w:tc>
        <w:tc>
          <w:tcPr>
            <w:tcW w:type="dxa" w:w="7080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alarm rate / actual miss rate at a 20% target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60" w:before="150"/>
      </w:pPr>
      <w:r>
        <w:rPr>
          <w:b/>
          <w:bCs/>
          <w:color w:val="891313"/>
          <w:sz w:val="21"/>
          <w:szCs w:val="21"/>
        </w:rPr>
        <w:t xml:space="preserve">If a number is challenged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"Is 938 or 957 the right count?"</w:t>
      </w:r>
      <w:r>
        <w:rPr>
          <w:color w:val="1A1A1A"/>
          <w:sz w:val="18"/>
          <w:szCs w:val="18"/>
        </w:rPr>
        <w:t xml:space="preserve"> — Both are correct. 957 raw, 938 inside quality-controlled drives. Every model is scored on 938. Say which one you mean, every time.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"Why is AUPRC lower at 2 s than at 1 s?"</w:t>
      </w:r>
      <w:r>
        <w:rPr>
          <w:color w:val="1A1A1A"/>
          <w:sz w:val="18"/>
          <w:szCs w:val="18"/>
        </w:rPr>
        <w:t xml:space="preserve"> — Because the floor moves. Read the lift column: 11.7× at 1 s against 5.0× at 2 s. The ranking is unchanged.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"Isn't 0.933 just memorising the route?"</w:t>
      </w:r>
      <w:r>
        <w:rPr>
          <w:color w:val="1A1A1A"/>
          <w:sz w:val="18"/>
          <w:szCs w:val="18"/>
        </w:rPr>
        <w:t xml:space="preserve"> — Leave-one-capture-out never drops below 0.909, and the highway was driven after the model was frozen.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"Why does logistic regression beat the deep models?"</w:t>
      </w:r>
      <w:r>
        <w:rPr>
          <w:color w:val="1A1A1A"/>
          <w:sz w:val="18"/>
          <w:szCs w:val="18"/>
        </w:rPr>
        <w:t xml:space="preserve"> — 57 drives. There is not enough data for a sequence model to learn what the engineered features already carry. The leakage table is the reason this looks surprising in the published literature.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"Your ping-pong rate is higher/lower than paper X."</w:t>
      </w:r>
      <w:r>
        <w:rPr>
          <w:color w:val="1A1A1A"/>
          <w:sz w:val="18"/>
          <w:szCs w:val="18"/>
        </w:rPr>
        <w:t xml:space="preserve"> — Almost certainly a different definition. Give the ladder: 24.5 → 29.0 → 38.5 → 41.3 on the same 938 events.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b/>
          <w:bCs/>
          <w:color w:val="1A1A1A"/>
          <w:sz w:val="18"/>
          <w:szCs w:val="18"/>
        </w:rPr>
        <w:t xml:space="preserve">"Where is the causal effect?"</w:t>
      </w:r>
      <w:r>
        <w:rPr>
          <w:color w:val="1A1A1A"/>
          <w:sz w:val="18"/>
          <w:szCs w:val="18"/>
        </w:rPr>
        <w:t xml:space="preserve"> — Not identified on this data, and we say so. The logging policy is deterministic. The fix is the regression-discontinuity design, and it is the first item of future work.</w:t>
      </w:r>
    </w:p>
    <w:sectPr>
      <w:pgSz w:w="12240" w:h="15840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Thesis Defence Script — Data-Dense</dc:title>
  <dc:creator>Abeer Saadman</dc:creator>
  <cp:lastModifiedBy>Un-named</cp:lastModifiedBy>
  <cp:revision>1</cp:revision>
  <dcterms:created xsi:type="dcterms:W3CDTF">2026-09-16T03:00:30.388Z</dcterms:created>
  <dcterms:modified xsi:type="dcterms:W3CDTF">2026-09-16T03:00:30.388Z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