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jc w:val="center"/>
      </w:pPr>
      <w:r>
        <w:rPr>
          <w:b/>
          <w:bCs/>
          <w:color w:val="891313"/>
          <w:sz w:val="34"/>
          <w:szCs w:val="34"/>
        </w:rPr>
        <w:t xml:space="preserve">Final Thesis Defence Script — Dense, Slide by Slide</w:t>
      </w:r>
    </w:p>
    <w:p>
      <w:pPr>
        <w:spacing w:after="120" w:line="280"/>
        <w:jc w:val="center"/>
      </w:pPr>
      <w:r>
        <w:rPr>
          <w:b w:val="false"/>
          <w:bCs w:val="false"/>
          <w:color w:val="1A1A1A"/>
          <w:sz w:val="24"/>
          <w:szCs w:val="24"/>
        </w:rPr>
        <w:t xml:space="preserve">Predicting the Next LTE Handover from Drive-Test Signalling</w:t>
      </w:r>
    </w:p>
    <w:p>
      <w:pPr>
        <w:spacing w:after="120" w:line="280"/>
        <w:jc w:val="center"/>
      </w:pPr>
      <w:r>
        <w:rPr>
          <w:b w:val="false"/>
          <w:bCs w:val="false"/>
          <w:color w:val="666666"/>
          <w:sz w:val="19"/>
          <w:szCs w:val="19"/>
        </w:rPr>
        <w:t xml:space="preserve">Keyed to Handover-Thesis-Presentation.pptx · 33 slides · no tables to read off · every sentence carries a 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What this is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spoken text itself made denser — the figures live inside the sentences, not in a table you read from.</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Length</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 2,700 words — </w:t>
            </w:r>
            <w:r>
              <w:rPr>
                <w:b/>
                <w:bCs/>
                <w:color w:val="1A1A1A"/>
                <w:sz w:val="18"/>
                <w:szCs w:val="18"/>
              </w:rPr>
              <w:t xml:space="preserve">20 minutes</w:t>
            </w:r>
            <w:r>
              <w:rPr>
                <w:b w:val="false"/>
                <w:bCs w:val="false"/>
                <w:color w:val="1A1A1A"/>
                <w:sz w:val="18"/>
                <w:szCs w:val="18"/>
              </w:rPr>
              <w:t xml:space="preserve">. The per-slide budgets below sum to the same 20, so they are a real clock, not a guess.</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Pacing</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Every slide has its own budget. Slides 17–19 are 15 seconds each; slides 21 and 31 are 70. If you are 2 minutes over by slide 21, cut from 27–30, not from 21–26.</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To reach 15 minutes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Compress slides 5, 7, 8, 12, 13 and 30 to one sentence each, and give 17–19 as a single sentence for all three. That is 5 minutes with no result lost.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Rule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If a figure deserts you mid-sentence, say the claim without it and move on. Never guess a number in front of the board.</w:t>
            </w:r>
          </w:p>
        </w:tc>
      </w:tr>
    </w:tbl>
    <w:p>
      <w:pPr>
        <w:spacing w:after="160"/>
      </w:pPr>
      <w:r>
        <w:t xml:space="preserve"/>
      </w:r>
    </w:p>
    <w:p>
      <w:pPr>
        <w:pBdr>
          <w:bottom w:val="single" w:color="D8CFCF" w:sz="6" w:space="6"/>
        </w:pBdr>
        <w:spacing w:after="120" w:before="320"/>
      </w:pPr>
      <w:r>
        <w:rPr>
          <w:b/>
          <w:bCs/>
          <w:color w:val="891313"/>
          <w:sz w:val="25"/>
          <w:szCs w:val="25"/>
        </w:rPr>
        <w:t xml:space="preserve">Slide 1 · Title — 20 s</w:t>
      </w:r>
    </w:p>
    <w:p>
      <w:pPr>
        <w:spacing w:after="130" w:line="288"/>
      </w:pPr>
      <w:r>
        <w:rPr>
          <w:color w:val="1A1A1A"/>
          <w:sz w:val="21"/>
          <w:szCs w:val="21"/>
        </w:rPr>
        <w:t xml:space="preserve">Assalamualaikum. Respected chairman, respected members of the board, and my supervisor. This thesis predicts the next LTE handover from real drive-test signalling: four campaigns in Dhaka and Gazipur, 57 drives, about 95 kilometres, 10,260 samples at one hertz, and 938 handovers confirmed from decoded RRC signalling rather than from a vendor counter.</w:t>
      </w:r>
    </w:p>
    <w:p>
      <w:pPr>
        <w:pBdr>
          <w:bottom w:val="single" w:color="D8CFCF" w:sz="6" w:space="6"/>
        </w:pBdr>
        <w:spacing w:after="120" w:before="320"/>
      </w:pPr>
      <w:r>
        <w:rPr>
          <w:b/>
          <w:bCs/>
          <w:color w:val="891313"/>
          <w:sz w:val="25"/>
          <w:szCs w:val="25"/>
        </w:rPr>
        <w:t xml:space="preserve">Slide 2 · Outline — 20 s</w:t>
      </w:r>
    </w:p>
    <w:p>
      <w:pPr>
        <w:spacing w:after="130" w:line="288"/>
      </w:pPr>
      <w:r>
        <w:rPr>
          <w:color w:val="1A1A1A"/>
          <w:sz w:val="21"/>
          <w:szCs w:val="21"/>
        </w:rPr>
        <w:t xml:space="preserve">Eleven sections. In the interest of your time I will spend most of it on three: the proposed system in section five, the results in section nine, and the boundary of the claim in section ten. The headline, so you have it from the start — one second ahead, AUROC 0.933 and precision-recall 0.784 against a 6.7 percent handover rate, which is 11.7 times random, with a calibration error of 0.024.</w:t>
      </w:r>
    </w:p>
    <w:p>
      <w:pPr>
        <w:pBdr>
          <w:bottom w:val="single" w:color="D8CFCF" w:sz="6" w:space="6"/>
        </w:pBdr>
        <w:spacing w:after="120" w:before="320"/>
      </w:pPr>
      <w:r>
        <w:rPr>
          <w:b/>
          <w:bCs/>
          <w:color w:val="891313"/>
          <w:sz w:val="25"/>
          <w:szCs w:val="25"/>
        </w:rPr>
        <w:t xml:space="preserve">Slide 3 · Background — 45 s</w:t>
      </w:r>
    </w:p>
    <w:p>
      <w:pPr>
        <w:spacing w:after="130" w:line="288"/>
      </w:pPr>
      <w:r>
        <w:rPr>
          <w:i/>
          <w:iCs/>
          <w:color w:val="1A1A1A"/>
          <w:sz w:val="21"/>
          <w:szCs w:val="21"/>
        </w:rPr>
        <w:t xml:space="preserve">The word to land on is "already".</w:t>
      </w:r>
    </w:p>
    <w:p>
      <w:pPr>
        <w:spacing w:after="130" w:line="288"/>
      </w:pPr>
      <w:r>
        <w:rPr>
          <w:color w:val="1A1A1A"/>
          <w:sz w:val="21"/>
          <w:szCs w:val="21"/>
        </w:rPr>
        <w:t xml:space="preserve">The handset measures its serving cell and its neighbours once per second. Event A3 fires when a neighbour becomes better than the serving cell by a configured offset and stays better for a full time-to-trigger. On this network those offsets are minus fifteen, minus ten, minus six point five, plus one and plus five decibels, with time-to-trigger between 160 and 1024 milliseconds — and the plus one decibel, 320 millisecond profile alone carries 679 of our 938 handovers, 72 percent of them. Because the condition is defined on a change that has already happened, A3 cannot fire early. It is reactive by construction, and that is what it was designed to be.</w:t>
      </w:r>
    </w:p>
    <w:p>
      <w:pPr>
        <w:pBdr>
          <w:bottom w:val="single" w:color="D8CFCF" w:sz="6" w:space="6"/>
        </w:pBdr>
        <w:spacing w:after="120" w:before="320"/>
      </w:pPr>
      <w:r>
        <w:rPr>
          <w:b/>
          <w:bCs/>
          <w:color w:val="891313"/>
          <w:sz w:val="25"/>
          <w:szCs w:val="25"/>
        </w:rPr>
        <w:t xml:space="preserve">Slide 4 · Motivation — 45 s</w:t>
      </w:r>
    </w:p>
    <w:p>
      <w:pPr>
        <w:spacing w:after="130" w:line="288"/>
      </w:pPr>
      <w:r>
        <w:rPr>
          <w:color w:val="1A1A1A"/>
          <w:sz w:val="21"/>
          <w:szCs w:val="21"/>
        </w:rPr>
        <w:t xml:space="preserve">The cost is measurable on our own data. 938 handovers in 2.9 hours is one every eleven seconds, median gap three and a half. 24.5 percent return to the cell just left within fifteen seconds — those are wasted. The link failed and had to be re-established 341 times. And of 7,385 A3 reports sent, 62.9 percent were never acted on within two seconds. One second of warning is enough to prepare the target cell, or to suppress a handover that is only going to come straight back.</w:t>
      </w:r>
    </w:p>
    <w:p>
      <w:pPr>
        <w:pBdr>
          <w:bottom w:val="single" w:color="D8CFCF" w:sz="6" w:space="6"/>
        </w:pBdr>
        <w:spacing w:after="120" w:before="320"/>
      </w:pPr>
      <w:r>
        <w:rPr>
          <w:b/>
          <w:bCs/>
          <w:color w:val="891313"/>
          <w:sz w:val="25"/>
          <w:szCs w:val="25"/>
        </w:rPr>
        <w:t xml:space="preserve">Slide 5 · Literature — 30 s</w:t>
      </w:r>
    </w:p>
    <w:p>
      <w:pPr>
        <w:spacing w:after="130" w:line="288"/>
      </w:pPr>
      <w:r>
        <w:rPr>
          <w:color w:val="1A1A1A"/>
          <w:sz w:val="21"/>
          <w:szCs w:val="21"/>
        </w:rPr>
        <w:t xml:space="preserve">We screened 108 papers and audited 22 comparable prediction models. Measurement studies have exactly the ground truth we need and build no predictor. Of the 22 prediction models, none holds out the mobility unit — a whole drive or device session — for a per-timestep task on measured radio; none reports calibration; none reports a lead time or false-alarm rate. Zero of twenty-two on all three counts.</w:t>
      </w:r>
    </w:p>
    <w:p>
      <w:pPr>
        <w:pBdr>
          <w:bottom w:val="single" w:color="D8CFCF" w:sz="6" w:space="6"/>
        </w:pBdr>
        <w:spacing w:after="120" w:before="320"/>
      </w:pPr>
      <w:r>
        <w:rPr>
          <w:b/>
          <w:bCs/>
          <w:color w:val="891313"/>
          <w:sz w:val="25"/>
          <w:szCs w:val="25"/>
        </w:rPr>
        <w:t xml:space="preserve">Slide 6 · Objectives — 25 s</w:t>
      </w:r>
    </w:p>
    <w:p>
      <w:pPr>
        <w:spacing w:after="130" w:line="288"/>
      </w:pPr>
      <w:r>
        <w:rPr>
          <w:color w:val="1A1A1A"/>
          <w:sz w:val="21"/>
          <w:szCs w:val="21"/>
        </w:rPr>
        <w:t xml:space="preserve">Five objectives. O1, predict at 0.5, 1, 2, 3 and 5 seconds from what a handset observes. O2, compare models under a test that cannot leak. O3, make the probabilities coherent, calibrated and bounded. O4, test on a road the model has never seen. O5, explain the mechanism. Each of the five has a number attached to it later in this talk.</w:t>
      </w:r>
    </w:p>
    <w:p>
      <w:pPr>
        <w:pBdr>
          <w:bottom w:val="single" w:color="D8CFCF" w:sz="6" w:space="6"/>
        </w:pBdr>
        <w:spacing w:after="120" w:before="320"/>
      </w:pPr>
      <w:r>
        <w:rPr>
          <w:b/>
          <w:bCs/>
          <w:color w:val="891313"/>
          <w:sz w:val="25"/>
          <w:szCs w:val="25"/>
        </w:rPr>
        <w:t xml:space="preserve">Slide 7 · Research methodology — 30 s</w:t>
      </w:r>
    </w:p>
    <w:p>
      <w:pPr>
        <w:spacing w:after="130" w:line="288"/>
      </w:pPr>
      <w:r>
        <w:rPr>
          <w:color w:val="1A1A1A"/>
          <w:sz w:val="21"/>
          <w:szCs w:val="21"/>
        </w:rPr>
        <w:t xml:space="preserve">Five steps. Collect: drive a measurement handset over real roads, recording radio at one hertz and the full LTE signalling. Label: read the handover out of the signalling itself. Build: 152 feature columns, all backward-looking. Test: train on some drives, test on entirely different drives, four rotations with five seeds. Evaluate: not only prediction quality but operating cost — detection rate, false alarms per hour, lead time.</w:t>
      </w:r>
    </w:p>
    <w:p>
      <w:pPr>
        <w:pBdr>
          <w:bottom w:val="single" w:color="D8CFCF" w:sz="6" w:space="6"/>
        </w:pBdr>
        <w:spacing w:after="120" w:before="320"/>
      </w:pPr>
      <w:r>
        <w:rPr>
          <w:b/>
          <w:bCs/>
          <w:color w:val="891313"/>
          <w:sz w:val="25"/>
          <w:szCs w:val="25"/>
        </w:rPr>
        <w:t xml:space="preserve">Slide 8 · Proposed system, five stages — 30 s</w:t>
      </w:r>
    </w:p>
    <w:p>
      <w:pPr>
        <w:spacing w:after="130" w:line="288"/>
      </w:pPr>
      <w:r>
        <w:rPr>
          <w:color w:val="1A1A1A"/>
          <w:sz w:val="21"/>
          <w:szCs w:val="21"/>
        </w:rPr>
        <w:t xml:space="preserve">Stage two makes the rest possible: a handover is the decoded RRC command itself, millisecond-timestamped, not a counter we have to trust. Stage three uses the past only — 107 inputs, every window closing at the current second and never crossing a drive boundary. Stage four is the formulation that keeps the five look-ahead times consistent. Stage five is grouped evaluation by whole drive, which is where most of the published literature differs from this work.</w:t>
      </w:r>
    </w:p>
    <w:p>
      <w:pPr>
        <w:pBdr>
          <w:bottom w:val="single" w:color="D8CFCF" w:sz="6" w:space="6"/>
        </w:pBdr>
        <w:spacing w:after="120" w:before="320"/>
      </w:pPr>
      <w:r>
        <w:rPr>
          <w:b/>
          <w:bCs/>
          <w:color w:val="891313"/>
          <w:sz w:val="25"/>
          <w:szCs w:val="25"/>
        </w:rPr>
        <w:t xml:space="preserve">Slide 9 · Where the ground truth comes from — 45 s</w:t>
      </w:r>
    </w:p>
    <w:p>
      <w:pPr>
        <w:spacing w:after="130" w:line="288"/>
      </w:pPr>
      <w:r>
        <w:rPr>
          <w:i/>
          <w:iCs/>
          <w:color w:val="1A1A1A"/>
          <w:sz w:val="21"/>
          <w:szCs w:val="21"/>
        </w:rPr>
        <w:t xml:space="preserve">Slow here. This sounds like a detail and it is a contribution.</w:t>
      </w:r>
    </w:p>
    <w:p>
      <w:pPr>
        <w:spacing w:after="130" w:line="288"/>
      </w:pPr>
      <w:r>
        <w:rPr>
          <w:color w:val="1A1A1A"/>
          <w:sz w:val="21"/>
          <w:szCs w:val="21"/>
        </w:rPr>
        <w:t xml:space="preserve">A handover is a decoded </w:t>
      </w:r>
      <w:r>
        <w:rPr>
          <w:rFonts w:ascii="Consolas" w:cs="Consolas" w:eastAsia="Consolas" w:hAnsi="Consolas"/>
          <w:color w:val="1F4E79"/>
          <w:sz w:val="19"/>
          <w:szCs w:val="19"/>
        </w:rPr>
        <w:t xml:space="preserve">RRCConnectionReconfiguration</w:t>
      </w:r>
      <w:r>
        <w:rPr>
          <w:color w:val="1A1A1A"/>
          <w:sz w:val="21"/>
          <w:szCs w:val="21"/>
        </w:rPr>
        <w:t xml:space="preserve"> carrying </w:t>
      </w:r>
      <w:r>
        <w:rPr>
          <w:rFonts w:ascii="Consolas" w:cs="Consolas" w:eastAsia="Consolas" w:hAnsi="Consolas"/>
          <w:color w:val="1F4E79"/>
          <w:sz w:val="19"/>
          <w:szCs w:val="19"/>
        </w:rPr>
        <w:t xml:space="preserve">mobilityControlInfo</w:t>
      </w:r>
      <w:r>
        <w:rPr>
          <w:color w:val="1A1A1A"/>
          <w:sz w:val="21"/>
          <w:szCs w:val="21"/>
        </w:rPr>
        <w:t xml:space="preserve">. But the measurement configuration arrives in pieces, and its identifiers — </w:t>
      </w:r>
      <w:r>
        <w:rPr>
          <w:rFonts w:ascii="Consolas" w:cs="Consolas" w:eastAsia="Consolas" w:hAnsi="Consolas"/>
          <w:color w:val="1F4E79"/>
          <w:sz w:val="19"/>
          <w:szCs w:val="19"/>
        </w:rPr>
        <w:t xml:space="preserve">measId</w:t>
      </w:r>
      <w:r>
        <w:rPr>
          <w:color w:val="1A1A1A"/>
          <w:sz w:val="21"/>
          <w:szCs w:val="21"/>
        </w:rPr>
        <w:t xml:space="preserve">, </w:t>
      </w:r>
      <w:r>
        <w:rPr>
          <w:rFonts w:ascii="Consolas" w:cs="Consolas" w:eastAsia="Consolas" w:hAnsi="Consolas"/>
          <w:color w:val="1F4E79"/>
          <w:sz w:val="19"/>
          <w:szCs w:val="19"/>
        </w:rPr>
        <w:t xml:space="preserve">reportConfigId</w:t>
      </w:r>
      <w:r>
        <w:rPr>
          <w:color w:val="1A1A1A"/>
          <w:sz w:val="21"/>
          <w:szCs w:val="21"/>
        </w:rPr>
        <w:t xml:space="preserve"> — are scoped to the message carrying them. Our first parser ignored that, and 99.4 percent of reports came out as A3, including reports with no neighbour cell present at all — mathematically impossible. Replaying a configuration timeline fixes it, and shows the deployed offsets on this network are negative, not the plus three decibels assumed in earlier published work.</w:t>
      </w:r>
    </w:p>
    <w:p>
      <w:pPr>
        <w:pBdr>
          <w:bottom w:val="single" w:color="D8CFCF" w:sz="6" w:space="6"/>
        </w:pBdr>
        <w:spacing w:after="120" w:before="320"/>
      </w:pPr>
      <w:r>
        <w:rPr>
          <w:b/>
          <w:bCs/>
          <w:color w:val="891313"/>
          <w:sz w:val="25"/>
          <w:szCs w:val="25"/>
        </w:rPr>
        <w:t xml:space="preserve">Slide 10 · What the model is given — 35 s</w:t>
      </w:r>
    </w:p>
    <w:p>
      <w:pPr>
        <w:spacing w:after="130" w:line="288"/>
      </w:pPr>
      <w:r>
        <w:rPr>
          <w:color w:val="1A1A1A"/>
          <w:sz w:val="21"/>
          <w:szCs w:val="21"/>
        </w:rPr>
        <w:t xml:space="preserve">152 columns are built and 107 are used after removing those that are empty or constant: 83 radio features — rolling means, standard deviations, ranges and differences over 3, 5 and 10 second windows, plus neighbour gaps — 17 mobility features from GPS, 13 from the signalling, and 7 history features. Everything looks backwards only, every window closes at the current second, and no window crosses a drive boundary.</w:t>
      </w:r>
    </w:p>
    <w:p>
      <w:pPr>
        <w:pBdr>
          <w:bottom w:val="single" w:color="D8CFCF" w:sz="6" w:space="6"/>
        </w:pBdr>
        <w:spacing w:after="120" w:before="320"/>
      </w:pPr>
      <w:r>
        <w:rPr>
          <w:b/>
          <w:bCs/>
          <w:color w:val="891313"/>
          <w:sz w:val="25"/>
          <w:szCs w:val="25"/>
        </w:rPr>
        <w:t xml:space="preserve">Slide 11 · One model, not five — 50 s</w:t>
      </w:r>
    </w:p>
    <w:p>
      <w:pPr>
        <w:spacing w:after="130" w:line="288"/>
      </w:pPr>
      <w:r>
        <w:rPr>
          <w:i/>
          <w:iCs/>
          <w:color w:val="1A1A1A"/>
          <w:sz w:val="21"/>
          <w:szCs w:val="21"/>
        </w:rPr>
        <w:t xml:space="preserve">This equation is the thesis. Read it, then say what it buys.</w:t>
      </w:r>
    </w:p>
    <w:p>
      <w:pPr>
        <w:spacing w:after="130" w:line="288"/>
      </w:pPr>
      <w:r>
        <w:rPr>
          <w:color w:val="1A1A1A"/>
          <w:sz w:val="21"/>
          <w:szCs w:val="21"/>
        </w:rPr>
        <w:t xml:space="preserve">The obvious approach fails: five separate classifiers, one per look-ahead time, can return a higher probability at one second than at three, which is impossible. So we fit one per-second hazard — given a handover has not happened yet, does it happen now — and the probability within k seconds is one minus the product of the surviving terms. Because it is a product, it can only rise with k. Ordering holds by construction, from a single fit, with no calibration split and no post-hoc correction. On our data that is the difference between 43.6 percent violated samples and zero.</w:t>
      </w:r>
    </w:p>
    <w:p>
      <w:pPr>
        <w:pBdr>
          <w:bottom w:val="single" w:color="D8CFCF" w:sz="6" w:space="6"/>
        </w:pBdr>
        <w:spacing w:after="120" w:before="320"/>
      </w:pPr>
      <w:r>
        <w:rPr>
          <w:b/>
          <w:bCs/>
          <w:color w:val="891313"/>
          <w:sz w:val="25"/>
          <w:szCs w:val="25"/>
        </w:rPr>
        <w:t xml:space="preserve">Slide 12 · What was modelled and compared — 35 s</w:t>
      </w:r>
    </w:p>
    <w:p>
      <w:pPr>
        <w:spacing w:after="130" w:line="288"/>
      </w:pPr>
      <w:r>
        <w:rPr>
          <w:color w:val="1A1A1A"/>
          <w:sz w:val="21"/>
          <w:szCs w:val="21"/>
        </w:rPr>
        <w:t xml:space="preserve">The problem is a time-to-event problem, and the hazard is what makes the five answers one answer. Seven learners are compared under identical folds, identical seeds and the identical formulation: LightGBM, logistic regression, an MLP, a temporal convolutional network, a Transformer, a GRU, and Event A3 itself scored as if it were a predictor. No simulation is used anywhere in this thesis — every score comes from measured radio.</w:t>
      </w:r>
    </w:p>
    <w:p>
      <w:pPr>
        <w:pBdr>
          <w:bottom w:val="single" w:color="D8CFCF" w:sz="6" w:space="6"/>
        </w:pBdr>
        <w:spacing w:after="120" w:before="320"/>
      </w:pPr>
      <w:r>
        <w:rPr>
          <w:b/>
          <w:bCs/>
          <w:color w:val="891313"/>
          <w:sz w:val="25"/>
          <w:szCs w:val="25"/>
        </w:rPr>
        <w:t xml:space="preserve">Slide 13 · Where the data was collected — 25 s</w:t>
      </w:r>
    </w:p>
    <w:p>
      <w:pPr>
        <w:spacing w:after="130" w:line="288"/>
      </w:pPr>
      <w:r>
        <w:rPr>
          <w:color w:val="1A1A1A"/>
          <w:sz w:val="21"/>
          <w:szCs w:val="21"/>
        </w:rPr>
        <w:t xml:space="preserve">Four campaigns in Dhaka and Gazipur, 57 drives, about 95 kilometres. Three urban corridors and one highway run out to Gazipur at a mean speed of 49.5 kilometres an hour. The circles on this map are handovers, and they cluster — they are not spread evenly along the road, which is the first hint that the signal is in the geometry.</w:t>
      </w:r>
    </w:p>
    <w:p>
      <w:pPr>
        <w:pBdr>
          <w:bottom w:val="single" w:color="D8CFCF" w:sz="6" w:space="6"/>
        </w:pBdr>
        <w:spacing w:after="120" w:before="320"/>
      </w:pPr>
      <w:r>
        <w:rPr>
          <w:b/>
          <w:bCs/>
          <w:color w:val="891313"/>
          <w:sz w:val="25"/>
          <w:szCs w:val="25"/>
        </w:rPr>
        <w:t xml:space="preserve">Slide 14 · Four measurement campaigns — 35 s</w:t>
      </w:r>
    </w:p>
    <w:p>
      <w:pPr>
        <w:spacing w:after="130" w:line="288"/>
      </w:pPr>
      <w:r>
        <w:rPr>
          <w:color w:val="1A1A1A"/>
          <w:sz w:val="21"/>
          <w:szCs w:val="21"/>
        </w:rPr>
        <w:t xml:space="preserve">15 drives and 290 handovers on an urban arterial, 8 and 174 on an urban loop, 20 and 297 in dense urban, and 14 drives with 177 handovers on the highway. A drive is a continuous segment of at least 60 seconds. Three things about this table: 957 handovers appear in the raw logs and 938 fall inside quality-controlled drives, which is what every model is scored on; the A3 configuration is identical across all four campaigns; and the highway was driven after every modelling decision had been frozen.</w:t>
      </w:r>
    </w:p>
    <w:p>
      <w:pPr>
        <w:pBdr>
          <w:bottom w:val="single" w:color="D8CFCF" w:sz="6" w:space="6"/>
        </w:pBdr>
        <w:spacing w:after="120" w:before="320"/>
      </w:pPr>
      <w:r>
        <w:rPr>
          <w:b/>
          <w:bCs/>
          <w:color w:val="891313"/>
          <w:sz w:val="25"/>
          <w:szCs w:val="25"/>
        </w:rPr>
        <w:t xml:space="preserve">Slide 15 · Every look-ahead time is a rare-event problem — 25 s</w:t>
      </w:r>
    </w:p>
    <w:p>
      <w:pPr>
        <w:spacing w:after="130" w:line="288"/>
      </w:pPr>
      <w:r>
        <w:rPr>
          <w:color w:val="1A1A1A"/>
          <w:sz w:val="21"/>
          <w:szCs w:val="21"/>
        </w:rPr>
        <w:t xml:space="preserve">10,260 samples on a uniform one-second grid. The handover rate rises from 3.7 percent at half a second to 6.7 at one, 12.5 at two, 17.5 at three and 25.9 at five. At one second a model that always says "no handover" already scores 93.3 percent accuracy — which is why accuracy appears nowhere in this thesis.</w:t>
      </w:r>
    </w:p>
    <w:p>
      <w:pPr>
        <w:pBdr>
          <w:bottom w:val="single" w:color="D8CFCF" w:sz="6" w:space="6"/>
        </w:pBdr>
        <w:spacing w:after="120" w:before="320"/>
      </w:pPr>
      <w:r>
        <w:rPr>
          <w:b/>
          <w:bCs/>
          <w:color w:val="891313"/>
          <w:sz w:val="25"/>
          <w:szCs w:val="25"/>
        </w:rPr>
        <w:t xml:space="preserve">Slide 16 · How the models were tested — 35 s</w:t>
      </w:r>
    </w:p>
    <w:p>
      <w:pPr>
        <w:spacing w:after="130" w:line="288"/>
      </w:pPr>
      <w:r>
        <w:rPr>
          <w:color w:val="1A1A1A"/>
          <w:sz w:val="21"/>
          <w:szCs w:val="21"/>
        </w:rPr>
        <w:t xml:space="preserve">A whole drive is either trained on or tested on, never both. Four rotations, so every drive is tested exactly once — about 14 drives held out against 43 in training — repeated with five seeds for twenty paired observations per comparison. With four folds alone a paired test could never reach a p-value below 0.125, however large the effect. Intervals bootstrap over drives, not samples, and the scaler, threshold and calibrator are fit inside the training fold only.</w:t>
      </w:r>
    </w:p>
    <w:p>
      <w:pPr>
        <w:spacing w:after="120" w:before="320"/>
      </w:pPr>
      <w:r>
        <w:rPr>
          <w:b/>
          <w:bCs/>
          <w:color w:val="891313"/>
          <w:sz w:val="25"/>
          <w:szCs w:val="25"/>
        </w:rPr>
        <w:t xml:space="preserve">Slides 17, 18, 19 · Knowledge profile, complex problem, complex activities — 15 s each</w:t>
      </w:r>
    </w:p>
    <w:p>
      <w:pPr>
        <w:spacing w:after="130" w:line="288"/>
      </w:pPr>
      <w:r>
        <w:rPr>
          <w:i/>
          <w:iCs/>
          <w:color w:val="1A1A1A"/>
          <w:sz w:val="21"/>
          <w:szCs w:val="21"/>
        </w:rPr>
        <w:t xml:space="preserve">Read the heading, name one row, move. Do not read the tables.</w:t>
      </w:r>
    </w:p>
    <w:p>
      <w:pPr>
        <w:spacing w:after="130" w:line="288"/>
      </w:pPr>
      <w:r>
        <w:rPr>
          <w:color w:val="1A1A1A"/>
          <w:sz w:val="21"/>
          <w:szCs w:val="21"/>
        </w:rPr>
        <w:t xml:space="preserve">Seventeen: the work needs WK3 through WK8 together — signalling, propagation, statistics and drive-test practice — and no part of it follows from textbook knowledge alone. Eighteen: all seven complex-problem attributes are present, and every trade-off under P2 is measured and reported rather than assumed — the clearest one is 23 percent of samples alarmed to hold a 12.6 percent miss rate. Nineteen: the innovation is in where established methods are pointed and in the protocol that makes the result checkable by someone else.</w:t>
      </w:r>
    </w:p>
    <w:p>
      <w:pPr>
        <w:pBdr>
          <w:bottom w:val="single" w:color="D8CFCF" w:sz="6" w:space="6"/>
        </w:pBdr>
        <w:spacing w:after="120" w:before="320"/>
      </w:pPr>
      <w:r>
        <w:rPr>
          <w:b/>
          <w:bCs/>
          <w:color w:val="891313"/>
          <w:sz w:val="25"/>
          <w:szCs w:val="25"/>
        </w:rPr>
        <w:t xml:space="preserve">Slide 20 · Impact — 35 s</w:t>
      </w:r>
    </w:p>
    <w:p>
      <w:pPr>
        <w:spacing w:after="130" w:line="288"/>
      </w:pPr>
      <w:r>
        <w:rPr>
          <w:color w:val="1A1A1A"/>
          <w:sz w:val="21"/>
          <w:szCs w:val="21"/>
        </w:rPr>
        <w:t xml:space="preserve">Society: on our routes a handover happens every eleven seconds, and a one- to two-second warning is enough for the network to prepare. Environment: 24.5 percent of handovers return to the cell just left within fifteen seconds — that is measured signalling work that did not need to happen. And the limit, stated plainly: we claim no deployed energy saving, and we make no health claim at all, because there were no human subjects and no exposure experiments in this work.</w:t>
      </w:r>
    </w:p>
    <w:p>
      <w:pPr>
        <w:pBdr>
          <w:bottom w:val="single" w:color="D8CFCF" w:sz="6" w:space="6"/>
        </w:pBdr>
        <w:spacing w:after="120" w:before="320"/>
      </w:pPr>
      <w:r>
        <w:rPr>
          <w:b/>
          <w:bCs/>
          <w:color w:val="891313"/>
          <w:sz w:val="25"/>
          <w:szCs w:val="25"/>
        </w:rPr>
        <w:t xml:space="preserve">Slide 21 · Main result — 70 s</w:t>
      </w:r>
    </w:p>
    <w:p>
      <w:pPr>
        <w:spacing w:after="130" w:line="288"/>
      </w:pPr>
      <w:r>
        <w:rPr>
          <w:i/>
          <w:iCs/>
          <w:color w:val="1A1A1A"/>
          <w:sz w:val="21"/>
          <w:szCs w:val="21"/>
        </w:rPr>
        <w:t xml:space="preserve">Pause before the slide. Read the five look-ahead times at an even pace.</w:t>
      </w:r>
    </w:p>
    <w:p>
      <w:pPr>
        <w:spacing w:after="130" w:line="288"/>
      </w:pPr>
      <w:r>
        <w:rPr>
          <w:color w:val="1A1A1A"/>
          <w:sz w:val="21"/>
          <w:szCs w:val="21"/>
        </w:rPr>
        <w:t xml:space="preserve">At half a second, precision-recall 0.416 against a 3.7 percent floor — 11.3 times — AUROC 0.916, calibration error 0.023. At one second, 0.784 with a bootstrap interval of 0.740 to 0.826, 11.7 times the floor, AUROC 0.933, calibration error 0.024. At two seconds, 0.627 at 5.0 times, AUROC 0.854. At three, 0.598 at 3.4 times, 0.816. At five, 0.606 at 2.3 times, AUROC 0.783, with calibration error rising to 0.141.</w:t>
      </w:r>
    </w:p>
    <w:p>
      <w:pPr>
        <w:spacing w:after="130" w:line="288"/>
      </w:pPr>
      <w:r>
        <w:rPr>
          <w:color w:val="1A1A1A"/>
          <w:sz w:val="21"/>
          <w:szCs w:val="21"/>
        </w:rPr>
        <w:t xml:space="preserve">LightGBM leads at every look-ahead time, and logistic regression is second — ahead of the GRU, the Transformer, the TCN and the MLP. On 57 drives there is not enough data for a sequence model to learn what 107 engineered features already carry. Event A3 itself, scored on the same data as a predictor, reaches AUROC 0.653 and detects 5.5 percent of handovers one second ahead. At the event level we detect 44.7 percent one second out and 65.1 percent at five, against a 90.5 percent ceiling that the one-hertz export imposes — a property of the equipment, not the model.</w:t>
      </w:r>
    </w:p>
    <w:p>
      <w:pPr>
        <w:pBdr>
          <w:bottom w:val="single" w:color="D8CFCF" w:sz="6" w:space="6"/>
        </w:pBdr>
        <w:spacing w:after="120" w:before="320"/>
      </w:pPr>
      <w:r>
        <w:rPr>
          <w:b/>
          <w:bCs/>
          <w:color w:val="891313"/>
          <w:sz w:val="25"/>
          <w:szCs w:val="25"/>
        </w:rPr>
        <w:t xml:space="preserve">Slide 22 · Leakage — 55 s</w:t>
      </w:r>
    </w:p>
    <w:p>
      <w:pPr>
        <w:spacing w:after="130" w:line="288"/>
      </w:pPr>
      <w:r>
        <w:rPr>
          <w:color w:val="1A1A1A"/>
          <w:sz w:val="21"/>
          <w:szCs w:val="21"/>
        </w:rPr>
        <w:t xml:space="preserve">Same data, same models; the only change is splitting by whole drive rather than by random sample. A GRU inflates by 74 percent, the Transformer by 44, the TCN by 27, LightGBM by 20, the MLP by 10, logistic regression by 4 — and the A3 rule moves down by 2. The inflation scales with how much temporal memory an architecture carries, because adjacent one-second rows are near-duplicates and a random split puts almost the same row on both sides. So a careless protocol does not merely raise every score. It reorders the leaderboard, and it can promote a deep model that is not actually winning.</w:t>
      </w:r>
    </w:p>
    <w:p>
      <w:pPr>
        <w:pBdr>
          <w:bottom w:val="single" w:color="D8CFCF" w:sz="6" w:space="6"/>
        </w:pBdr>
        <w:spacing w:after="120" w:before="320"/>
      </w:pPr>
      <w:r>
        <w:rPr>
          <w:b/>
          <w:bCs/>
          <w:color w:val="891313"/>
          <w:sz w:val="25"/>
          <w:szCs w:val="25"/>
        </w:rPr>
        <w:t xml:space="preserve">Slide 23 · Coherence and calibration — 50 s</w:t>
      </w:r>
    </w:p>
    <w:p>
      <w:pPr>
        <w:spacing w:after="130" w:line="288"/>
      </w:pPr>
      <w:r>
        <w:rPr>
          <w:color w:val="1A1A1A"/>
          <w:sz w:val="21"/>
          <w:szCs w:val="21"/>
        </w:rPr>
        <w:t xml:space="preserve">Five separate classifiers contradict themselves on 43.6 percent of samples — a higher probability at one second than at three. The single-model formulation contradicts itself on zero, by construction. Adding per-horizon isotonic calibration to the separate classifiers makes coherence worse rather than better — 48.7 percent, with the largest violation growing from 0.495 to 0.596 — and it costs a held-out split plus two to five precision-recall points. Our calibration beats the uncalibrated baseline at every look-ahead time, with p below 0.0001 over the twenty paired folds.</w:t>
      </w:r>
    </w:p>
    <w:p>
      <w:pPr>
        <w:pBdr>
          <w:bottom w:val="single" w:color="D8CFCF" w:sz="6" w:space="6"/>
        </w:pBdr>
        <w:spacing w:after="120" w:before="320"/>
      </w:pPr>
      <w:r>
        <w:rPr>
          <w:b/>
          <w:bCs/>
          <w:color w:val="891313"/>
          <w:sz w:val="25"/>
          <w:szCs w:val="25"/>
        </w:rPr>
        <w:t xml:space="preserve">Slide 24 · The guarantee and its price — 55 s</w:t>
      </w:r>
    </w:p>
    <w:p>
      <w:pPr>
        <w:spacing w:after="130" w:line="288"/>
      </w:pPr>
      <w:r>
        <w:rPr>
          <w:color w:val="1A1A1A"/>
          <w:sz w:val="21"/>
          <w:szCs w:val="21"/>
        </w:rPr>
        <w:t xml:space="preserve">The threshold is not chosen by hand. It is certified on 28 drives held out for the purpose, using conformal risk control, so the expected per-drive miss rate on future drives stays below a target the operator picks. At a 20 percent target it alarms on 23 percent of samples and actually misses 12.6 percent of handovers, and the bound held on 82 percent of the test drives. At a 5 percent target the alarm rate rises to 61 percent — a guarantee nobody would deploy. And 28 drives set a feasibility floor of 0.034: with this many calibration drives, no tighter target is even expressible. That makes the guarantee a campaign-design quantity — a tighter promise requires more driving, not a better model.</w:t>
      </w:r>
    </w:p>
    <w:p>
      <w:pPr>
        <w:pBdr>
          <w:bottom w:val="single" w:color="D8CFCF" w:sz="6" w:space="6"/>
        </w:pBdr>
        <w:spacing w:after="120" w:before="320"/>
      </w:pPr>
      <w:r>
        <w:rPr>
          <w:b/>
          <w:bCs/>
          <w:color w:val="891313"/>
          <w:sz w:val="25"/>
          <w:szCs w:val="25"/>
        </w:rPr>
        <w:t xml:space="preserve">Slide 25 · A road the model has never seen — 50 s</w:t>
      </w:r>
    </w:p>
    <w:p>
      <w:pPr>
        <w:spacing w:after="130" w:line="288"/>
      </w:pPr>
      <w:r>
        <w:rPr>
          <w:i/>
          <w:iCs/>
          <w:color w:val="1A1A1A"/>
          <w:sz w:val="21"/>
          <w:szCs w:val="21"/>
        </w:rPr>
        <w:t xml:space="preserve">"Frozen" is the word to land on.</w:t>
      </w:r>
    </w:p>
    <w:p>
      <w:pPr>
        <w:spacing w:after="130" w:line="288"/>
      </w:pPr>
      <w:r>
        <w:rPr>
          <w:color w:val="1A1A1A"/>
          <w:sz w:val="21"/>
          <w:szCs w:val="21"/>
        </w:rPr>
        <w:t xml:space="preserve">Each campaign held out completely. The urban arterial gives AUROC 0.949, precision-recall 0.826 at 9.9 times the floor, calibration error 0.027. The urban loop — the smallest campaign, eight drives — gives 0.909 and 0.718 at 9.4 times, error 0.040. Dense urban gives 0.943 and 0.832 at 13.2 times, error 0.019. The highway gives 0.927 and 0.761 at 14.9 times the floor, with calibration error 0.018 — the highest lift and the best calibration of all four, on the one corridor and speed regime the model had never seen, and one that was driven after every modelling choice was frozen. Adding it moved the pooled AUROC by zero: 0.933 before, 0.933 after.</w:t>
      </w:r>
    </w:p>
    <w:p>
      <w:pPr>
        <w:pBdr>
          <w:bottom w:val="single" w:color="D8CFCF" w:sz="6" w:space="6"/>
        </w:pBdr>
        <w:spacing w:after="120" w:before="320"/>
      </w:pPr>
      <w:r>
        <w:rPr>
          <w:b/>
          <w:bCs/>
          <w:color w:val="891313"/>
          <w:sz w:val="25"/>
          <w:szCs w:val="25"/>
        </w:rPr>
        <w:t xml:space="preserve">Slide 26 · Another team's dataset — 30 s</w:t>
      </w:r>
    </w:p>
    <w:p>
      <w:pPr>
        <w:spacing w:after="130" w:line="288"/>
      </w:pPr>
      <w:r>
        <w:rPr>
          <w:color w:val="1A1A1A"/>
          <w:sz w:val="21"/>
          <w:szCs w:val="21"/>
        </w:rPr>
        <w:t xml:space="preserve">Between our own campaigns, with nothing shared — no drives, no routes, no cells — AUROC stays between 0.88 and 0.93. On a public drive-test dataset collected by a different group, our transferred model reaches 0.752 at one second, against 0.745 for a model trained on that dataset itself. So the formulation transfers, not just the fit.</w:t>
      </w:r>
    </w:p>
    <w:p>
      <w:pPr>
        <w:pBdr>
          <w:bottom w:val="single" w:color="D8CFCF" w:sz="6" w:space="6"/>
        </w:pBdr>
        <w:spacing w:after="120" w:before="320"/>
      </w:pPr>
      <w:r>
        <w:rPr>
          <w:b/>
          <w:bCs/>
          <w:color w:val="891313"/>
          <w:sz w:val="25"/>
          <w:szCs w:val="25"/>
        </w:rPr>
        <w:t xml:space="preserve">Slide 27 · Why it works — 50 s</w:t>
      </w:r>
    </w:p>
    <w:p>
      <w:pPr>
        <w:spacing w:after="130" w:line="288"/>
      </w:pPr>
      <w:r>
        <w:rPr>
          <w:i/>
          <w:iCs/>
          <w:color w:val="1A1A1A"/>
          <w:sz w:val="21"/>
          <w:szCs w:val="21"/>
        </w:rPr>
        <w:t xml:space="preserve">The first sentence is the most quotable line in the thesis.</w:t>
      </w:r>
    </w:p>
    <w:p>
      <w:pPr>
        <w:spacing w:after="130" w:line="288"/>
      </w:pPr>
      <w:r>
        <w:rPr>
          <w:color w:val="1A1A1A"/>
          <w:sz w:val="21"/>
          <w:szCs w:val="21"/>
        </w:rPr>
        <w:t xml:space="preserve">The network triggers on its weakest signal. The best single input is how long the handset has already been on this cell: serving dwell time reaches AUROC 0.874 on its own. Serving SINR reaches 0.830. And the quantity the rule actually uses — the gap between serving and neighbour — reaches only 0.566. The gap condition holds on 27.1 percent of all samples, and three in five of the resulting reports are declined. In one sentence: the gap says a handover is permitted, dwell time says one is becoming due.</w:t>
      </w:r>
    </w:p>
    <w:p>
      <w:pPr>
        <w:pBdr>
          <w:bottom w:val="single" w:color="D8CFCF" w:sz="6" w:space="6"/>
        </w:pBdr>
        <w:spacing w:after="120" w:before="320"/>
      </w:pPr>
      <w:r>
        <w:rPr>
          <w:b/>
          <w:bCs/>
          <w:color w:val="891313"/>
          <w:sz w:val="25"/>
          <w:szCs w:val="25"/>
        </w:rPr>
        <w:t xml:space="preserve">Slide 28 · Three in five A3 reports are never acted on — 40 s</w:t>
      </w:r>
    </w:p>
    <w:p>
      <w:pPr>
        <w:spacing w:after="130" w:line="288"/>
      </w:pPr>
      <w:r>
        <w:rPr>
          <w:color w:val="1A1A1A"/>
          <w:sz w:val="21"/>
          <w:szCs w:val="21"/>
        </w:rPr>
        <w:t xml:space="preserve">7,385 A3 reports were sent across the four campaigns, and 62.9 percent of them are not followed by a handover within two seconds. The rate rises with cell size: 57.2, 60.1, 63.3 and 71.9 percent across the four captures. Two qualifiers travel with that number wherever it goes — it is A3 reports only, since all report types together convert at 68.7 percent, and only 43 to 52 percent of measurement reports are A3 in the first place.</w:t>
      </w:r>
    </w:p>
    <w:p>
      <w:pPr>
        <w:pBdr>
          <w:bottom w:val="single" w:color="D8CFCF" w:sz="6" w:space="6"/>
        </w:pBdr>
        <w:spacing w:after="120" w:before="320"/>
      </w:pPr>
      <w:r>
        <w:rPr>
          <w:b/>
          <w:bCs/>
          <w:color w:val="891313"/>
          <w:sz w:val="25"/>
          <w:szCs w:val="25"/>
        </w:rPr>
        <w:t xml:space="preserve">Slide 29 · Where ping-pong comes from — 45 s</w:t>
      </w:r>
    </w:p>
    <w:p>
      <w:pPr>
        <w:spacing w:after="130" w:line="288"/>
      </w:pPr>
      <w:r>
        <w:rPr>
          <w:color w:val="1A1A1A"/>
          <w:sz w:val="21"/>
          <w:szCs w:val="21"/>
        </w:rPr>
        <w:t xml:space="preserve">Handovers that stay on the same carrier return at 31.0 percent; those that change carrier, at 6.5 percent. One configuration carries it — the plus one decibel offset with a 320 millisecond time-to-trigger, which accounts for 72 percent of all handovers and returns at 29.2 percent. And it is not speed: the highway at 49.5 kilometres an hour still returns at 31.1 percent, so the lever is the time-to-trigger. One thing this slide states that the literature usually does not — the rate depends on three definition choices. On the same 938 handovers it runs 24.5, 29.0, 38.5 and 41.3 percent. We quote 24.5 and state all three.</w:t>
      </w:r>
    </w:p>
    <w:p>
      <w:pPr>
        <w:pBdr>
          <w:bottom w:val="single" w:color="D8CFCF" w:sz="6" w:space="6"/>
        </w:pBdr>
        <w:spacing w:after="120" w:before="320"/>
      </w:pPr>
      <w:r>
        <w:rPr>
          <w:b/>
          <w:bCs/>
          <w:color w:val="891313"/>
          <w:sz w:val="25"/>
          <w:szCs w:val="25"/>
        </w:rPr>
        <w:t xml:space="preserve">Slide 30 · What did not help — 35 s</w:t>
      </w:r>
    </w:p>
    <w:p>
      <w:pPr>
        <w:spacing w:after="130" w:line="288"/>
      </w:pPr>
      <w:r>
        <w:rPr>
          <w:color w:val="1A1A1A"/>
          <w:sz w:val="21"/>
          <w:szCs w:val="21"/>
        </w:rPr>
        <w:t xml:space="preserve">Added in good faith and measured: more neighbour data, explicit clustering features, a dedicated ping-pong model, and two unsupervised domain-adaptation methods. None helped — the dedicated ping-pong model reached AUROC 0.51, which is chance. What did help was the formulation, the configuration correction and the protocol. Separately, a Hawkes fit gives a branching ratio of 0.605, so each handover triggers about 0.6 further handovers, and an Ogata residual test rejects the exponential kernel at p equals seven times ten to the minus four.</w:t>
      </w:r>
    </w:p>
    <w:p>
      <w:pPr>
        <w:pBdr>
          <w:bottom w:val="single" w:color="D8CFCF" w:sz="6" w:space="6"/>
        </w:pBdr>
        <w:spacing w:after="120" w:before="320"/>
      </w:pPr>
      <w:r>
        <w:rPr>
          <w:b/>
          <w:bCs/>
          <w:color w:val="891313"/>
          <w:sz w:val="25"/>
          <w:szCs w:val="25"/>
        </w:rPr>
        <w:t xml:space="preserve">Slide 31 · Conclusion — 70 s</w:t>
      </w:r>
    </w:p>
    <w:p>
      <w:pPr>
        <w:spacing w:after="130" w:line="288"/>
      </w:pPr>
      <w:r>
        <w:rPr>
          <w:color w:val="1A1A1A"/>
          <w:sz w:val="21"/>
          <w:szCs w:val="21"/>
        </w:rPr>
        <w:t xml:space="preserve">Five results. The next handover is predictable about a second before the network's own rule can react, using only what a handset already measures — AUROC 0.933, precision-recall 0.784, 11.7 times the floor, calibration error 0.024. One hazard model gives zero horizon violations where five independent classifiers contradict themselves on 43.6 percent of samples. Grouped evaluation is worth between 4 and 74 percent depending on architecture, so the protocol reorders the leaderboard rather than merely lifting it. The result holds at 0.927 on a corridor frozen out of every modelling decision, and 0.752 on an independent public dataset. And the guarantee comes with its price stated: 23 percent of samples alarmed for a 12.6 percent actual miss rate, with a feasibility floor of 0.034 on 28 calibration drives.</w:t>
      </w:r>
    </w:p>
    <w:p>
      <w:pPr>
        <w:spacing w:after="130" w:line="288"/>
      </w:pPr>
      <w:r>
        <w:rPr>
          <w:color w:val="1A1A1A"/>
          <w:sz w:val="21"/>
          <w:szCs w:val="21"/>
        </w:rPr>
        <w:t xml:space="preserve">So the novelty is not a new machine-learning algorithm. It is a signalling-grounded, leakage-safe, uncertainty-aware framework that turns real handover measurements into coherent predictions and validates them on unseen and external data. The boundary, which I will state rather than wait to be asked: 57 drives, one operator, four days, and a one-hertz export that caps event detection at 90.5 percent. We make no causal claim, because the logging policy is deterministic — A3 either fires or it does not — so off-policy evaluation is not identified here and only a counting bound is reported. This is an offline predictor, not a deployed controller.</w:t>
      </w:r>
    </w:p>
    <w:p>
      <w:pPr>
        <w:pBdr>
          <w:bottom w:val="single" w:color="D8CFCF" w:sz="6" w:space="6"/>
        </w:pBdr>
        <w:spacing w:after="120" w:before="320"/>
      </w:pPr>
      <w:r>
        <w:rPr>
          <w:b/>
          <w:bCs/>
          <w:color w:val="891313"/>
          <w:sz w:val="25"/>
          <w:szCs w:val="25"/>
        </w:rPr>
        <w:t xml:space="preserve">Slide 32 · Future works — 30 s</w:t>
      </w:r>
    </w:p>
    <w:p>
      <w:pPr>
        <w:spacing w:after="130" w:line="288"/>
      </w:pPr>
      <w:r>
        <w:rPr>
          <w:color w:val="1A1A1A"/>
          <w:sz w:val="21"/>
          <w:szCs w:val="21"/>
        </w:rPr>
        <w:t xml:space="preserve">In the order the limits demand. A fuzzy regression-discontinuity design at the A3 threshold, comparing drives just either side of the boundary — that makes the causal question identifiable on data we already hold. Then more routes and operators: four days on one network is enough for a careful study, not enough to claim the result holds everywhere. Then linking the warning to a measured throughput or interruption effect, an experimental test of the time-to-trigger change, and release of the code and dataset.</w:t>
      </w:r>
    </w:p>
    <w:p>
      <w:pPr>
        <w:pBdr>
          <w:bottom w:val="single" w:color="D8CFCF" w:sz="6" w:space="6"/>
        </w:pBdr>
        <w:spacing w:after="120" w:before="320"/>
      </w:pPr>
      <w:r>
        <w:rPr>
          <w:b/>
          <w:bCs/>
          <w:color w:val="891313"/>
          <w:sz w:val="25"/>
          <w:szCs w:val="25"/>
        </w:rPr>
        <w:t xml:space="preserve">Slide 33 · Thank you — 10 s</w:t>
      </w:r>
    </w:p>
    <w:p>
      <w:pPr>
        <w:spacing w:after="130" w:line="288"/>
      </w:pPr>
      <w:r>
        <w:rPr>
          <w:color w:val="1A1A1A"/>
          <w:sz w:val="21"/>
          <w:szCs w:val="21"/>
        </w:rPr>
        <w:t xml:space="preserve">Thank you for your time and your attention. I welcome your questions.</w:t>
      </w:r>
    </w:p>
    <w:p>
      <w:pPr>
        <w:spacing w:after="120" w:before="320"/>
      </w:pPr>
      <w:r>
        <w:rPr>
          <w:b/>
          <w:bCs/>
          <w:color w:val="891313"/>
          <w:sz w:val="25"/>
          <w:szCs w:val="25"/>
        </w:rPr>
        <w:t xml:space="preserve">The eleven figures to have memorised</w:t>
      </w:r>
    </w:p>
    <w:p>
      <w:pPr>
        <w:spacing w:after="130" w:line="288"/>
      </w:pPr>
      <w:r>
        <w:rPr>
          <w:color w:val="1A1A1A"/>
          <w:sz w:val="21"/>
          <w:szCs w:val="21"/>
        </w:rPr>
        <w:t xml:space="preserve">If one deserts you mid-sentence, say the claim without it and keep going.</w:t>
      </w:r>
    </w:p>
    <w:p>
      <w:pPr>
        <w:pStyle w:val="ListParagraph"/>
        <w:numPr>
          <w:ilvl w:val="0"/>
          <w:numId w:val="1"/>
        </w:numPr>
        <w:spacing w:after="90" w:line="276"/>
      </w:pPr>
      <w:r>
        <w:rPr>
          <w:b/>
          <w:bCs/>
          <w:color w:val="1A1A1A"/>
          <w:sz w:val="20"/>
          <w:szCs w:val="20"/>
        </w:rPr>
        <w:t xml:space="preserve">57 drives, 10,260 samples, 938 handovers</w:t>
      </w:r>
      <w:r>
        <w:rPr>
          <w:color w:val="1A1A1A"/>
          <w:sz w:val="20"/>
          <w:szCs w:val="20"/>
        </w:rPr>
        <w:t xml:space="preserve"> — 957 in the raw logs, 938 inside quality-controlled drives.</w:t>
      </w:r>
    </w:p>
    <w:p>
      <w:pPr>
        <w:pStyle w:val="ListParagraph"/>
        <w:numPr>
          <w:ilvl w:val="0"/>
          <w:numId w:val="1"/>
        </w:numPr>
        <w:spacing w:after="90" w:line="276"/>
      </w:pPr>
      <w:r>
        <w:rPr>
          <w:b/>
          <w:bCs/>
          <w:color w:val="1A1A1A"/>
          <w:sz w:val="20"/>
          <w:szCs w:val="20"/>
        </w:rPr>
        <w:t xml:space="preserve">0.933 AUROC, 0.784 AUPRC, 11.7× the floor</w:t>
      </w:r>
      <w:r>
        <w:rPr>
          <w:color w:val="1A1A1A"/>
          <w:sz w:val="20"/>
          <w:szCs w:val="20"/>
        </w:rPr>
        <w:t xml:space="preserve"> at one second, calibration error 0.024.</w:t>
      </w:r>
    </w:p>
    <w:p>
      <w:pPr>
        <w:pStyle w:val="ListParagraph"/>
        <w:numPr>
          <w:ilvl w:val="0"/>
          <w:numId w:val="1"/>
        </w:numPr>
        <w:spacing w:after="90" w:line="276"/>
      </w:pPr>
      <w:r>
        <w:rPr>
          <w:b/>
          <w:bCs/>
          <w:color w:val="1A1A1A"/>
          <w:sz w:val="20"/>
          <w:szCs w:val="20"/>
        </w:rPr>
        <w:t xml:space="preserve">6.7 percent</w:t>
      </w:r>
      <w:r>
        <w:rPr>
          <w:color w:val="1A1A1A"/>
          <w:sz w:val="20"/>
          <w:szCs w:val="20"/>
        </w:rPr>
        <w:t xml:space="preserve"> — the handover rate at one second; the floor everything is read against.</w:t>
      </w:r>
    </w:p>
    <w:p>
      <w:pPr>
        <w:pStyle w:val="ListParagraph"/>
        <w:numPr>
          <w:ilvl w:val="0"/>
          <w:numId w:val="1"/>
        </w:numPr>
        <w:spacing w:after="90" w:line="276"/>
      </w:pPr>
      <w:r>
        <w:rPr>
          <w:b/>
          <w:bCs/>
          <w:color w:val="1A1A1A"/>
          <w:sz w:val="20"/>
          <w:szCs w:val="20"/>
        </w:rPr>
        <w:t xml:space="preserve">0.653</w:t>
      </w:r>
      <w:r>
        <w:rPr>
          <w:color w:val="1A1A1A"/>
          <w:sz w:val="20"/>
          <w:szCs w:val="20"/>
        </w:rPr>
        <w:t xml:space="preserve"> — Event A3 scored as a predictor. It detects 5.5 percent one second ahead.</w:t>
      </w:r>
    </w:p>
    <w:p>
      <w:pPr>
        <w:pStyle w:val="ListParagraph"/>
        <w:numPr>
          <w:ilvl w:val="0"/>
          <w:numId w:val="1"/>
        </w:numPr>
        <w:spacing w:after="90" w:line="276"/>
      </w:pPr>
      <w:r>
        <w:rPr>
          <w:b/>
          <w:bCs/>
          <w:color w:val="1A1A1A"/>
          <w:sz w:val="20"/>
          <w:szCs w:val="20"/>
        </w:rPr>
        <w:t xml:space="preserve">43.6 percent to zero</w:t>
      </w:r>
      <w:r>
        <w:rPr>
          <w:color w:val="1A1A1A"/>
          <w:sz w:val="20"/>
          <w:szCs w:val="20"/>
        </w:rPr>
        <w:t xml:space="preserve"> — horizon violations, five classifiers to one hazard model.</w:t>
      </w:r>
    </w:p>
    <w:p>
      <w:pPr>
        <w:pStyle w:val="ListParagraph"/>
        <w:numPr>
          <w:ilvl w:val="0"/>
          <w:numId w:val="1"/>
        </w:numPr>
        <w:spacing w:after="90" w:line="276"/>
      </w:pPr>
      <w:r>
        <w:rPr>
          <w:b/>
          <w:bCs/>
          <w:color w:val="1A1A1A"/>
          <w:sz w:val="20"/>
          <w:szCs w:val="20"/>
        </w:rPr>
        <w:t xml:space="preserve">+74 and +4 percent</w:t>
      </w:r>
      <w:r>
        <w:rPr>
          <w:color w:val="1A1A1A"/>
          <w:sz w:val="20"/>
          <w:szCs w:val="20"/>
        </w:rPr>
        <w:t xml:space="preserve"> — leakage inflation, GRU and logistic regression.</w:t>
      </w:r>
    </w:p>
    <w:p>
      <w:pPr>
        <w:pStyle w:val="ListParagraph"/>
        <w:numPr>
          <w:ilvl w:val="0"/>
          <w:numId w:val="1"/>
        </w:numPr>
        <w:spacing w:after="90" w:line="276"/>
      </w:pPr>
      <w:r>
        <w:rPr>
          <w:b/>
          <w:bCs/>
          <w:color w:val="1A1A1A"/>
          <w:sz w:val="20"/>
          <w:szCs w:val="20"/>
        </w:rPr>
        <w:t xml:space="preserve">0.927</w:t>
      </w:r>
      <w:r>
        <w:rPr>
          <w:color w:val="1A1A1A"/>
          <w:sz w:val="20"/>
          <w:szCs w:val="20"/>
        </w:rPr>
        <w:t xml:space="preserve"> — the highway, frozen out of every modelling decision.</w:t>
      </w:r>
    </w:p>
    <w:p>
      <w:pPr>
        <w:pStyle w:val="ListParagraph"/>
        <w:numPr>
          <w:ilvl w:val="0"/>
          <w:numId w:val="1"/>
        </w:numPr>
        <w:spacing w:after="90" w:line="276"/>
      </w:pPr>
      <w:r>
        <w:rPr>
          <w:b/>
          <w:bCs/>
          <w:color w:val="1A1A1A"/>
          <w:sz w:val="20"/>
          <w:szCs w:val="20"/>
        </w:rPr>
        <w:t xml:space="preserve">0.874 against 0.566</w:t>
      </w:r>
      <w:r>
        <w:rPr>
          <w:color w:val="1A1A1A"/>
          <w:sz w:val="20"/>
          <w:szCs w:val="20"/>
        </w:rPr>
        <w:t xml:space="preserve"> — serving dwell time against the A3 gap, single-feature AUROC.</w:t>
      </w:r>
    </w:p>
    <w:p>
      <w:pPr>
        <w:pStyle w:val="ListParagraph"/>
        <w:numPr>
          <w:ilvl w:val="0"/>
          <w:numId w:val="1"/>
        </w:numPr>
        <w:spacing w:after="90" w:line="276"/>
      </w:pPr>
      <w:r>
        <w:rPr>
          <w:b/>
          <w:bCs/>
          <w:color w:val="1A1A1A"/>
          <w:sz w:val="20"/>
          <w:szCs w:val="20"/>
        </w:rPr>
        <w:t xml:space="preserve">62.9 percent</w:t>
      </w:r>
      <w:r>
        <w:rPr>
          <w:color w:val="1A1A1A"/>
          <w:sz w:val="20"/>
          <w:szCs w:val="20"/>
        </w:rPr>
        <w:t xml:space="preserve"> — A3 reports not acted on within two seconds, out of 7,385.</w:t>
      </w:r>
    </w:p>
    <w:p>
      <w:pPr>
        <w:pStyle w:val="ListParagraph"/>
        <w:numPr>
          <w:ilvl w:val="0"/>
          <w:numId w:val="1"/>
        </w:numPr>
        <w:spacing w:after="90" w:line="276"/>
      </w:pPr>
      <w:r>
        <w:rPr>
          <w:b/>
          <w:bCs/>
          <w:color w:val="1A1A1A"/>
          <w:sz w:val="20"/>
          <w:szCs w:val="20"/>
        </w:rPr>
        <w:t xml:space="preserve">24.5 percent</w:t>
      </w:r>
      <w:r>
        <w:rPr>
          <w:color w:val="1A1A1A"/>
          <w:sz w:val="20"/>
          <w:szCs w:val="20"/>
        </w:rPr>
        <w:t xml:space="preserve"> — ping-pong: PCI plus carrier, fifteen-second window.</w:t>
      </w:r>
    </w:p>
    <w:p>
      <w:pPr>
        <w:pStyle w:val="ListParagraph"/>
        <w:numPr>
          <w:ilvl w:val="0"/>
          <w:numId w:val="1"/>
        </w:numPr>
        <w:spacing w:after="90" w:line="276"/>
      </w:pPr>
      <w:r>
        <w:rPr>
          <w:b/>
          <w:bCs/>
          <w:color w:val="1A1A1A"/>
          <w:sz w:val="20"/>
          <w:szCs w:val="20"/>
        </w:rPr>
        <w:t xml:space="preserve">23 percent for 12.6 percent</w:t>
      </w:r>
      <w:r>
        <w:rPr>
          <w:color w:val="1A1A1A"/>
          <w:sz w:val="20"/>
          <w:szCs w:val="20"/>
        </w:rPr>
        <w:t xml:space="preserve"> — alarm rate for actual miss rate at a 20 percent certified target.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Thesis Defence Script — Dense, Slide by Slide</dc:title>
  <dc:creator>Abeer Saadman</dc:creator>
  <cp:lastModifiedBy>Un-named</cp:lastModifiedBy>
  <cp:revision>1</cp:revision>
  <dcterms:created xsi:type="dcterms:W3CDTF">2026-09-16T03:07:22.104Z</dcterms:created>
  <dcterms:modified xsi:type="dcterms:W3CDTF">2026-09-16T03:07:22.106Z</dcterms:modified>
</cp:coreProperties>
</file>

<file path=docProps/custom.xml><?xml version="1.0" encoding="utf-8"?>
<Properties xmlns="http://schemas.openxmlformats.org/officeDocument/2006/custom-properties" xmlns:vt="http://schemas.openxmlformats.org/officeDocument/2006/docPropsVTypes"/>
</file>