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648"/>
        <w:gridCol w:w="3648"/>
        <w:gridCol w:w="3648"/>
      </w:tblGrid>
      <w:tr>
        <w:trPr>
          <w:cantSplit/>
        </w:trPr>
        <w:tc>
          <w:tcPr>
            <w:tcW w:type="dxa" w:w="1440"/>
            <w:vAlign w:val="center"/>
            <w:tcMar>
              <w:top w:w="5" w:type="dxa"/>
              <w:bottom w:w="5" w:type="dxa"/>
              <w:left w:w="5" w:type="dxa"/>
              <w:right w:w="5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9220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u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922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  <w:vAlign w:val="center"/>
            <w:tcMar>
              <w:top w:w="5" w:type="dxa"/>
              <w:bottom w:w="5" w:type="dxa"/>
              <w:left w:w="5" w:type="dxa"/>
              <w:right w:w="5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1"/>
              </w:rPr>
              <w:t>ISLAMIC UNIVERSITY OF TECHNOLOGY (IUT)</w:t>
              <w:br/>
            </w:r>
            <w:r>
              <w:rPr>
                <w:rFonts w:ascii="Arial" w:hAnsi="Arial"/>
                <w:b/>
                <w:color w:val="1A1A1A"/>
                <w:sz w:val="16"/>
              </w:rPr>
              <w:t>ORGANISATION OF ISLAMIC COOPERATION (OIC)</w:t>
              <w:br/>
            </w:r>
            <w:r>
              <w:rPr>
                <w:rFonts w:ascii="Arial" w:hAnsi="Arial"/>
                <w:b/>
                <w:color w:val="1F4E79"/>
                <w:sz w:val="18"/>
              </w:rPr>
              <w:t>DEPARTMENT OF ELECTRICAL AND ELECTRONIC ENGINEERING</w:t>
              <w:br/>
            </w:r>
            <w:r>
              <w:rPr>
                <w:rFonts w:ascii="Arial" w:hAnsi="Arial"/>
                <w:i/>
                <w:color w:val="555555"/>
                <w:sz w:val="16"/>
              </w:rPr>
              <w:t>B.Sc. Project and Thesis Synopsis (EEE 4700 / EEE 4800)</w:t>
            </w:r>
          </w:p>
        </w:tc>
        <w:tc>
          <w:tcPr>
            <w:tcW w:type="dxa" w:w="1440"/>
            <w:vAlign w:val="center"/>
            <w:tcMar>
              <w:top w:w="5" w:type="dxa"/>
              <w:bottom w:w="5" w:type="dxa"/>
              <w:left w:w="5" w:type="dxa"/>
              <w:right w:w="5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7448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c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44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40"/>
        <w:jc w:val="center"/>
      </w:pPr>
      <w:r>
        <w:rPr>
          <w:rFonts w:ascii="Arial" w:hAnsi="Arial"/>
          <w:color w:val="1F4E79"/>
          <w:sz w:val="14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0" w:after="40" w:line="252" w:lineRule="auto"/>
        <w:jc w:val="center"/>
      </w:pPr>
      <w:r>
        <w:rPr>
          <w:rFonts w:ascii="Arial" w:hAnsi="Arial"/>
          <w:b/>
          <w:color w:val="1A1A1A"/>
          <w:sz w:val="23"/>
        </w:rPr>
        <w:t>Uncertainty-Aware Multi-Horizon Handover Prediction from Drive-Test Signalling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5472"/>
      </w:tblGrid>
      <w:tr>
        <w:trPr>
          <w:cantSplit/>
        </w:trPr>
        <w:tc>
          <w:tcPr>
            <w:tcW w:type="dxa" w:w="5472"/>
            <w:tcMar>
              <w:top w:w="8" w:type="dxa"/>
              <w:bottom w:w="8" w:type="dxa"/>
              <w:left w:w="15" w:type="dxa"/>
              <w:right w:w="1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Submitted by Candidates:</w:t>
              <w:br/>
            </w:r>
            <w:r>
              <w:rPr>
                <w:rFonts w:ascii="Arial" w:hAnsi="Arial"/>
                <w:b/>
                <w:color w:val="1A1A1A"/>
                <w:sz w:val="15"/>
              </w:rPr>
              <w:t xml:space="preserve">• Saadman Sakib </w:t>
            </w:r>
            <w:r>
              <w:rPr>
                <w:rFonts w:ascii="Arial" w:hAnsi="Arial"/>
                <w:color w:val="555555"/>
                <w:sz w:val="14"/>
              </w:rPr>
              <w:t>(ID: 210021110)</w:t>
              <w:br/>
            </w:r>
            <w:r>
              <w:rPr>
                <w:rFonts w:ascii="Arial" w:hAnsi="Arial"/>
                <w:b/>
                <w:color w:val="1A1A1A"/>
                <w:sz w:val="15"/>
              </w:rPr>
              <w:t xml:space="preserve">• Adhnan Kalim </w:t>
            </w:r>
            <w:r>
              <w:rPr>
                <w:rFonts w:ascii="Arial" w:hAnsi="Arial"/>
                <w:color w:val="555555"/>
                <w:sz w:val="14"/>
              </w:rPr>
              <w:t>(ID: 210021308)</w:t>
              <w:br/>
            </w:r>
            <w:r>
              <w:rPr>
                <w:rFonts w:ascii="Arial" w:hAnsi="Arial"/>
                <w:b/>
                <w:color w:val="1A1A1A"/>
                <w:sz w:val="15"/>
              </w:rPr>
              <w:t xml:space="preserve">• Evan Ashfaque </w:t>
            </w:r>
            <w:r>
              <w:rPr>
                <w:rFonts w:ascii="Arial" w:hAnsi="Arial"/>
                <w:color w:val="555555"/>
                <w:sz w:val="14"/>
              </w:rPr>
              <w:t>(ID: 210021335)</w:t>
              <w:br/>
            </w:r>
          </w:p>
        </w:tc>
        <w:tc>
          <w:tcPr>
            <w:tcW w:type="dxa" w:w="5472"/>
            <w:tcMar>
              <w:top w:w="8" w:type="dxa"/>
              <w:bottom w:w="8" w:type="dxa"/>
              <w:left w:w="15" w:type="dxa"/>
              <w:right w:w="15" w:type="dxa"/>
            </w:tcMar>
          </w:tcPr>
          <w:p>
            <w:pPr>
              <w:spacing w:before="0" w:after="0" w:line="245" w:lineRule="auto"/>
            </w:pPr>
            <w:r>
              <w:rPr>
                <w:rFonts w:ascii="Arial" w:hAnsi="Arial"/>
                <w:b/>
                <w:color w:val="1F4E79"/>
                <w:sz w:val="16"/>
              </w:rPr>
              <w:t>Under the Supervision of:</w:t>
              <w:br/>
            </w:r>
            <w:r>
              <w:rPr>
                <w:rFonts w:ascii="Arial" w:hAnsi="Arial"/>
                <w:b/>
                <w:color w:val="1A1A1A"/>
                <w:sz w:val="16"/>
              </w:rPr>
              <w:t>Dr. Mohammad Tawhid Kawser</w:t>
              <w:br/>
            </w:r>
            <w:r>
              <w:rPr>
                <w:rFonts w:ascii="Arial" w:hAnsi="Arial"/>
                <w:color w:val="555555"/>
                <w:sz w:val="14"/>
              </w:rPr>
              <w:t>Professor</w:t>
              <w:br/>
              <w:t>Department of Electrical and Electronic Engineering</w:t>
              <w:br/>
              <w:t>Islamic University of Technology (IUT), Gazipur</w:t>
            </w:r>
          </w:p>
        </w:tc>
      </w:tr>
    </w:tbl>
    <w:p>
      <w:pPr>
        <w:spacing w:before="60" w:after="60" w:line="252" w:lineRule="auto"/>
      </w:pPr>
      <w:r>
        <w:rPr>
          <w:rFonts w:ascii="Arial" w:hAnsi="Arial"/>
          <w:b/>
          <w:color w:val="1F4E79"/>
          <w:sz w:val="16"/>
        </w:rPr>
        <w:t xml:space="preserve">Abstract — </w:t>
      </w:r>
      <w:r>
        <w:rPr>
          <w:rFonts w:ascii="Arial" w:hAnsi="Arial"/>
          <w:color w:val="1A1A1A"/>
          <w:sz w:val="15"/>
        </w:rPr>
        <w:t>LTE manages mobility via Event A3, a reactive rule triggering only after link deterioration. This thesis investigates anticipating the next handover across multiple look-ahead horizons with distribution-free risk guarantees. Across four drive-test campaigns in Dhaka and Gazipur (57 drives, 10,260 1 Hz samples, 938 RRC-confirmed handovers), a gradient-boosted hazard model predicts the next handover 1 s ahead at AUROC 0.933 and AUPRC 0.784 against a 6.7% prevalence floor (11.7× lift) with calibrated probabilities (ECE 0.024) and distribution-free conformal coverage (E[L] ≤ α). Crucially, the model generalises to an unobserved highway holdout driven after all modelling decisions were frozen (AUROC 0.927). A 22-study benchmark confirms our framework is the first to combine multi-horizon lead times, grouped evaluation, and conformal risk bounds.</w:t>
      </w:r>
    </w:p>
    <w:p>
      <w:pPr>
        <w:keepNext/>
        <w:spacing w:before="80" w:after="20"/>
      </w:pPr>
      <w:r>
        <w:rPr>
          <w:rFonts w:ascii="Arial" w:hAnsi="Arial"/>
          <w:b/>
          <w:color w:val="1F4E79"/>
          <w:sz w:val="18"/>
        </w:rPr>
        <w:t>1. Motivation and Problem Formulation</w:t>
      </w:r>
    </w:p>
    <w:p>
      <w:pPr>
        <w:spacing w:before="0" w:after="40" w:line="247" w:lineRule="auto"/>
      </w:pPr>
      <w:r>
        <w:rPr>
          <w:rFonts w:ascii="Arial" w:hAnsi="Arial"/>
          <w:b w:val="0"/>
          <w:i w:val="0"/>
          <w:color w:val="1A1A1A"/>
          <w:sz w:val="16"/>
        </w:rPr>
        <w:t xml:space="preserve">In Long-Term Evolution (LTE), mobility is governed by 3GPP Event A3: neighbour RSRP must exceed serving RSRP by an offset margin for a Time-to-Trigger (TTT) before a measurement report is dispatched. The mechanism is therefore </w:t>
      </w:r>
      <w:r>
        <w:rPr>
          <w:rFonts w:ascii="Arial" w:hAnsi="Arial"/>
          <w:b/>
          <w:i w:val="0"/>
          <w:color w:val="1A1A1A"/>
          <w:sz w:val="16"/>
        </w:rPr>
        <w:t>reactive by construction</w:t>
      </w:r>
      <w:r>
        <w:rPr>
          <w:rFonts w:ascii="Arial" w:hAnsi="Arial"/>
          <w:b w:val="0"/>
          <w:i w:val="0"/>
          <w:color w:val="1A1A1A"/>
          <w:sz w:val="16"/>
        </w:rPr>
        <w:t xml:space="preserve"> — it cannot trigger until the radio link has already degraded (Figure 1). Across our corpus, </w:t>
      </w:r>
      <w:r>
        <w:rPr>
          <w:rFonts w:ascii="Arial" w:hAnsi="Arial"/>
          <w:b/>
          <w:i w:val="0"/>
          <w:color w:val="1A1A1A"/>
          <w:sz w:val="16"/>
        </w:rPr>
        <w:t>938 handovers occurred in 2.9 hours</w:t>
      </w:r>
      <w:r>
        <w:rPr>
          <w:rFonts w:ascii="Arial" w:hAnsi="Arial"/>
          <w:b w:val="0"/>
          <w:i w:val="0"/>
          <w:color w:val="1A1A1A"/>
          <w:sz w:val="16"/>
        </w:rPr>
        <w:t xml:space="preserve"> (one every 11 s), </w:t>
      </w:r>
      <w:r>
        <w:rPr>
          <w:rFonts w:ascii="Arial" w:hAnsi="Arial"/>
          <w:b/>
          <w:i w:val="0"/>
          <w:color w:val="1A1A1A"/>
          <w:sz w:val="16"/>
        </w:rPr>
        <w:t>24.5% exhibited ping-pong oscillation</w:t>
      </w:r>
      <w:r>
        <w:rPr>
          <w:rFonts w:ascii="Arial" w:hAnsi="Arial"/>
          <w:b w:val="0"/>
          <w:i w:val="0"/>
          <w:color w:val="1A1A1A"/>
          <w:sz w:val="16"/>
        </w:rPr>
        <w:t xml:space="preserve">, links collapsed into RLF </w:t>
      </w:r>
      <w:r>
        <w:rPr>
          <w:rFonts w:ascii="Arial" w:hAnsi="Arial"/>
          <w:b/>
          <w:i w:val="0"/>
          <w:color w:val="1A1A1A"/>
          <w:sz w:val="16"/>
        </w:rPr>
        <w:t>341 times</w:t>
      </w:r>
      <w:r>
        <w:rPr>
          <w:rFonts w:ascii="Arial" w:hAnsi="Arial"/>
          <w:b w:val="0"/>
          <w:i w:val="0"/>
          <w:color w:val="1A1A1A"/>
          <w:sz w:val="16"/>
        </w:rPr>
        <w:t xml:space="preserve">, and of 7,385 dispatched A3 reports, </w:t>
      </w:r>
      <w:r>
        <w:rPr>
          <w:rFonts w:ascii="Arial" w:hAnsi="Arial"/>
          <w:b/>
          <w:i w:val="0"/>
          <w:color w:val="1A1A1A"/>
          <w:sz w:val="16"/>
        </w:rPr>
        <w:t>62.9% were unacted upon</w:t>
      </w:r>
      <w:r>
        <w:rPr>
          <w:rFonts w:ascii="Arial" w:hAnsi="Arial"/>
          <w:b w:val="0"/>
          <w:i w:val="0"/>
          <w:color w:val="1A1A1A"/>
          <w:sz w:val="16"/>
        </w:rPr>
        <w:t xml:space="preserve"> by the base station within 2 s.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00400" cy="2007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3_ev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0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40" w:line="240" w:lineRule="auto"/>
        <w:jc w:val="center"/>
      </w:pPr>
      <w:r>
        <w:rPr>
          <w:rFonts w:ascii="Arial" w:hAnsi="Arial"/>
          <w:b/>
          <w:color w:val="1F4E79"/>
          <w:sz w:val="14"/>
        </w:rPr>
        <w:t xml:space="preserve">Figure 1. </w:t>
      </w:r>
      <w:r>
        <w:rPr>
          <w:rFonts w:ascii="Arial" w:hAnsi="Arial"/>
          <w:b/>
          <w:color w:val="1A1A1A"/>
          <w:sz w:val="14"/>
        </w:rPr>
        <w:t xml:space="preserve">Mechanics of 3GPP Event A3 Handover Trigger — </w:t>
      </w:r>
      <w:r>
        <w:rPr>
          <w:rFonts w:ascii="Arial" w:hAnsi="Arial"/>
          <w:i/>
          <w:color w:val="555555"/>
          <w:sz w:val="14"/>
        </w:rPr>
        <w:t>Neighbour RSRP must exceed serving RSRP by offset (+1 dB) for TTT (320 ms) before report dispatch.</w:t>
      </w:r>
    </w:p>
    <w:p>
      <w:pPr>
        <w:spacing w:before="0" w:after="40" w:line="247" w:lineRule="auto"/>
      </w:pPr>
      <w:r>
        <w:rPr>
          <w:rFonts w:ascii="Arial" w:hAnsi="Arial"/>
          <w:b w:val="0"/>
          <w:i w:val="0"/>
          <w:color w:val="1A1A1A"/>
          <w:sz w:val="16"/>
        </w:rPr>
        <w:t xml:space="preserve">An audit of 22 published studies reveals three critical scientific voids: (1) no study enforces grouped-drive holdout evaluation, masking massive temporal leakage; (2) no model provides calibrated probabilities or finite-sample risk bounds; and (3) no work reports lead time trade-offs. </w:t>
      </w:r>
      <w:r>
        <w:rPr>
          <w:rFonts w:ascii="Arial" w:hAnsi="Arial"/>
          <w:b/>
          <w:i w:val="0"/>
          <w:color w:val="1F4E79"/>
          <w:sz w:val="16"/>
        </w:rPr>
        <w:t xml:space="preserve">Objectives: </w:t>
      </w:r>
      <w:r>
        <w:rPr>
          <w:rFonts w:ascii="Arial" w:hAnsi="Arial"/>
          <w:b w:val="0"/>
          <w:i w:val="0"/>
          <w:color w:val="1A1A1A"/>
          <w:sz w:val="16"/>
        </w:rPr>
        <w:t>O1: Predict handovers across 5 discrete horizons (0.5 to 5.0 s); O2: Establish a leakage-free benchmark under whole-drive clustered cross-validation; O3: Formulate a coherent hazard model with conformal risk bounds; O4: Validate domain generalisation across an unseen highway corridor; and O5: Dissect physical mechanisms driving handovers.</w:t>
      </w:r>
    </w:p>
    <w:p>
      <w:r>
        <w:br w:type="page"/>
      </w:r>
    </w:p>
    <w:p>
      <w:pPr>
        <w:keepNext/>
        <w:spacing w:before="80" w:after="20"/>
      </w:pPr>
      <w:r>
        <w:rPr>
          <w:rFonts w:ascii="Arial" w:hAnsi="Arial"/>
          <w:b/>
          <w:color w:val="1F4E79"/>
          <w:sz w:val="18"/>
        </w:rPr>
        <w:t>2. Data Collection Methodology and Empirical Dataset</w:t>
      </w:r>
    </w:p>
    <w:p>
      <w:pPr>
        <w:spacing w:before="0" w:after="40" w:line="247" w:lineRule="auto"/>
      </w:pPr>
      <w:r>
        <w:rPr>
          <w:rFonts w:ascii="Arial" w:hAnsi="Arial"/>
          <w:b/>
          <w:i w:val="0"/>
          <w:color w:val="1F4E79"/>
          <w:sz w:val="15"/>
        </w:rPr>
        <w:t xml:space="preserve">Drive-Test Architecture: </w:t>
      </w:r>
      <w:r>
        <w:rPr>
          <w:rFonts w:ascii="Arial" w:hAnsi="Arial"/>
          <w:b w:val="0"/>
          <w:i w:val="0"/>
          <w:color w:val="1A1A1A"/>
          <w:sz w:val="15"/>
        </w:rPr>
        <w:t>Measurements were conducted using an engineering handset (Samsung Galaxy S10 with Qualcomm Snapdragon X24 LTE-A modem) running commercial XCAL-M software on Grameenphone LTE in Dhaka and Gazipur. XCAL collected simultaneous 1 Hz physical-layer radio metrics (RSRP, RSRQ, RSSI, SINR, CQI) and decoded layer-3 RRC protocol packets (3GPP TS 36.331) across Band 1 (2100 MHz), Band 3 (1800 MHz), and Band 8 (900 MHz) with carrier aggregation.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5472"/>
      </w:tblGrid>
      <w:tr>
        <w:trPr>
          <w:cantSplit/>
        </w:trPr>
        <w:tc>
          <w:tcPr>
            <w:tcW w:type="dxa" w:w="3744"/>
            <w:tcMar>
              <w:top w:w="0" w:type="dxa"/>
              <w:bottom w:w="0" w:type="dxa"/>
              <w:left w:w="0" w:type="dxa"/>
              <w:right w:w="5" w:type="dxa"/>
            </w:tcMar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71878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3_map_rout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7187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240" w:lineRule="auto"/>
              <w:jc w:val="center"/>
            </w:pPr>
            <w:r>
              <w:rPr>
                <w:b/>
                <w:color w:val="1F4E79"/>
                <w:sz w:val="13"/>
              </w:rPr>
              <w:t xml:space="preserve">Figure 2. </w:t>
            </w:r>
            <w:r>
              <w:rPr>
                <w:i/>
                <w:color w:val="555555"/>
                <w:sz w:val="13"/>
              </w:rPr>
              <w:t>Corridors in Dhaka &amp; Gazipur (57 drives, 938 HOs).</w:t>
            </w:r>
          </w:p>
        </w:tc>
        <w:tc>
          <w:tcPr>
            <w:tcW w:type="dxa" w:w="7200"/>
            <w:tcMar>
              <w:top w:w="0" w:type="dxa"/>
              <w:bottom w:w="0" w:type="dxa"/>
              <w:left w:w="5" w:type="dxa"/>
              <w:right w:w="0" w:type="dxa"/>
            </w:tcMar>
          </w:tcPr>
          <w:p>
            <w:pPr>
              <w:spacing w:before="0" w:after="20"/>
            </w:pPr>
            <w:r>
              <w:rPr>
                <w:b/>
                <w:color w:val="1F4E79"/>
                <w:sz w:val="14"/>
              </w:rPr>
              <w:t xml:space="preserve">Table 1. </w:t>
            </w:r>
            <w:r>
              <w:rPr>
                <w:b/>
                <w:color w:val="1A1A1A"/>
                <w:sz w:val="14"/>
              </w:rPr>
              <w:t>Drive-Test Measurement Corpus Breakdown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Ind w:w="0" w:type="dxa"/>
            </w:tblPr>
            <w:tblGrid>
              <w:gridCol w:w="1440"/>
              <w:gridCol w:w="1440"/>
              <w:gridCol w:w="1440"/>
              <w:gridCol w:w="1440"/>
              <w:gridCol w:w="1440"/>
            </w:tblGrid>
            <w:tr>
              <w:trPr>
                <w:cantSplit/>
              </w:trPr>
              <w:tc>
                <w:tcPr>
                  <w:tcW w:type="dxa" w:w="165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1F4E79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color w:val="FFFFFF"/>
                      <w:sz w:val="13"/>
                    </w:rPr>
                    <w:t>Campaign</w:t>
                  </w:r>
                </w:p>
              </w:tc>
              <w:tc>
                <w:tcPr>
                  <w:tcW w:type="dxa" w:w="208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1F4E79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color w:val="FFFFFF"/>
                      <w:sz w:val="13"/>
                    </w:rPr>
                    <w:t>Corridor</w:t>
                  </w:r>
                </w:p>
              </w:tc>
              <w:tc>
                <w:tcPr>
                  <w:tcW w:type="dxa" w:w="792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1F4E79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3"/>
                    </w:rPr>
                    <w:t>Drives</w:t>
                  </w:r>
                </w:p>
              </w:tc>
              <w:tc>
                <w:tcPr>
                  <w:tcW w:type="dxa" w:w="136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1F4E79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3"/>
                    </w:rPr>
                    <w:t>1Hz Pts</w:t>
                  </w:r>
                </w:p>
              </w:tc>
              <w:tc>
                <w:tcPr>
                  <w:tcW w:type="dxa" w:w="93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1F4E79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3"/>
                    </w:rPr>
                    <w:t>HOs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10 Sept</w:t>
                  </w:r>
                </w:p>
              </w:tc>
              <w:tc>
                <w:tcPr>
                  <w:tcW w:type="dxa" w:w="208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Urban arterial</w:t>
                  </w:r>
                </w:p>
              </w:tc>
              <w:tc>
                <w:tcPr>
                  <w:tcW w:type="dxa" w:w="792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15</w:t>
                  </w:r>
                </w:p>
              </w:tc>
              <w:tc>
                <w:tcPr>
                  <w:tcW w:type="dxa" w:w="136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2,700</w:t>
                  </w:r>
                </w:p>
              </w:tc>
              <w:tc>
                <w:tcPr>
                  <w:tcW w:type="dxa" w:w="93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290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12 Sept</w:t>
                  </w:r>
                </w:p>
              </w:tc>
              <w:tc>
                <w:tcPr>
                  <w:tcW w:type="dxa" w:w="208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Urban loop</w:t>
                  </w:r>
                </w:p>
              </w:tc>
              <w:tc>
                <w:tcPr>
                  <w:tcW w:type="dxa" w:w="792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8</w:t>
                  </w:r>
                </w:p>
              </w:tc>
              <w:tc>
                <w:tcPr>
                  <w:tcW w:type="dxa" w:w="136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1,440</w:t>
                  </w:r>
                </w:p>
              </w:tc>
              <w:tc>
                <w:tcPr>
                  <w:tcW w:type="dxa" w:w="93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174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13 Sept</w:t>
                  </w:r>
                </w:p>
              </w:tc>
              <w:tc>
                <w:tcPr>
                  <w:tcW w:type="dxa" w:w="208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Dense urban</w:t>
                  </w:r>
                </w:p>
              </w:tc>
              <w:tc>
                <w:tcPr>
                  <w:tcW w:type="dxa" w:w="792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20</w:t>
                  </w:r>
                </w:p>
              </w:tc>
              <w:tc>
                <w:tcPr>
                  <w:tcW w:type="dxa" w:w="136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3,600</w:t>
                  </w:r>
                </w:p>
              </w:tc>
              <w:tc>
                <w:tcPr>
                  <w:tcW w:type="dxa" w:w="93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8F9FA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297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15 Sept (Hold)</w:t>
                  </w:r>
                </w:p>
              </w:tc>
              <w:tc>
                <w:tcPr>
                  <w:tcW w:type="dxa" w:w="208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Highway (49.5 km/h)</w:t>
                  </w:r>
                </w:p>
              </w:tc>
              <w:tc>
                <w:tcPr>
                  <w:tcW w:type="dxa" w:w="792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14</w:t>
                  </w:r>
                </w:p>
              </w:tc>
              <w:tc>
                <w:tcPr>
                  <w:tcW w:type="dxa" w:w="136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2,520</w:t>
                  </w:r>
                </w:p>
              </w:tc>
              <w:tc>
                <w:tcPr>
                  <w:tcW w:type="dxa" w:w="93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FFFFF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 w:val="0"/>
                      <w:color w:val="1A1A1A"/>
                      <w:sz w:val="13"/>
                    </w:rPr>
                    <w:t>177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DEDEC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color w:val="1F4E79"/>
                      <w:sz w:val="13"/>
                    </w:rPr>
                    <w:t>Pooled</w:t>
                  </w:r>
                </w:p>
              </w:tc>
              <w:tc>
                <w:tcPr>
                  <w:tcW w:type="dxa" w:w="208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DEDEC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color w:val="1F4E79"/>
                      <w:sz w:val="13"/>
                    </w:rPr>
                    <w:t>Dual-regime corpus</w:t>
                  </w:r>
                </w:p>
              </w:tc>
              <w:tc>
                <w:tcPr>
                  <w:tcW w:type="dxa" w:w="792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DEDEC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1F4E79"/>
                      <w:sz w:val="13"/>
                    </w:rPr>
                    <w:t>57</w:t>
                  </w:r>
                </w:p>
              </w:tc>
              <w:tc>
                <w:tcPr>
                  <w:tcW w:type="dxa" w:w="1368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DEDEC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1F4E79"/>
                      <w:sz w:val="13"/>
                    </w:rPr>
                    <w:t>10,260</w:t>
                  </w:r>
                </w:p>
              </w:tc>
              <w:tc>
                <w:tcPr>
                  <w:tcW w:type="dxa" w:w="936"/>
                  <w:tcMar>
                    <w:top w:w="14" w:type="dxa"/>
                    <w:bottom w:w="14" w:type="dxa"/>
                    <w:left w:w="14" w:type="dxa"/>
                    <w:right w:w="14" w:type="dxa"/>
                  </w:tcMar>
                  <w:shd w:fill="FDEDEC"/>
                  <w:tcBorders>
                    <w:bottom w:sz="4" w:val="single" w:color="CCCCCC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1F4E79"/>
                      <w:sz w:val="13"/>
                    </w:rPr>
                    <w:t>938</w:t>
                  </w:r>
                </w:p>
              </w:tc>
            </w:tr>
          </w:tbl>
          <w:p/>
        </w:tc>
      </w:tr>
    </w:tbl>
    <w:p>
      <w:pPr>
        <w:keepNext/>
        <w:spacing w:before="80" w:after="20"/>
      </w:pPr>
      <w:r>
        <w:rPr>
          <w:rFonts w:ascii="Arial" w:hAnsi="Arial"/>
          <w:b/>
          <w:color w:val="1F4E79"/>
          <w:sz w:val="18"/>
        </w:rPr>
        <w:t>3. Methodology and Mathematical Formulation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52160" cy="6419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4_frame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40" w:line="240" w:lineRule="auto"/>
        <w:jc w:val="center"/>
      </w:pPr>
      <w:r>
        <w:rPr>
          <w:rFonts w:ascii="Arial" w:hAnsi="Arial"/>
          <w:b/>
          <w:color w:val="1F4E79"/>
          <w:sz w:val="14"/>
        </w:rPr>
        <w:t xml:space="preserve">Figure 3. </w:t>
      </w:r>
      <w:r>
        <w:rPr>
          <w:rFonts w:ascii="Arial" w:hAnsi="Arial"/>
          <w:b/>
          <w:color w:val="1A1A1A"/>
          <w:sz w:val="14"/>
        </w:rPr>
        <w:t xml:space="preserve">End-to-End System Architecture — </w:t>
      </w:r>
      <w:r>
        <w:rPr>
          <w:rFonts w:ascii="Arial" w:hAnsi="Arial"/>
          <w:i/>
          <w:color w:val="555555"/>
          <w:sz w:val="14"/>
        </w:rPr>
        <w:t>Stage 02 decodes RRC ground truth; Stage 04 fits discrete hazard model; Stage 05 bounds conformal risk.</w:t>
      </w:r>
    </w:p>
    <w:p>
      <w:pPr>
        <w:spacing w:before="0" w:after="40" w:line="247" w:lineRule="auto"/>
      </w:pPr>
      <w:r>
        <w:rPr>
          <w:rFonts w:ascii="Arial" w:hAnsi="Arial"/>
          <w:b/>
          <w:i w:val="0"/>
          <w:color w:val="1F4E79"/>
          <w:sz w:val="15"/>
        </w:rPr>
        <w:t xml:space="preserve">Ground-Truth Signalling Replay: </w:t>
      </w:r>
      <w:r>
        <w:rPr>
          <w:rFonts w:ascii="Arial" w:hAnsi="Arial"/>
          <w:b w:val="0"/>
          <w:i w:val="0"/>
          <w:color w:val="1A1A1A"/>
          <w:sz w:val="15"/>
        </w:rPr>
        <w:t>Rather than relying on noisy physical cell changes (misdetecting 42–56% of true events), handovers are decoded directly from RRCConnectionReconfiguration messages carrying mobilityControlInfo. A stateful configuration timeline engine replays message-scoped measId and reportConfigId mappings against active network parameters in force.</w:t>
      </w:r>
    </w:p>
    <w:p>
      <w:pPr>
        <w:spacing w:before="0" w:after="40" w:line="247" w:lineRule="auto"/>
      </w:pPr>
      <w:r>
        <w:rPr>
          <w:rFonts w:ascii="Arial" w:hAnsi="Arial"/>
          <w:b/>
          <w:i w:val="0"/>
          <w:color w:val="1F4E79"/>
          <w:sz w:val="15"/>
        </w:rPr>
        <w:t xml:space="preserve">Horizon-Coherent Discrete Hazard Formulation: </w:t>
      </w:r>
      <w:r>
        <w:rPr>
          <w:rFonts w:ascii="Arial" w:hAnsi="Arial"/>
          <w:b w:val="0"/>
          <w:i w:val="0"/>
          <w:color w:val="1A1A1A"/>
          <w:sz w:val="15"/>
        </w:rPr>
        <w:t xml:space="preserve">Independent binary classifiers across horizons h ∈ {0.5, 1, 2, 3, 5} s cause 43.6% horizon inversions (P(HO ≤ 1s) &gt; P(HO ≤ 3s)). We solve this via a discrete hazard formulation: a single model estimates instantaneous hazard λ(t) = P(T = t | T ≥ t), yielding cumulative probability P(T ≤ h) = 1 - ∏ (1 - λ(t+k)). This guarantees </w:t>
      </w:r>
      <w:r>
        <w:rPr>
          <w:rFonts w:ascii="Arial" w:hAnsi="Arial"/>
          <w:b/>
          <w:i w:val="0"/>
          <w:color w:val="1A1A1A"/>
          <w:sz w:val="15"/>
        </w:rPr>
        <w:t>0.0% inversions by construction</w:t>
      </w:r>
      <w:r>
        <w:rPr>
          <w:rFonts w:ascii="Arial" w:hAnsi="Arial"/>
          <w:b w:val="0"/>
          <w:i w:val="0"/>
          <w:color w:val="1A1A1A"/>
          <w:sz w:val="15"/>
        </w:rPr>
        <w:t xml:space="preserve"> without post-processing.</w:t>
      </w:r>
    </w:p>
    <w:p>
      <w:pPr>
        <w:spacing w:before="0" w:after="40" w:line="247" w:lineRule="auto"/>
      </w:pPr>
      <w:r>
        <w:rPr>
          <w:rFonts w:ascii="Arial" w:hAnsi="Arial"/>
          <w:b/>
          <w:i w:val="0"/>
          <w:color w:val="1F4E79"/>
          <w:sz w:val="15"/>
        </w:rPr>
        <w:t xml:space="preserve">Feature Engineering &amp; Clustered Protocol: </w:t>
      </w:r>
      <w:r>
        <w:rPr>
          <w:rFonts w:ascii="Arial" w:hAnsi="Arial"/>
          <w:b w:val="0"/>
          <w:i w:val="0"/>
          <w:color w:val="1A1A1A"/>
          <w:sz w:val="15"/>
        </w:rPr>
        <w:t xml:space="preserve">107 leakage-free features survived filtering: 83 multi-window radio features (rolling 3/5/10 s stats, deltas, neighbour margins), 17 kinematic GPS mobility features, and 7 historical dwell metrics. Folds are grouped by </w:t>
      </w:r>
      <w:r>
        <w:rPr>
          <w:rFonts w:ascii="Arial" w:hAnsi="Arial"/>
          <w:b/>
          <w:i w:val="0"/>
          <w:color w:val="1A1A1A"/>
          <w:sz w:val="15"/>
        </w:rPr>
        <w:t>whole drive</w:t>
      </w:r>
      <w:r>
        <w:rPr>
          <w:rFonts w:ascii="Arial" w:hAnsi="Arial"/>
          <w:b w:val="0"/>
          <w:i w:val="0"/>
          <w:color w:val="1A1A1A"/>
          <w:sz w:val="15"/>
        </w:rPr>
        <w:t xml:space="preserve"> across 4 folds and 5 seeds (20 paired observations) with clustered bootstrap CIs. Conformal Risk Control (CRC) on 28 calibration drives guarantees </w:t>
      </w:r>
      <w:r>
        <w:rPr>
          <w:rFonts w:ascii="Arial" w:hAnsi="Arial"/>
          <w:b/>
          <w:i w:val="0"/>
          <w:color w:val="1A1A1A"/>
          <w:sz w:val="15"/>
        </w:rPr>
        <w:t>E[L_drive] ≤ α</w:t>
      </w:r>
      <w:r>
        <w:rPr>
          <w:rFonts w:ascii="Arial" w:hAnsi="Arial"/>
          <w:b w:val="0"/>
          <w:i w:val="0"/>
          <w:color w:val="1A1A1A"/>
          <w:sz w:val="15"/>
        </w:rPr>
        <w:t xml:space="preserve"> with distribution-free validity.</w:t>
      </w:r>
    </w:p>
    <w:p>
      <w:r>
        <w:br w:type="page"/>
      </w:r>
    </w:p>
    <w:p>
      <w:pPr>
        <w:keepNext/>
        <w:spacing w:before="80" w:after="20"/>
      </w:pPr>
      <w:r>
        <w:rPr>
          <w:rFonts w:ascii="Arial" w:hAnsi="Arial"/>
          <w:b/>
          <w:color w:val="1F4E79"/>
          <w:sz w:val="18"/>
        </w:rPr>
        <w:t>4. Experimental Results and Literature Benchmark</w:t>
      </w:r>
    </w:p>
    <w:p>
      <w:pPr>
        <w:keepNext/>
        <w:spacing w:before="20" w:after="40" w:line="240" w:lineRule="auto"/>
        <w:jc w:val="center"/>
      </w:pPr>
      <w:r>
        <w:rPr>
          <w:rFonts w:ascii="Arial" w:hAnsi="Arial"/>
          <w:b/>
          <w:color w:val="1F4E79"/>
          <w:sz w:val="14"/>
        </w:rPr>
        <w:t xml:space="preserve">Table 2. </w:t>
      </w:r>
      <w:r>
        <w:rPr>
          <w:rFonts w:ascii="Arial" w:hAnsi="Arial"/>
          <w:b/>
          <w:color w:val="1A1A1A"/>
          <w:sz w:val="14"/>
        </w:rPr>
        <w:t xml:space="preserve">LightGBM Out-of-Fold Performance under Clustered Grouped-Drive Protocol — </w:t>
      </w:r>
      <w:r>
        <w:rPr>
          <w:rFonts w:ascii="Arial" w:hAnsi="Arial"/>
          <w:i/>
          <w:color w:val="555555"/>
          <w:sz w:val="14"/>
        </w:rPr>
        <w:t>Peak discriminative power occurs at 1.0 s with 11.7× precision lift over prevalence and 0.933 AUROC.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cantSplit/>
          <w:tblHeader/>
        </w:trPr>
        <w:tc>
          <w:tcPr>
            <w:tcW w:type="dxa" w:w="1296"/>
            <w:tcMar>
              <w:top w:w="14" w:type="dxa"/>
              <w:bottom w:w="14" w:type="dxa"/>
              <w:left w:w="25" w:type="dxa"/>
              <w:right w:w="25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Horizon (h)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5" w:type="dxa"/>
              <w:right w:w="25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Prevalence Floor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AUPRC [95% CI]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Precision Lift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AUROC [95% CI]</w:t>
            </w:r>
          </w:p>
        </w:tc>
        <w:tc>
          <w:tcPr>
            <w:tcW w:type="dxa" w:w="864"/>
            <w:tcMar>
              <w:top w:w="14" w:type="dxa"/>
              <w:bottom w:w="14" w:type="dxa"/>
              <w:left w:w="25" w:type="dxa"/>
              <w:right w:w="25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ECE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Brier Score</w:t>
            </w:r>
          </w:p>
        </w:tc>
      </w:tr>
      <w:tr>
        <w:trPr>
          <w:cantSplit/>
        </w:trPr>
        <w:tc>
          <w:tcPr>
            <w:tcW w:type="dxa" w:w="1296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0.5 s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0.037 (3.7%)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0.416 [0.350, 0.490]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11.3×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0.916 [0.892, 0.940]</w:t>
            </w:r>
          </w:p>
        </w:tc>
        <w:tc>
          <w:tcPr>
            <w:tcW w:type="dxa" w:w="864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0.023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0.031</w:t>
            </w:r>
          </w:p>
        </w:tc>
      </w:tr>
      <w:tr>
        <w:trPr>
          <w:cantSplit/>
        </w:trPr>
        <w:tc>
          <w:tcPr>
            <w:tcW w:type="dxa" w:w="1296"/>
            <w:tcMar>
              <w:top w:w="14" w:type="dxa"/>
              <w:bottom w:w="14" w:type="dxa"/>
              <w:left w:w="25" w:type="dxa"/>
              <w:right w:w="25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4E79"/>
                <w:sz w:val="13"/>
              </w:rPr>
              <w:t>1.0 s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5" w:type="dxa"/>
              <w:right w:w="25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0.067 (6.7%)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0.784 [0.740, 0.826]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11.7×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0.933 [0.915, 0.951]</w:t>
            </w:r>
          </w:p>
        </w:tc>
        <w:tc>
          <w:tcPr>
            <w:tcW w:type="dxa" w:w="864"/>
            <w:tcMar>
              <w:top w:w="14" w:type="dxa"/>
              <w:bottom w:w="14" w:type="dxa"/>
              <w:left w:w="25" w:type="dxa"/>
              <w:right w:w="25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0.024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0.048</w:t>
            </w:r>
          </w:p>
        </w:tc>
      </w:tr>
      <w:tr>
        <w:trPr>
          <w:cantSplit/>
        </w:trPr>
        <w:tc>
          <w:tcPr>
            <w:tcW w:type="dxa" w:w="1296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2.0 s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0.125 (12.5%)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0.627 [0.594, 0.657]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5.0×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0.854 [0.832, 0.876]</w:t>
            </w:r>
          </w:p>
        </w:tc>
        <w:tc>
          <w:tcPr>
            <w:tcW w:type="dxa" w:w="864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0.061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0.082</w:t>
            </w:r>
          </w:p>
        </w:tc>
      </w:tr>
      <w:tr>
        <w:trPr>
          <w:cantSplit/>
        </w:trPr>
        <w:tc>
          <w:tcPr>
            <w:tcW w:type="dxa" w:w="1296"/>
            <w:tcMar>
              <w:top w:w="14" w:type="dxa"/>
              <w:bottom w:w="14" w:type="dxa"/>
              <w:left w:w="25" w:type="dxa"/>
              <w:right w:w="25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3.0 s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5" w:type="dxa"/>
              <w:right w:w="25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0.175 (17.5%)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0.598 [0.561, 0.636]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3.4×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0.816 [0.795, 0.837]</w:t>
            </w:r>
          </w:p>
        </w:tc>
        <w:tc>
          <w:tcPr>
            <w:tcW w:type="dxa" w:w="864"/>
            <w:tcMar>
              <w:top w:w="14" w:type="dxa"/>
              <w:bottom w:w="14" w:type="dxa"/>
              <w:left w:w="25" w:type="dxa"/>
              <w:right w:w="25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0.091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0.109</w:t>
            </w:r>
          </w:p>
        </w:tc>
      </w:tr>
      <w:tr>
        <w:trPr>
          <w:cantSplit/>
        </w:trPr>
        <w:tc>
          <w:tcPr>
            <w:tcW w:type="dxa" w:w="1296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5.0 s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0.259 (25.9%)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0.606 [0.564, 0.649]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2.3×</w:t>
            </w:r>
          </w:p>
        </w:tc>
        <w:tc>
          <w:tcPr>
            <w:tcW w:type="dxa" w:w="2016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0.783 [0.760, 0.806]</w:t>
            </w:r>
          </w:p>
        </w:tc>
        <w:tc>
          <w:tcPr>
            <w:tcW w:type="dxa" w:w="864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0.141</w:t>
            </w:r>
          </w:p>
        </w:tc>
        <w:tc>
          <w:tcPr>
            <w:tcW w:type="dxa" w:w="1152"/>
            <w:tcMar>
              <w:top w:w="14" w:type="dxa"/>
              <w:bottom w:w="14" w:type="dxa"/>
              <w:left w:w="25" w:type="dxa"/>
              <w:right w:w="25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0.148</w:t>
            </w:r>
          </w:p>
        </w:tc>
      </w:tr>
    </w:tbl>
    <w:p>
      <w:pPr>
        <w:keepNext/>
        <w:spacing w:before="20" w:after="40" w:line="240" w:lineRule="auto"/>
        <w:jc w:val="center"/>
      </w:pPr>
      <w:r>
        <w:rPr>
          <w:rFonts w:ascii="Arial" w:hAnsi="Arial"/>
          <w:b/>
          <w:color w:val="1F4E79"/>
          <w:sz w:val="14"/>
        </w:rPr>
        <w:t xml:space="preserve">Table 3. </w:t>
      </w:r>
      <w:r>
        <w:rPr>
          <w:rFonts w:ascii="Arial" w:hAnsi="Arial"/>
          <w:b/>
          <w:color w:val="1A1A1A"/>
          <w:sz w:val="14"/>
        </w:rPr>
        <w:t xml:space="preserve">Systematic Comparative Benchmark Across 22 Published Handover Prediction Studies — </w:t>
      </w:r>
      <w:r>
        <w:rPr>
          <w:rFonts w:ascii="Arial" w:hAnsi="Arial"/>
          <w:i/>
          <w:color w:val="555555"/>
          <w:sz w:val="14"/>
        </w:rPr>
        <w:t>Our framework is the first to achieve verifiable multi-horizon lead times, grouped validation, and conformal risk guarantees.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  <w:tblHeader/>
        </w:trPr>
        <w:tc>
          <w:tcPr>
            <w:tcW w:type="dxa" w:w="2016"/>
            <w:tcMar>
              <w:top w:w="14" w:type="dxa"/>
              <w:bottom w:w="14" w:type="dxa"/>
              <w:left w:w="20" w:type="dxa"/>
              <w:right w:w="20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Study &amp; Venue</w:t>
            </w:r>
          </w:p>
        </w:tc>
        <w:tc>
          <w:tcPr>
            <w:tcW w:type="dxa" w:w="1872"/>
            <w:tcMar>
              <w:top w:w="14" w:type="dxa"/>
              <w:bottom w:w="14" w:type="dxa"/>
              <w:left w:w="20" w:type="dxa"/>
              <w:right w:w="20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Data Source &amp; Scope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Split Protocol</w:t>
            </w:r>
          </w:p>
        </w:tc>
        <w:tc>
          <w:tcPr>
            <w:tcW w:type="dxa" w:w="1944"/>
            <w:tcMar>
              <w:top w:w="14" w:type="dxa"/>
              <w:bottom w:w="14" w:type="dxa"/>
              <w:left w:w="20" w:type="dxa"/>
              <w:right w:w="20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Primary Metric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Calibration &amp; Risk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0" w:type="dxa"/>
              <w:right w:w="20" w:type="dxa"/>
            </w:tcMar>
            <w:shd w:fill="1F4E79"/>
            <w:tcBorders>
              <w:bottom w:sz="6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Lead Time</w:t>
            </w:r>
          </w:p>
        </w:tc>
      </w:tr>
      <w:tr>
        <w:trPr>
          <w:cantSplit/>
        </w:trPr>
        <w:tc>
          <w:tcPr>
            <w:tcW w:type="dxa" w:w="2016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Boutiba et al. (2021) [GLOBECOM]</w:t>
            </w:r>
          </w:p>
        </w:tc>
        <w:tc>
          <w:tcPr>
            <w:tcW w:type="dxa" w:w="1872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5G Testbed (OAI)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Unspecified (Leakage)</w:t>
            </w:r>
          </w:p>
        </w:tc>
        <w:tc>
          <w:tcPr>
            <w:tcW w:type="dxa" w:w="1944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98.03% Accuracy (rare RLF)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None (Uncalibrated)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None (Fixed 5 steps)</w:t>
            </w:r>
          </w:p>
        </w:tc>
      </w:tr>
      <w:tr>
        <w:trPr>
          <w:cantSplit/>
        </w:trPr>
        <w:tc>
          <w:tcPr>
            <w:tcW w:type="dxa" w:w="2016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Dzaferagic (2024) [IEEE TNSM]</w:t>
            </w:r>
          </w:p>
        </w:tc>
        <w:tc>
          <w:tcPr>
            <w:tcW w:type="dxa" w:w="1872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Real O-RAN (4,350 HOs)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Not Stated (Random row)</w:t>
            </w:r>
          </w:p>
        </w:tc>
        <w:tc>
          <w:tcPr>
            <w:tcW w:type="dxa" w:w="1944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Precision / Recall (Single pt)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None (Uncalibrated)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None (Fixed horizon)</w:t>
            </w:r>
          </w:p>
        </w:tc>
      </w:tr>
      <w:tr>
        <w:trPr>
          <w:cantSplit/>
        </w:trPr>
        <w:tc>
          <w:tcPr>
            <w:tcW w:type="dxa" w:w="2016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Shafi et al. (2025) [Mendeley/IUT]</w:t>
            </w:r>
          </w:p>
        </w:tc>
        <w:tc>
          <w:tcPr>
            <w:tcW w:type="dxa" w:w="1872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Real XCAL Dhaka (2,154 pts)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Day 1 → Day 2 (n=1 run)</w:t>
            </w:r>
          </w:p>
        </w:tc>
        <w:tc>
          <w:tcPr>
            <w:tcW w:type="dxa" w:w="1944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HO Count (AUROC 0.489)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None (Heuristic Q-table)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0" w:type="dxa"/>
              <w:right w:w="20" w:type="dxa"/>
            </w:tcMar>
            <w:shd w:fill="F8F9FA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None (Reactive only)</w:t>
            </w:r>
          </w:p>
        </w:tc>
      </w:tr>
      <w:tr>
        <w:trPr>
          <w:cantSplit/>
        </w:trPr>
        <w:tc>
          <w:tcPr>
            <w:tcW w:type="dxa" w:w="2016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Amirova et al. (2026) [Future Internet]</w:t>
            </w:r>
          </w:p>
        </w:tc>
        <w:tc>
          <w:tcPr>
            <w:tcW w:type="dxa" w:w="1872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A1A1A"/>
                <w:sz w:val="13"/>
              </w:rPr>
              <w:t>Real LTE Astana (27k pts)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Device hold-out</w:t>
            </w:r>
          </w:p>
        </w:tc>
        <w:tc>
          <w:tcPr>
            <w:tcW w:type="dxa" w:w="1944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PR curve, AUROC 0.82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Bootstrap CI (No ECE)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0" w:type="dxa"/>
              <w:right w:w="20" w:type="dxa"/>
            </w:tcMar>
            <w:shd w:fill="FFFFFF"/>
            <w:tcBorders>
              <w:bottom w:sz="2" w:val="single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A1A1A"/>
                <w:sz w:val="13"/>
              </w:rPr>
              <w:t>None (Single horizon)</w:t>
            </w:r>
          </w:p>
        </w:tc>
      </w:tr>
      <w:tr>
        <w:trPr>
          <w:cantSplit/>
        </w:trPr>
        <w:tc>
          <w:tcPr>
            <w:tcW w:type="dxa" w:w="2016"/>
            <w:tcMar>
              <w:top w:w="14" w:type="dxa"/>
              <w:bottom w:w="14" w:type="dxa"/>
              <w:left w:w="20" w:type="dxa"/>
              <w:right w:w="20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4E79"/>
                <w:sz w:val="13"/>
              </w:rPr>
              <w:t>This Work (2026) [IUT EEE / CSE]</w:t>
            </w:r>
          </w:p>
        </w:tc>
        <w:tc>
          <w:tcPr>
            <w:tcW w:type="dxa" w:w="1872"/>
            <w:tcMar>
              <w:top w:w="14" w:type="dxa"/>
              <w:bottom w:w="14" w:type="dxa"/>
              <w:left w:w="20" w:type="dxa"/>
              <w:right w:w="20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F4E79"/>
                <w:sz w:val="13"/>
              </w:rPr>
              <w:t>Real LTE Dhaka (938 HOs)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Grouped whole-drive</w:t>
            </w:r>
          </w:p>
        </w:tc>
        <w:tc>
          <w:tcPr>
            <w:tcW w:type="dxa" w:w="1944"/>
            <w:tcMar>
              <w:top w:w="14" w:type="dxa"/>
              <w:bottom w:w="14" w:type="dxa"/>
              <w:left w:w="20" w:type="dxa"/>
              <w:right w:w="20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AUPRC 0.416–0.784 (11.7× lift)</w:t>
            </w:r>
          </w:p>
        </w:tc>
        <w:tc>
          <w:tcPr>
            <w:tcW w:type="dxa" w:w="1656"/>
            <w:tcMar>
              <w:top w:w="14" w:type="dxa"/>
              <w:bottom w:w="14" w:type="dxa"/>
              <w:left w:w="20" w:type="dxa"/>
              <w:right w:w="20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ECE 0.024, CRC (≥89%)</w:t>
            </w:r>
          </w:p>
        </w:tc>
        <w:tc>
          <w:tcPr>
            <w:tcW w:type="dxa" w:w="1584"/>
            <w:tcMar>
              <w:top w:w="14" w:type="dxa"/>
              <w:bottom w:w="14" w:type="dxa"/>
              <w:left w:w="20" w:type="dxa"/>
              <w:right w:w="20" w:type="dxa"/>
            </w:tcMar>
            <w:shd w:fill="FDEDEC"/>
            <w:tcBorders>
              <w:top w:sz="4" w:val="single" w:color="1F4E79"/>
              <w:bottom w:sz="4" w:val="single" w:color="1F4E79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F4E79"/>
                <w:sz w:val="13"/>
              </w:rPr>
              <w:t>0.5 s to 5.0 s (Mean 3.45 s)</w:t>
            </w:r>
          </w:p>
        </w:tc>
      </w:tr>
    </w:tbl>
    <w:p>
      <w:pPr>
        <w:spacing w:before="0" w:after="40" w:line="247" w:lineRule="auto"/>
      </w:pPr>
      <w:r>
        <w:rPr>
          <w:rFonts w:ascii="Arial" w:hAnsi="Arial"/>
          <w:b/>
          <w:i w:val="0"/>
          <w:color w:val="1F4E79"/>
          <w:sz w:val="14"/>
        </w:rPr>
        <w:t xml:space="preserve">Four Methodological Gaps Exposed in Literature: </w:t>
      </w:r>
      <w:r>
        <w:rPr>
          <w:rFonts w:ascii="Arial" w:hAnsi="Arial"/>
          <w:b/>
          <w:i w:val="0"/>
          <w:color w:val="1A1A1A"/>
          <w:sz w:val="14"/>
        </w:rPr>
        <w:t xml:space="preserve">1. Fallacy of Raw Accuracy: </w:t>
      </w:r>
      <w:r>
        <w:rPr>
          <w:rFonts w:ascii="Arial" w:hAnsi="Arial"/>
          <w:b w:val="0"/>
          <w:i w:val="0"/>
          <w:color w:val="1A1A1A"/>
          <w:sz w:val="14"/>
        </w:rPr>
        <w:t xml:space="preserve">7 of 22 papers quote 94–99% accuracy on imbalanced tasks. At 1 s (6.7% prevalence), blindly predicting 'no handover' scores 93.3% accuracy while detecting 0 events (and 96.3% at 0.5 s). AUPRC and lift are mandatory. </w:t>
      </w:r>
      <w:r>
        <w:rPr>
          <w:rFonts w:ascii="Arial" w:hAnsi="Arial"/>
          <w:b/>
          <w:i w:val="0"/>
          <w:color w:val="1A1A1A"/>
          <w:sz w:val="14"/>
        </w:rPr>
        <w:t xml:space="preserve">2. Severe Temporal Leakage: </w:t>
      </w:r>
      <w:r>
        <w:rPr>
          <w:rFonts w:ascii="Arial" w:hAnsi="Arial"/>
          <w:b w:val="0"/>
          <w:i w:val="0"/>
          <w:color w:val="1A1A1A"/>
          <w:sz w:val="14"/>
        </w:rPr>
        <w:t xml:space="preserve">Random row splitting artificially inflates GRU AUPRC by +74% to +109% due to adjacent shadow fading correlation. Clustered drive partitioning is strictly required. </w:t>
      </w:r>
      <w:r>
        <w:rPr>
          <w:rFonts w:ascii="Arial" w:hAnsi="Arial"/>
          <w:b/>
          <w:i w:val="0"/>
          <w:color w:val="1A1A1A"/>
          <w:sz w:val="14"/>
        </w:rPr>
        <w:t xml:space="preserve">3. Absence of Calibration: </w:t>
      </w:r>
      <w:r>
        <w:rPr>
          <w:rFonts w:ascii="Arial" w:hAnsi="Arial"/>
          <w:b w:val="0"/>
          <w:i w:val="0"/>
          <w:color w:val="1A1A1A"/>
          <w:sz w:val="14"/>
        </w:rPr>
        <w:t xml:space="preserve">Zero of 22 audited studies report calibration curves, ECE, or conformal bounds. </w:t>
      </w:r>
      <w:r>
        <w:rPr>
          <w:rFonts w:ascii="Arial" w:hAnsi="Arial"/>
          <w:b/>
          <w:i w:val="0"/>
          <w:color w:val="1A1A1A"/>
          <w:sz w:val="14"/>
        </w:rPr>
        <w:t xml:space="preserve">4. Departmental Head-to-Head (Shafi et al., 2025): </w:t>
      </w:r>
      <w:r>
        <w:rPr>
          <w:rFonts w:ascii="Arial" w:hAnsi="Arial"/>
          <w:b w:val="0"/>
          <w:i w:val="0"/>
          <w:color w:val="1A1A1A"/>
          <w:sz w:val="14"/>
        </w:rPr>
        <w:t>On identical Dhaka LTE data, Shafi et al. assumed static parameters (HOM=3dB, TTT=1s), yielding AUROC 0.489. Our stateful RRC decode reveals 4 concurrent profiles with negative offsets (-15 to +5 dB), achieving AUROC 0.933 with 3.45 s advance warning.</w:t>
      </w:r>
    </w:p>
    <w:p>
      <w:pPr>
        <w:keepNext/>
        <w:spacing w:before="60" w:after="20"/>
      </w:pPr>
      <w:r>
        <w:rPr>
          <w:rFonts w:ascii="Arial" w:hAnsi="Arial"/>
          <w:b/>
          <w:color w:val="1F4E79"/>
          <w:sz w:val="18"/>
        </w:rPr>
        <w:t>5. Summary of Key Contributions</w:t>
      </w:r>
    </w:p>
    <w:p>
      <w:pPr>
        <w:spacing w:before="0" w:after="20" w:line="245" w:lineRule="auto"/>
      </w:pPr>
      <w:r>
        <w:rPr>
          <w:rFonts w:ascii="Arial" w:hAnsi="Arial"/>
          <w:b/>
          <w:color w:val="1F4E79"/>
          <w:sz w:val="14"/>
        </w:rPr>
        <w:t xml:space="preserve">1. Discrete-Time Hazard Survival Formulation: </w:t>
      </w:r>
      <w:r>
        <w:rPr>
          <w:rFonts w:ascii="Arial" w:hAnsi="Arial"/>
          <w:color w:val="1A1A1A"/>
          <w:sz w:val="14"/>
        </w:rPr>
        <w:t>A coherent multi-horizon architecture eliminating horizon inversions (0.0% vs 43.6% in independent classifiers) from a single fit without ad-hoc post-processing.</w:t>
      </w:r>
    </w:p>
    <w:p>
      <w:pPr>
        <w:spacing w:before="0" w:after="20" w:line="245" w:lineRule="auto"/>
      </w:pPr>
      <w:r>
        <w:rPr>
          <w:rFonts w:ascii="Arial" w:hAnsi="Arial"/>
          <w:b/>
          <w:color w:val="1F4E79"/>
          <w:sz w:val="14"/>
        </w:rPr>
        <w:t xml:space="preserve">2. Distribution-Free Conformal Risk Guarantees: </w:t>
      </w:r>
      <w:r>
        <w:rPr>
          <w:rFonts w:ascii="Arial" w:hAnsi="Arial"/>
          <w:color w:val="1A1A1A"/>
          <w:sz w:val="14"/>
        </w:rPr>
        <w:t>The first finite-sample exchangeable-drive risk control framework for cellular mobility, guaranteeing E[L_drive] ≤ α.</w:t>
      </w:r>
    </w:p>
    <w:p>
      <w:pPr>
        <w:spacing w:before="0" w:after="20" w:line="245" w:lineRule="auto"/>
      </w:pPr>
      <w:r>
        <w:rPr>
          <w:rFonts w:ascii="Arial" w:hAnsi="Arial"/>
          <w:b/>
          <w:color w:val="1F4E79"/>
          <w:sz w:val="14"/>
        </w:rPr>
        <w:t xml:space="preserve">3. Quantification of Temporal Leakage Inflation: </w:t>
      </w:r>
      <w:r>
        <w:rPr>
          <w:rFonts w:ascii="Arial" w:hAnsi="Arial"/>
          <w:color w:val="1A1A1A"/>
          <w:sz w:val="14"/>
        </w:rPr>
        <w:t>Empirical demonstration that un-grouped data splitting inflates model metrics by +4% to +74% across architectures.</w:t>
      </w:r>
    </w:p>
    <w:p>
      <w:pPr>
        <w:spacing w:before="0" w:after="20" w:line="245" w:lineRule="auto"/>
      </w:pPr>
      <w:r>
        <w:rPr>
          <w:rFonts w:ascii="Arial" w:hAnsi="Arial"/>
          <w:b/>
          <w:color w:val="1F4E79"/>
          <w:sz w:val="14"/>
        </w:rPr>
        <w:t xml:space="preserve">4. Ground-Truth Signalling Replay: </w:t>
      </w:r>
      <w:r>
        <w:rPr>
          <w:rFonts w:ascii="Arial" w:hAnsi="Arial"/>
          <w:color w:val="1A1A1A"/>
          <w:sz w:val="14"/>
        </w:rPr>
        <w:t>A stateful timeline parser resolving message-scoped measurement configurations, proving operational offsets on Grameenphone LTE are negative (-15 dB to +5 dB).</w:t>
      </w:r>
    </w:p>
    <w:p>
      <w:pPr>
        <w:spacing w:before="0" w:after="20" w:line="245" w:lineRule="auto"/>
      </w:pPr>
      <w:r>
        <w:rPr>
          <w:rFonts w:ascii="Arial" w:hAnsi="Arial"/>
          <w:b/>
          <w:color w:val="1F4E79"/>
          <w:sz w:val="14"/>
        </w:rPr>
        <w:t xml:space="preserve">5. Empirical Operational Discoveries: </w:t>
      </w:r>
      <w:r>
        <w:rPr>
          <w:rFonts w:ascii="Arial" w:hAnsi="Arial"/>
          <w:color w:val="1A1A1A"/>
          <w:sz w:val="14"/>
        </w:rPr>
        <w:t>First quantification of the 62.9% A3 report discard rate and layer-specific ping-pong concentration (31.0% intra-carrier vs 6.5% inter-carrier).</w:t>
      </w:r>
    </w:p>
    <w:p>
      <w:pPr>
        <w:keepNext/>
        <w:spacing w:before="60" w:after="20"/>
      </w:pPr>
      <w:r>
        <w:rPr>
          <w:rFonts w:ascii="Arial" w:hAnsi="Arial"/>
          <w:b/>
          <w:color w:val="1F4E79"/>
          <w:sz w:val="18"/>
        </w:rPr>
        <w:t>6. Limitations, Future Directions, and Key References</w:t>
      </w:r>
    </w:p>
    <w:p>
      <w:pPr>
        <w:spacing w:before="0" w:after="0" w:line="247" w:lineRule="auto"/>
      </w:pPr>
      <w:r>
        <w:rPr>
          <w:rFonts w:ascii="Arial" w:hAnsi="Arial"/>
          <w:b/>
          <w:i w:val="0"/>
          <w:color w:val="1F4E79"/>
          <w:sz w:val="14"/>
        </w:rPr>
        <w:t xml:space="preserve">Limitations &amp; Future Work: </w:t>
      </w:r>
      <w:r>
        <w:rPr>
          <w:rFonts w:ascii="Arial" w:hAnsi="Arial"/>
          <w:b w:val="0"/>
          <w:i w:val="0"/>
          <w:color w:val="1A1A1A"/>
          <w:sz w:val="14"/>
        </w:rPr>
        <w:t xml:space="preserve">Bounded by 57 drives across one operator over 4 campaigns with 1 Hz export resolution (capping event detection at 90.5%). Future work includes fuzzy regression-discontinuity design at the A3 margin, real-time O-RAN RIC deployment, and open dataset release. </w:t>
      </w:r>
      <w:r>
        <w:rPr>
          <w:rFonts w:ascii="Arial" w:hAnsi="Arial"/>
          <w:b/>
          <w:i w:val="0"/>
          <w:color w:val="1F4E79"/>
          <w:sz w:val="14"/>
        </w:rPr>
        <w:t xml:space="preserve">Key References: </w:t>
      </w:r>
      <w:r>
        <w:rPr>
          <w:rFonts w:ascii="Arial" w:hAnsi="Arial"/>
          <w:b w:val="0"/>
          <w:i w:val="0"/>
          <w:color w:val="555555"/>
          <w:sz w:val="14"/>
        </w:rPr>
        <w:t>[1] 3GPP TS 36.331 RRC Rel. 16, 2020. [2] Amirova et al., Future Internet 18(2), 2026. [3] Angelopoulos et al., Conformal Risk Control, ICLR, 2024. [4] Boutiba et al., IEEE GLOBECOM, 2021. [5] Cohen et al., IEEE Trans. Commun., 2022. [6] Dzaferagic et al., IEEE TNSM, 2024. [7] Ke et al., LightGBM, NeurIPS, 2017. [8] Shafi, Istiaque, Sowad, Kawser, Mendeley Data, DOI:10.17632/n2pvmtyn2j.1, 2025. [9] Wiegrebe et al., Artif. Intell. Rev. 57, 2024. [10] Zidic et al., Comput. Netw. 227, 2023.</w:t>
      </w:r>
    </w:p>
    <w:sectPr w:rsidR="00FC693F" w:rsidRPr="0006063C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