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w:t>
      </w:r>
    </w:p>
    <w:p>
      <w:r>
        <w:t>The Editor-in-Chief</w:t>
        <w:br/>
        <w:t>Computer Communications</w:t>
        <w:br/>
        <w:t>Elsevier</w:t>
      </w:r>
    </w:p>
    <w:p>
      <w:r>
        <w:t>Dear Editor,</w:t>
      </w:r>
    </w:p>
    <w:p>
      <w:r>
        <w:t>We submit the manuscript "One row too late: timestamp-alignment leakage in drive-test handover prediction, its cost, and a blind second-operator test" for consideration as an original research article in Computer Communications.</w:t>
      </w:r>
    </w:p>
    <w:p>
      <w:r>
        <w:t>Learned handover predictors are increasingly trained on the one-hertz tabular exports of commercial drive-test tools. The manuscript shows that a property of such exports, rather than of the network or the learner, can produce most of the reported predictive skill. In four campaigns on a commercial LTE network, the export row stamped just before a handover command already carries the post-handover serving cell in 76% of handovers. Ignoring this inflates one-second AUPRC about four-fold, and the inflation comes mainly from serving-cell radio measurements rather than from cell identifiers. We support the mechanism with a native-rate public corpus from three further operators, and we replicate the main findings on a capture from a second operator recorded after the pipeline was frozen. We also show that the splitting protocol changes which learner appears best. The manuscript closes with a short audit and a reporting checklist that apply to any predictor built on aggregated measurement exports.</w:t>
      </w:r>
    </w:p>
    <w:p>
      <w:r>
        <w:t>We believe the work fits the journal's scope on the evaluation of protocols and services in operational mobile networks, and that it will be of practical use to researchers who build or review learned mobility-management methods.</w:t>
      </w:r>
    </w:p>
    <w:p>
      <w:r>
        <w:t>The work is based on the authors' B.Sc. thesis at the Islamic University of Technology, and its source repository is public. The manuscript has not been published elsewhere and is not under consideration by another journal. All authors have approved the manuscript and agree with its submission. The code, data and the tables behind every reported number are archived at https://doi.org/10.5281/zenodo.23479562. The corresponding author is a co-author of a public dataset mentioned, but not used for any result, in the manuscript; this is stated in the declaration of competing interest.</w:t>
      </w:r>
    </w:p>
    <w:p>
      <w:r>
        <w:t>Thank you for considering our manuscript.</w:t>
      </w:r>
    </w:p>
    <w:p>
      <w:r>
        <w:t>Sincerely,</w:t>
        <w:br/>
        <w:br/>
        <w:t>Mohammad Tawhid Kawser (corresponding author)</w:t>
        <w:br/>
        <w:t>Professor, Department of Electrical and Electronic Engineering</w:t>
        <w:br/>
        <w:t>Islamic University of Technology (IUT), Board Bazar, Gazipur 1704, Bangladesh</w:t>
        <w:br/>
        <w:t>kawser@iut-dhaka.edu</w:t>
        <w:br/>
        <w:br/>
        <w:t>on behalf of Saadman Sakib, Adhnan Kalim and Evan Ashfaque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