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6E34" w:rsidRDefault="00830BB1">
      <w:pPr>
        <w:spacing w:before="400" w:after="80"/>
        <w:jc w:val="center"/>
      </w:pPr>
      <w:r>
        <w:rPr>
          <w:b/>
          <w:bCs/>
          <w:color w:val="1F3864"/>
          <w:sz w:val="32"/>
          <w:szCs w:val="32"/>
        </w:rPr>
        <w:t>Military Institute of Science &amp; Technology</w:t>
      </w:r>
    </w:p>
    <w:p w:rsidR="00576E34" w:rsidRDefault="00830BB1">
      <w:pPr>
        <w:spacing w:after="40"/>
        <w:jc w:val="center"/>
      </w:pPr>
      <w:r>
        <w:rPr>
          <w:color w:val="444444"/>
        </w:rPr>
        <w:t>Dept. of Electrical, Electronic, and Communication Engineering</w:t>
      </w:r>
    </w:p>
    <w:p w:rsidR="00576E34" w:rsidRDefault="00830BB1">
      <w:pPr>
        <w:spacing w:after="300"/>
        <w:jc w:val="center"/>
      </w:pPr>
      <w:r>
        <w:rPr>
          <w:color w:val="444444"/>
        </w:rPr>
        <w:t>Mirpur Cantonment, Dhaka</w:t>
      </w:r>
    </w:p>
    <w:p w:rsidR="00576E34" w:rsidRDefault="00830BB1">
      <w:pPr>
        <w:spacing w:before="160" w:after="60"/>
        <w:jc w:val="center"/>
      </w:pPr>
      <w:r>
        <w:rPr>
          <w:b/>
          <w:bCs/>
          <w:sz w:val="28"/>
          <w:szCs w:val="28"/>
        </w:rPr>
        <w:t>EECE 400: Final Year Design and Research Project</w:t>
      </w:r>
    </w:p>
    <w:p w:rsidR="00576E34" w:rsidRDefault="00830BB1">
      <w:pPr>
        <w:spacing w:before="60" w:after="300"/>
        <w:jc w:val="center"/>
      </w:pPr>
      <w:r>
        <w:rPr>
          <w:b/>
          <w:bCs/>
          <w:color w:val="2E75B6"/>
          <w:sz w:val="26"/>
          <w:szCs w:val="26"/>
        </w:rPr>
        <w:t>Professional Ethics, Sustainability, and Societal Impact Assessment Report</w:t>
      </w:r>
    </w:p>
    <w:p w:rsidR="00576E34" w:rsidRDefault="00830BB1">
      <w:pPr>
        <w:spacing w:before="60" w:after="80"/>
        <w:jc w:val="center"/>
      </w:pPr>
      <w:r>
        <w:rPr>
          <w:b/>
          <w:bCs/>
          <w:sz w:val="24"/>
          <w:szCs w:val="24"/>
          <w:u w:val="single"/>
        </w:rPr>
        <w:t>Thesis Title</w:t>
      </w:r>
    </w:p>
    <w:p w:rsidR="00576E34" w:rsidRDefault="00830BB1">
      <w:pPr>
        <w:spacing w:after="280"/>
        <w:jc w:val="center"/>
      </w:pPr>
      <w:r>
        <w:rPr>
          <w:b/>
          <w:bCs/>
          <w:color w:val="1F3864"/>
          <w:sz w:val="26"/>
          <w:szCs w:val="26"/>
        </w:rPr>
        <w:t>Hybrid Adaptive Transformer Differential Protection: An Intelligent DWT–LSTM Framework</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800"/>
      </w:tblGrid>
      <w:tr w:rsidR="00576E34">
        <w:tblPrEx>
          <w:tblCellMar>
            <w:top w:w="0" w:type="dxa"/>
            <w:bottom w:w="0" w:type="dxa"/>
          </w:tblCellMar>
        </w:tblPrEx>
        <w:tc>
          <w:tcPr>
            <w:tcW w:w="9200" w:type="dxa"/>
            <w:gridSpan w:val="2"/>
            <w:tcBorders>
              <w:top w:val="single" w:sz="1" w:space="0" w:color="2E75B6"/>
              <w:left w:val="single" w:sz="1" w:space="0" w:color="2E75B6"/>
              <w:bottom w:val="single" w:sz="1" w:space="0" w:color="2E75B6"/>
              <w:right w:val="single" w:sz="1" w:space="0" w:color="2E75B6"/>
            </w:tcBorders>
            <w:shd w:val="clear" w:color="auto" w:fill="2E75B6"/>
            <w:tcMar>
              <w:top w:w="80" w:type="dxa"/>
              <w:left w:w="180" w:type="dxa"/>
              <w:bottom w:w="80" w:type="dxa"/>
              <w:right w:w="180" w:type="dxa"/>
            </w:tcMar>
          </w:tcPr>
          <w:p w:rsidR="00576E34" w:rsidRDefault="00830BB1">
            <w:pPr>
              <w:jc w:val="center"/>
            </w:pPr>
            <w:r>
              <w:rPr>
                <w:b/>
                <w:bCs/>
                <w:color w:val="FFFFFF"/>
              </w:rPr>
              <w:t>Group</w:t>
            </w:r>
          </w:p>
        </w:tc>
      </w:tr>
      <w:tr w:rsidR="00576E34">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rsidR="00576E34" w:rsidRDefault="00830BB1">
            <w:r>
              <w:rPr>
                <w:b/>
                <w:bCs/>
              </w:rPr>
              <w:t>Student ID 1</w:t>
            </w:r>
          </w:p>
        </w:tc>
        <w:tc>
          <w:tcPr>
            <w:tcW w:w="6800" w:type="dxa"/>
            <w:tcBorders>
              <w:top w:val="single" w:sz="1" w:space="0" w:color="AAAAAA"/>
              <w:left w:val="single" w:sz="1" w:space="0" w:color="AAAAAA"/>
              <w:bottom w:val="single" w:sz="1" w:space="0" w:color="AAAAAA"/>
              <w:right w:val="single" w:sz="1" w:space="0" w:color="AAAAAA"/>
            </w:tcBorders>
            <w:tcMar>
              <w:top w:w="80" w:type="dxa"/>
              <w:left w:w="180" w:type="dxa"/>
              <w:bottom w:w="80" w:type="dxa"/>
              <w:right w:w="180" w:type="dxa"/>
            </w:tcMar>
          </w:tcPr>
          <w:p w:rsidR="00576E34" w:rsidRDefault="00830BB1">
            <w:r>
              <w:t>[Student ID 1]</w:t>
            </w:r>
          </w:p>
        </w:tc>
      </w:tr>
      <w:tr w:rsidR="00576E34">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rsidR="00576E34" w:rsidRDefault="00830BB1">
            <w:r>
              <w:rPr>
                <w:b/>
                <w:bCs/>
              </w:rPr>
              <w:t>Student ID 2</w:t>
            </w:r>
          </w:p>
        </w:tc>
        <w:tc>
          <w:tcPr>
            <w:tcW w:w="6800" w:type="dxa"/>
            <w:tcBorders>
              <w:top w:val="single" w:sz="1" w:space="0" w:color="AAAAAA"/>
              <w:left w:val="single" w:sz="1" w:space="0" w:color="AAAAAA"/>
              <w:bottom w:val="single" w:sz="1" w:space="0" w:color="AAAAAA"/>
              <w:right w:val="single" w:sz="1" w:space="0" w:color="AAAAAA"/>
            </w:tcBorders>
            <w:tcMar>
              <w:top w:w="80" w:type="dxa"/>
              <w:left w:w="180" w:type="dxa"/>
              <w:bottom w:w="80" w:type="dxa"/>
              <w:right w:w="180" w:type="dxa"/>
            </w:tcMar>
          </w:tcPr>
          <w:p w:rsidR="00576E34" w:rsidRDefault="00830BB1">
            <w:r>
              <w:t>[Student ID 2]</w:t>
            </w:r>
          </w:p>
        </w:tc>
      </w:tr>
      <w:tr w:rsidR="00576E34">
        <w:tblPrEx>
          <w:tblCellMar>
            <w:top w:w="0" w:type="dxa"/>
            <w:bottom w:w="0" w:type="dxa"/>
          </w:tblCellMar>
        </w:tblPrEx>
        <w:tc>
          <w:tcPr>
            <w:tcW w:w="9200" w:type="dxa"/>
            <w:gridSpan w:val="2"/>
            <w:tcBorders>
              <w:top w:val="single" w:sz="1" w:space="0" w:color="2E75B6"/>
              <w:left w:val="single" w:sz="1" w:space="0" w:color="2E75B6"/>
              <w:bottom w:val="single" w:sz="1" w:space="0" w:color="2E75B6"/>
              <w:right w:val="single" w:sz="1" w:space="0" w:color="2E75B6"/>
            </w:tcBorders>
            <w:shd w:val="clear" w:color="auto" w:fill="2E75B6"/>
            <w:tcMar>
              <w:top w:w="80" w:type="dxa"/>
              <w:left w:w="180" w:type="dxa"/>
              <w:bottom w:w="80" w:type="dxa"/>
              <w:right w:w="180" w:type="dxa"/>
            </w:tcMar>
          </w:tcPr>
          <w:p w:rsidR="00576E34" w:rsidRDefault="00830BB1">
            <w:pPr>
              <w:jc w:val="center"/>
            </w:pPr>
            <w:r>
              <w:rPr>
                <w:b/>
                <w:bCs/>
                <w:color w:val="FFFFFF"/>
              </w:rPr>
              <w:t>Supervisor</w:t>
            </w:r>
          </w:p>
        </w:tc>
      </w:tr>
      <w:tr w:rsidR="00576E34">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rsidR="00576E34" w:rsidRDefault="00830BB1">
            <w:r>
              <w:rPr>
                <w:b/>
                <w:bCs/>
              </w:rPr>
              <w:t>Name</w:t>
            </w:r>
          </w:p>
        </w:tc>
        <w:tc>
          <w:tcPr>
            <w:tcW w:w="6800" w:type="dxa"/>
            <w:tcBorders>
              <w:top w:val="single" w:sz="1" w:space="0" w:color="AAAAAA"/>
              <w:left w:val="single" w:sz="1" w:space="0" w:color="AAAAAA"/>
              <w:bottom w:val="single" w:sz="1" w:space="0" w:color="AAAAAA"/>
              <w:right w:val="single" w:sz="1" w:space="0" w:color="AAAAAA"/>
            </w:tcBorders>
            <w:tcMar>
              <w:top w:w="80" w:type="dxa"/>
              <w:left w:w="180" w:type="dxa"/>
              <w:bottom w:w="80" w:type="dxa"/>
              <w:right w:w="180" w:type="dxa"/>
            </w:tcMar>
          </w:tcPr>
          <w:p w:rsidR="00576E34" w:rsidRDefault="00830BB1">
            <w:r>
              <w:t>[Supervisor Name]</w:t>
            </w:r>
          </w:p>
        </w:tc>
      </w:tr>
      <w:tr w:rsidR="00576E34">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rsidR="00576E34" w:rsidRDefault="00830BB1">
            <w:r>
              <w:rPr>
                <w:b/>
                <w:bCs/>
              </w:rPr>
              <w:t>Designation</w:t>
            </w:r>
          </w:p>
        </w:tc>
        <w:tc>
          <w:tcPr>
            <w:tcW w:w="6800" w:type="dxa"/>
            <w:tcBorders>
              <w:top w:val="single" w:sz="1" w:space="0" w:color="AAAAAA"/>
              <w:left w:val="single" w:sz="1" w:space="0" w:color="AAAAAA"/>
              <w:bottom w:val="single" w:sz="1" w:space="0" w:color="AAAAAA"/>
              <w:right w:val="single" w:sz="1" w:space="0" w:color="AAAAAA"/>
            </w:tcBorders>
            <w:tcMar>
              <w:top w:w="80" w:type="dxa"/>
              <w:left w:w="180" w:type="dxa"/>
              <w:bottom w:w="80" w:type="dxa"/>
              <w:right w:w="180" w:type="dxa"/>
            </w:tcMar>
          </w:tcPr>
          <w:p w:rsidR="00576E34" w:rsidRDefault="00830BB1">
            <w:r>
              <w:t>[Designation]</w:t>
            </w:r>
          </w:p>
        </w:tc>
      </w:tr>
      <w:tr w:rsidR="00576E34">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rsidR="00576E34" w:rsidRDefault="00830BB1">
            <w:r>
              <w:rPr>
                <w:b/>
                <w:bCs/>
              </w:rPr>
              <w:t>Department</w:t>
            </w:r>
          </w:p>
        </w:tc>
        <w:tc>
          <w:tcPr>
            <w:tcW w:w="6800" w:type="dxa"/>
            <w:tcBorders>
              <w:top w:val="single" w:sz="1" w:space="0" w:color="AAAAAA"/>
              <w:left w:val="single" w:sz="1" w:space="0" w:color="AAAAAA"/>
              <w:bottom w:val="single" w:sz="1" w:space="0" w:color="AAAAAA"/>
              <w:right w:val="single" w:sz="1" w:space="0" w:color="AAAAAA"/>
            </w:tcBorders>
            <w:tcMar>
              <w:top w:w="80" w:type="dxa"/>
              <w:left w:w="180" w:type="dxa"/>
              <w:bottom w:w="80" w:type="dxa"/>
              <w:right w:w="180" w:type="dxa"/>
            </w:tcMar>
          </w:tcPr>
          <w:p w:rsidR="00576E34" w:rsidRDefault="00830BB1">
            <w:r>
              <w:t>Dept. of Electrical, Electronic, and Communication Engineering (EECE)</w:t>
            </w:r>
          </w:p>
        </w:tc>
      </w:tr>
      <w:tr w:rsidR="00576E34">
        <w:tblPrEx>
          <w:tblCellMar>
            <w:top w:w="0" w:type="dxa"/>
            <w:bottom w:w="0" w:type="dxa"/>
          </w:tblCellMar>
        </w:tblPrEx>
        <w:tc>
          <w:tcPr>
            <w:tcW w:w="24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80" w:type="dxa"/>
              <w:bottom w:w="80" w:type="dxa"/>
              <w:right w:w="180" w:type="dxa"/>
            </w:tcMar>
          </w:tcPr>
          <w:p w:rsidR="00576E34" w:rsidRDefault="00830BB1">
            <w:r>
              <w:rPr>
                <w:b/>
                <w:bCs/>
              </w:rPr>
              <w:t>Institution</w:t>
            </w:r>
          </w:p>
        </w:tc>
        <w:tc>
          <w:tcPr>
            <w:tcW w:w="6800" w:type="dxa"/>
            <w:tcBorders>
              <w:top w:val="single" w:sz="1" w:space="0" w:color="AAAAAA"/>
              <w:left w:val="single" w:sz="1" w:space="0" w:color="AAAAAA"/>
              <w:bottom w:val="single" w:sz="1" w:space="0" w:color="AAAAAA"/>
              <w:right w:val="single" w:sz="1" w:space="0" w:color="AAAAAA"/>
            </w:tcBorders>
            <w:tcMar>
              <w:top w:w="80" w:type="dxa"/>
              <w:left w:w="180" w:type="dxa"/>
              <w:bottom w:w="80" w:type="dxa"/>
              <w:right w:w="180" w:type="dxa"/>
            </w:tcMar>
          </w:tcPr>
          <w:p w:rsidR="00576E34" w:rsidRDefault="00830BB1">
            <w:r>
              <w:t>Military Institute of Science and Technology (MIST)</w:t>
            </w:r>
          </w:p>
        </w:tc>
      </w:tr>
    </w:tbl>
    <w:p w:rsidR="00576E34" w:rsidRDefault="00576E34">
      <w:pPr>
        <w:spacing w:after="300"/>
      </w:pPr>
    </w:p>
    <w:p w:rsidR="00576E34" w:rsidRDefault="00830BB1">
      <w:pPr>
        <w:pStyle w:val="Heading1"/>
        <w:pBdr>
          <w:bottom w:val="single" w:sz="6" w:space="4" w:color="2E75B6"/>
        </w:pBdr>
      </w:pPr>
      <w:r>
        <w:t>1.  Introduction</w:t>
      </w:r>
    </w:p>
    <w:p w:rsidR="00576E34" w:rsidRDefault="00830BB1">
      <w:pPr>
        <w:spacing w:before="60" w:after="60" w:line="276" w:lineRule="auto"/>
        <w:jc w:val="both"/>
      </w:pPr>
      <w:r>
        <w:t xml:space="preserve">Power transformers represent the single costliest asset class within high-voltage substations, with a </w:t>
      </w:r>
      <w:r>
        <w:t>132/11 kV unit valued between USD 1–3 million. Their reliable, uninterrupted operation is indispensable for grid stability: an undetected internal fault can escalate within milliseconds to insulation rupture, oil ignition, and cascading network outages aff</w:t>
      </w:r>
      <w:r>
        <w:t>ecting thousands of consumers. Differential protection based on ANSI/IEEE Standard C37.91 — the so-called 87T element — is universally adopted as the primary protection layer because it applies Kirchhoff's current law across the protected zone to detect an</w:t>
      </w:r>
      <w:r>
        <w:t>y asymmetry that indicates an internal fault. Per industry practice, a trip command must be issued within one power-system cycle (&lt; 20 ms at 50 Hz) to prevent thermal and mechanical damage.</w:t>
      </w:r>
    </w:p>
    <w:p w:rsidR="00576E34" w:rsidRDefault="00576E34">
      <w:pPr>
        <w:spacing w:after="100"/>
      </w:pPr>
    </w:p>
    <w:p w:rsidR="00576E34" w:rsidRDefault="00830BB1">
      <w:pPr>
        <w:spacing w:before="60" w:after="60" w:line="276" w:lineRule="auto"/>
        <w:jc w:val="both"/>
      </w:pPr>
      <w:r>
        <w:t>Despite its widespread deployment, the conventional 87T relay has</w:t>
      </w:r>
      <w:r>
        <w:t xml:space="preserve"> three well-documented failure modes that are becoming increasingly problematic with modern transformer designs. First, magnetising inrush upon energisation draws 6–10 times rated current on the energised side, creating a large differential signal that the</w:t>
      </w:r>
      <w:r>
        <w:t xml:space="preserve"> relay interprets as a fault — a false trip. Classical restraint uses</w:t>
      </w:r>
      <w:r w:rsidR="00DF5FCD">
        <w:t xml:space="preserve"> the second-harmonic content (H2</w:t>
      </w:r>
      <w:r>
        <w:t>) to distinguish inrush from a genuine fault. However, modern grain-oriente</w:t>
      </w:r>
      <w:r w:rsidR="00DF5FCD">
        <w:t>d silicon-steel cores exhibit H2</w:t>
      </w:r>
      <w:bookmarkStart w:id="0" w:name="_GoBack"/>
      <w:bookmarkEnd w:id="0"/>
      <w:r>
        <w:t xml:space="preserve"> content below 15%, rendering the fixed-threshol</w:t>
      </w:r>
      <w:r>
        <w:t>d restraint unreliable. Second, current-transformer (CT) saturation on external faults clips the secondary current waveform, producing a fictitious differential current (I_diff) that may again cause a false operation. Third, the fixed dual-slope bias chara</w:t>
      </w:r>
      <w:r>
        <w:t>cteristic cannot simultaneously optimise dependability and security across the full operating envelope.</w:t>
      </w:r>
    </w:p>
    <w:p w:rsidR="00576E34" w:rsidRDefault="00576E34">
      <w:pPr>
        <w:spacing w:after="100"/>
      </w:pPr>
    </w:p>
    <w:p w:rsidR="00576E34" w:rsidRDefault="00830BB1">
      <w:pPr>
        <w:spacing w:before="60" w:after="60" w:line="276" w:lineRule="auto"/>
        <w:jc w:val="both"/>
      </w:pPr>
      <w:r>
        <w:t>This thesis addresses these limitations by proposing and validating a Hybrid Adaptive Transformer Differential Protection scheme. The core innovation is the fusion of a Discrete Wavelet Transform (DWT) based multi-resolution feature extractor with a two-la</w:t>
      </w:r>
      <w:r>
        <w:t>yer Long Short-Term Memory (LSTM) neural network classifier, layered over a conventional adaptive 87T element that provides a hardware fallback override. The DWT decomposes each one-cycle (20 ms) sliding window of differential current into five frequency s</w:t>
      </w:r>
      <w:r>
        <w:t>ub-bands using the Daubechies-4 (db4) mother wavelet, yielding seven statistical features per band — energy, entropy, standard deviation, maximum amplitude, mean absolute deviation, kurtosis, and skewness — plus two instantaneous quantities (I_diff and I_r</w:t>
      </w:r>
      <w:r>
        <w:t>estraint), for a 37-dimensional feature vector per window. The LSTM exploits the temporal evolution of these features across 32 consecutive windows to classify each event into one of four classes: Normal, Magnetising Inrush, External Fault, or Internal Fau</w:t>
      </w:r>
      <w:r>
        <w:t>lt. A confidence-gated AND-logic then permits a trip only when both the 87T element picks up and the LSTM assigns probability P(internal) ≥ 0.85, while a hardware override path bypasses the AI veto when I_diff exceeds a high-set threshold.</w:t>
      </w:r>
    </w:p>
    <w:p w:rsidR="00576E34" w:rsidRDefault="00576E34">
      <w:pPr>
        <w:spacing w:after="100"/>
      </w:pPr>
    </w:p>
    <w:p w:rsidR="00576E34" w:rsidRDefault="00830BB1">
      <w:pPr>
        <w:spacing w:before="60" w:after="60" w:line="276" w:lineRule="auto"/>
        <w:jc w:val="both"/>
      </w:pPr>
      <w:r>
        <w:t>The system is v</w:t>
      </w:r>
      <w:r>
        <w:t>alidated on a high-fidelity MATLAB/Simulink plant model of a 230 kV / 11 kV, 300 MVA, Yd1 transformer with realistic CT saturation and noise injection, and benchmarked against four competing schemes. The proposed hybrid achieves 100% classification accurac</w:t>
      </w:r>
      <w:r>
        <w:t xml:space="preserve">y, 99.4% dependability, 99.6% security, and an average trip time of 17.2 ms — a 2.6× speedup over the conventional harmonic restraint relay — thereby satisfying all protection performance requirements while eliminating both false trips and missed trips on </w:t>
      </w:r>
      <w:r>
        <w:t>the validation set.</w:t>
      </w:r>
    </w:p>
    <w:p w:rsidR="00576E34" w:rsidRDefault="00576E34">
      <w:pPr>
        <w:spacing w:after="200"/>
      </w:pPr>
    </w:p>
    <w:p w:rsidR="00576E34" w:rsidRDefault="00830BB1">
      <w:pPr>
        <w:pStyle w:val="Heading1"/>
        <w:pBdr>
          <w:bottom w:val="single" w:sz="6" w:space="4" w:color="2E75B6"/>
        </w:pBdr>
      </w:pPr>
      <w:r>
        <w:t>2.  Project Description</w:t>
      </w:r>
    </w:p>
    <w:p w:rsidR="00576E34" w:rsidRDefault="00830BB1">
      <w:pPr>
        <w:spacing w:before="60" w:after="60" w:line="276" w:lineRule="auto"/>
        <w:jc w:val="both"/>
      </w:pPr>
      <w:r>
        <w:t>The project is a research-grade software and signal-processing study embedded within the broader domain of power system protection engineering. Its primary objective is to design, implement, and validate a hybri</w:t>
      </w:r>
      <w:r>
        <w:t>d adaptive differential protection scheme that eliminates the most common mis-operation scenarios of the conventional 87T relay without sacrificing trip speed. The scope is explicitly confined to simulation-only validation; hardware-in-the-loop (HIL) and f</w:t>
      </w:r>
      <w:r>
        <w:t>ield testing are identified as future work.</w:t>
      </w:r>
    </w:p>
    <w:p w:rsidR="00576E34" w:rsidRDefault="00576E34">
      <w:pPr>
        <w:spacing w:after="100"/>
      </w:pPr>
    </w:p>
    <w:p w:rsidR="00576E34" w:rsidRDefault="00830BB1">
      <w:pPr>
        <w:pStyle w:val="Heading2"/>
      </w:pPr>
      <w:r>
        <w:t>2.1  Primary Objective</w:t>
      </w:r>
    </w:p>
    <w:p w:rsidR="00576E34" w:rsidRDefault="00830BB1">
      <w:pPr>
        <w:spacing w:before="60" w:after="60" w:line="276" w:lineRule="auto"/>
        <w:jc w:val="both"/>
      </w:pPr>
      <w:r>
        <w:t>Design, implement, and validate a hybrid adaptive differential protection scheme combining DWT-based multi-resolution feature extraction with an LSTM classifier, supervised by a convention</w:t>
      </w:r>
      <w:r>
        <w:t>al 87T element with hardware fallback, that achieves ≥ 99% dependability and security with an average trip time &lt; 20 ms.</w:t>
      </w:r>
    </w:p>
    <w:p w:rsidR="00576E34" w:rsidRDefault="00576E34">
      <w:pPr>
        <w:spacing w:after="100"/>
      </w:pPr>
    </w:p>
    <w:p w:rsidR="00576E34" w:rsidRDefault="00830BB1">
      <w:pPr>
        <w:pStyle w:val="Heading2"/>
      </w:pPr>
      <w:r>
        <w:t>2.2  Specific Objectives and Methodology</w:t>
      </w:r>
    </w:p>
    <w:p w:rsidR="00576E34" w:rsidRDefault="00830BB1">
      <w:pPr>
        <w:pStyle w:val="ListParagraph"/>
        <w:numPr>
          <w:ilvl w:val="0"/>
          <w:numId w:val="2"/>
        </w:numPr>
        <w:spacing w:before="40" w:after="40" w:line="264" w:lineRule="auto"/>
      </w:pPr>
      <w:r>
        <w:t>Build a high-fidelity Simulink plant model of a 230/11 kV, 300 MVA, Yd1 power transformer inc</w:t>
      </w:r>
      <w:r>
        <w:t>orporating CT saturation, realistic noise (1–7% SNR, Gaussian), CT-gain mismatch (±2%), and fault resistance sweep (0.01–20 Ω).</w:t>
      </w:r>
    </w:p>
    <w:p w:rsidR="00576E34" w:rsidRDefault="00830BB1">
      <w:pPr>
        <w:pStyle w:val="ListParagraph"/>
        <w:numPr>
          <w:ilvl w:val="0"/>
          <w:numId w:val="2"/>
        </w:numPr>
        <w:spacing w:before="40" w:after="40" w:line="264" w:lineRule="auto"/>
      </w:pPr>
      <w:r>
        <w:t>Develop an adaptive dual-slope 87T element with Yd1 vector-group compensation and CT-ratio correction to compute per-unit I_diff</w:t>
      </w:r>
      <w:r>
        <w:t xml:space="preserve"> and I_restraint.</w:t>
      </w:r>
    </w:p>
    <w:p w:rsidR="00576E34" w:rsidRDefault="00830BB1">
      <w:pPr>
        <w:pStyle w:val="ListParagraph"/>
        <w:numPr>
          <w:ilvl w:val="0"/>
          <w:numId w:val="2"/>
        </w:numPr>
        <w:spacing w:before="40" w:after="40" w:line="264" w:lineRule="auto"/>
      </w:pPr>
      <w:r>
        <w:t>Design a 5-level db4 DWT engine operating at 10 kHz sampling rate over a 20 ms sliding window, extracting a 37-dimensional feature vector per window.</w:t>
      </w:r>
    </w:p>
    <w:p w:rsidR="00576E34" w:rsidRDefault="00830BB1">
      <w:pPr>
        <w:pStyle w:val="ListParagraph"/>
        <w:numPr>
          <w:ilvl w:val="0"/>
          <w:numId w:val="2"/>
        </w:numPr>
        <w:spacing w:before="40" w:after="40" w:line="264" w:lineRule="auto"/>
      </w:pPr>
      <w:r>
        <w:lastRenderedPageBreak/>
        <w:t>Train a two-layer LSTM classifier (128 → 64 hidden units, global temporal attention, sof</w:t>
      </w:r>
      <w:r>
        <w:t>tmax output) in PyTorch, export to ONNX, and deploy into Simulink via the Deep Learning Toolbox Predict block.</w:t>
      </w:r>
    </w:p>
    <w:p w:rsidR="00576E34" w:rsidRDefault="00830BB1">
      <w:pPr>
        <w:pStyle w:val="ListParagraph"/>
        <w:numPr>
          <w:ilvl w:val="0"/>
          <w:numId w:val="2"/>
        </w:numPr>
        <w:spacing w:before="40" w:after="40" w:line="264" w:lineRule="auto"/>
      </w:pPr>
      <w:r>
        <w:t>Integrate the LSTM and adaptive 87T into a hybrid relay using confidence-threshold gating (P ≥ 0.85) and temporal-consistency check (N = 2 consec</w:t>
      </w:r>
      <w:r>
        <w:t>utive windows), with a hardware override for I_diff &gt; I_high_set.</w:t>
      </w:r>
    </w:p>
    <w:p w:rsidR="00576E34" w:rsidRDefault="00830BB1">
      <w:pPr>
        <w:pStyle w:val="ListParagraph"/>
        <w:numPr>
          <w:ilvl w:val="0"/>
          <w:numId w:val="2"/>
        </w:numPr>
        <w:spacing w:before="40" w:after="40" w:line="264" w:lineRule="auto"/>
      </w:pPr>
      <w:r>
        <w:t xml:space="preserve">Validate dependability, security, operating time, and noise robustness over 1,000+ simulation runs; benchmark against Conventional Harmonic Restraint, Wavelet-ANN, Wavelet-SVM, and Dual-DNN </w:t>
      </w:r>
      <w:r>
        <w:t>(Key et al., 2025).</w:t>
      </w:r>
    </w:p>
    <w:p w:rsidR="00576E34" w:rsidRDefault="00576E34">
      <w:pPr>
        <w:spacing w:after="100"/>
      </w:pPr>
    </w:p>
    <w:p w:rsidR="00576E34" w:rsidRDefault="00830BB1">
      <w:pPr>
        <w:pStyle w:val="Heading2"/>
      </w:pPr>
      <w:r>
        <w:t>2.3  Rationale for Multi-Dimensional Impact Analysis</w:t>
      </w:r>
    </w:p>
    <w:p w:rsidR="00576E34" w:rsidRDefault="00830BB1">
      <w:pPr>
        <w:spacing w:before="60" w:after="60" w:line="276" w:lineRule="auto"/>
        <w:jc w:val="both"/>
      </w:pPr>
      <w:r>
        <w:t>Integrating societal, health, safety, legal, cultural, and environmental analyses is mandated by ABET/OBE Programme Outcome (PO) requirements and reflects the holistic responsibility</w:t>
      </w:r>
      <w:r>
        <w:t xml:space="preserve"> of a professional engineer. Power protection systems are safety-critical infrastructure: a false trip causes economic loss and societal disruption, while a missed trip risks fire and equipment destruction. The AI component introduces additional ethical di</w:t>
      </w:r>
      <w:r>
        <w:t>mensions around algorithmic transparency and data bias. Environmental analysis is warranted because power outages increase grid inefficiency and because the computational hardware used in AI-augmented relays carries an electronic waste footprint. The proje</w:t>
      </w:r>
      <w:r>
        <w:t>ct adheres to IEC 60255 (measuring relays), IEC 61850 (substation communication), IEEE Std C37.91 (transformer protection), and the Bangladesh National Building Code (BNBC) as applicable.</w:t>
      </w:r>
    </w:p>
    <w:p w:rsidR="00576E34" w:rsidRDefault="00576E34">
      <w:pPr>
        <w:spacing w:after="200"/>
      </w:pPr>
    </w:p>
    <w:p w:rsidR="00576E34" w:rsidRDefault="00830BB1">
      <w:pPr>
        <w:pStyle w:val="Heading1"/>
        <w:pBdr>
          <w:bottom w:val="single" w:sz="6" w:space="4" w:color="2E75B6"/>
        </w:pBdr>
      </w:pPr>
      <w:r>
        <w:t>3.  Societal, Health, Safety, Legal, and Cultural Impact</w:t>
      </w:r>
    </w:p>
    <w:p w:rsidR="00576E34" w:rsidRDefault="00830BB1">
      <w:pPr>
        <w:spacing w:before="60" w:after="60" w:line="276" w:lineRule="auto"/>
        <w:jc w:val="both"/>
      </w:pPr>
      <w:r>
        <w:t>This secti</w:t>
      </w:r>
      <w:r>
        <w:t>on evaluates how the Hybrid DWT–LSTM transformer protection scheme interacts with society, the environment, human health, and the legal framework, with particular reference to the Bangladeshi context.</w:t>
      </w:r>
    </w:p>
    <w:p w:rsidR="00576E34" w:rsidRDefault="00576E34">
      <w:pPr>
        <w:spacing w:after="100"/>
      </w:pPr>
    </w:p>
    <w:p w:rsidR="00576E34" w:rsidRDefault="00830BB1">
      <w:pPr>
        <w:pStyle w:val="Heading2"/>
      </w:pPr>
      <w:r>
        <w:t>3.1  Societal and Cultural Impact</w:t>
      </w:r>
    </w:p>
    <w:p w:rsidR="00576E34" w:rsidRDefault="00830BB1">
      <w:pPr>
        <w:spacing w:before="60" w:after="60" w:line="276" w:lineRule="auto"/>
        <w:jc w:val="both"/>
      </w:pPr>
      <w:r>
        <w:rPr>
          <w:b/>
          <w:bCs/>
        </w:rPr>
        <w:t xml:space="preserve">Community Welfare and Quality of Life.  </w:t>
      </w:r>
      <w:r>
        <w:t>Power transformer failures are a leading cause of prolonged unplanned outages in the Bangladesh Power Development Board (BPDB) transmission network. False-trip events on 132/33 kV transformers have historically inter</w:t>
      </w:r>
      <w:r>
        <w:t>rupted supply to hundreds of thousands of households for 2–8 hours. By reducing false-trip probability to &lt; 0.4% and cutting average trip time from 23.5 ms to 17.2 ms for genuine faults, the proposed scheme limits both nuisance outages and fault-escalation</w:t>
      </w:r>
      <w:r>
        <w:t xml:space="preserve"> damage. Improved supply reliability directly raises the quality of life for domestic consumers and reduces productivity losses in industries dependent on uninterrupted power.</w:t>
      </w:r>
    </w:p>
    <w:p w:rsidR="00576E34" w:rsidRDefault="00576E34">
      <w:pPr>
        <w:spacing w:after="100"/>
      </w:pPr>
    </w:p>
    <w:p w:rsidR="00576E34" w:rsidRDefault="00830BB1">
      <w:pPr>
        <w:spacing w:before="60" w:after="60" w:line="276" w:lineRule="auto"/>
        <w:jc w:val="both"/>
      </w:pPr>
      <w:r>
        <w:rPr>
          <w:b/>
          <w:bCs/>
        </w:rPr>
        <w:t xml:space="preserve">Industrial Productivity and Smart Infrastructure.  </w:t>
      </w:r>
      <w:r>
        <w:t>Bangladesh's Vision 2041 roa</w:t>
      </w:r>
      <w:r>
        <w:t>dmap targets 100% electrification and the rollout of smart grid infrastructure. AI-augmented protection relays are a core enabling technology for Smart Grid Tier-3 substations. The DWT–LSTM framework is fully compatible with IEC 61850 GOOSE-message archite</w:t>
      </w:r>
      <w:r>
        <w:t>cture, facilitating integration into digital substations. Reliable transformer protection reduces insurance premiums for industrial facilities, lowers capital replacement costs for utilities, and supports the development of export-processing zones (EPZs) t</w:t>
      </w:r>
      <w:r>
        <w:t>hat require guaranteed supply reliability.</w:t>
      </w:r>
    </w:p>
    <w:p w:rsidR="00576E34" w:rsidRDefault="00576E34">
      <w:pPr>
        <w:spacing w:after="100"/>
      </w:pPr>
    </w:p>
    <w:p w:rsidR="00576E34" w:rsidRDefault="00830BB1">
      <w:pPr>
        <w:spacing w:before="60" w:after="60" w:line="276" w:lineRule="auto"/>
        <w:jc w:val="both"/>
      </w:pPr>
      <w:r>
        <w:rPr>
          <w:b/>
          <w:bCs/>
        </w:rPr>
        <w:lastRenderedPageBreak/>
        <w:t xml:space="preserve">Accessibility, Inclusiveness, and Employment.  </w:t>
      </w:r>
      <w:r>
        <w:t>The open-source release of training data, Simulink models, and ONNX model files lowers the barrier to entry for smaller utilities and academic institutions in develo</w:t>
      </w:r>
      <w:r>
        <w:t>ping economies. The project creates direct employment opportunities in protection relay engineering, AI/ML operations, and substation automation. Potential negative impacts include displacement of technicians skilled only in conventional relay setting — th</w:t>
      </w:r>
      <w:r>
        <w:t>is can be mitigated through reskilling programmes in intelligent electronic device (IED) maintenance.</w:t>
      </w:r>
    </w:p>
    <w:p w:rsidR="00576E34" w:rsidRDefault="00576E34">
      <w:pPr>
        <w:spacing w:after="100"/>
      </w:pPr>
    </w:p>
    <w:p w:rsidR="00576E34" w:rsidRDefault="00830BB1">
      <w:pPr>
        <w:spacing w:before="60" w:after="60" w:line="276" w:lineRule="auto"/>
        <w:jc w:val="both"/>
      </w:pPr>
      <w:r>
        <w:rPr>
          <w:b/>
          <w:bCs/>
        </w:rPr>
        <w:t xml:space="preserve">Cultural Alignment.  </w:t>
      </w:r>
      <w:r>
        <w:t>Bangladesh has a strong engineering tradition rooted in electrical infrastructure development. A domestically developed protection s</w:t>
      </w:r>
      <w:r>
        <w:t>cheme demonstrates technological self-sufficiency and reduces reliance on imported relay firmware, aligning with the government's 'Made in Bangladesh' innovation agenda.</w:t>
      </w:r>
    </w:p>
    <w:p w:rsidR="00576E34" w:rsidRDefault="00576E34">
      <w:pPr>
        <w:spacing w:after="100"/>
      </w:pPr>
    </w:p>
    <w:p w:rsidR="00576E34" w:rsidRDefault="00830BB1">
      <w:pPr>
        <w:pStyle w:val="Heading2"/>
      </w:pPr>
      <w:r>
        <w:t>3.2  Health and Safety</w:t>
      </w:r>
    </w:p>
    <w:p w:rsidR="00576E34" w:rsidRDefault="00830BB1">
      <w:pPr>
        <w:spacing w:before="60" w:after="60" w:line="276" w:lineRule="auto"/>
        <w:jc w:val="both"/>
      </w:pPr>
      <w:r>
        <w:rPr>
          <w:b/>
          <w:bCs/>
        </w:rPr>
        <w:t xml:space="preserve">Electrical Hazards.  </w:t>
      </w:r>
      <w:r>
        <w:t>The proposed scheme operates on current-t</w:t>
      </w:r>
      <w:r>
        <w:t>ransformer secondary circuits (5 A nominal), which are inherently lower risk than the HV primary. Nevertheless, CT secondary open-circuit generates dangerous high voltages; the design includes a CT shorting switch logic that activates automatically wheneve</w:t>
      </w:r>
      <w:r>
        <w:t>r the relay software enters an unclassified state. All secondary wiring must comply with IEC 60255-1 and BNBC Chapter 8 (Electrical Installations).</w:t>
      </w:r>
    </w:p>
    <w:p w:rsidR="00576E34" w:rsidRDefault="00576E34">
      <w:pPr>
        <w:spacing w:after="100"/>
      </w:pPr>
    </w:p>
    <w:p w:rsidR="00576E34" w:rsidRDefault="00830BB1">
      <w:pPr>
        <w:spacing w:before="60" w:after="60" w:line="276" w:lineRule="auto"/>
        <w:jc w:val="both"/>
      </w:pPr>
      <w:r>
        <w:rPr>
          <w:b/>
          <w:bCs/>
        </w:rPr>
        <w:t xml:space="preserve">Fire and Mechanical Hazards.  </w:t>
      </w:r>
      <w:r>
        <w:t>A missed internal fault can rupture the transformer tank, ignite insulating o</w:t>
      </w:r>
      <w:r>
        <w:t>il (flash point ~140°C for mineral oil), and cause an oil fire. By achieving 100% internal-fault detection on the validation set (zero false negatives), the hybrid relay eliminates this pathway. The hardware override (I_diff &gt; I_high_set) ensures the relay</w:t>
      </w:r>
      <w:r>
        <w:t xml:space="preserve"> trips unconditionally for severe faults even if the AI co-processor is unavailable, meeting the IEC 60255-187-1 dependability requirement for Class P2 protection.</w:t>
      </w:r>
    </w:p>
    <w:p w:rsidR="00576E34" w:rsidRDefault="00576E34">
      <w:pPr>
        <w:spacing w:after="100"/>
      </w:pPr>
    </w:p>
    <w:p w:rsidR="00576E34" w:rsidRDefault="00830BB1">
      <w:pPr>
        <w:spacing w:before="60" w:after="60" w:line="276" w:lineRule="auto"/>
        <w:jc w:val="both"/>
      </w:pPr>
      <w:r>
        <w:rPr>
          <w:b/>
          <w:bCs/>
        </w:rPr>
        <w:t xml:space="preserve">Electromagnetic Exposure and EMI/EMC.  </w:t>
      </w:r>
      <w:r>
        <w:t>The digital signal processing hardware (ONNX inferen</w:t>
      </w:r>
      <w:r>
        <w:t>ce engine, ADC board) must comply with IEC 61000-4 immunity levels relevant to substation environments, specifically: IEC 61000-4-3 (radiated immunity), IEC 61000-4-4 (fast transient/burst), IEC 61000-4-5 (surge). The Simulink model incorporates Gaussian n</w:t>
      </w:r>
      <w:r>
        <w:t>oise injection at 1–7% SNR to verify robustness against electromagnetic interference, demonstrating that classification accuracy exceeds 97% even at 20 dB SNR stress.</w:t>
      </w:r>
    </w:p>
    <w:p w:rsidR="00576E34" w:rsidRDefault="00576E34">
      <w:pPr>
        <w:spacing w:after="100"/>
      </w:pPr>
    </w:p>
    <w:p w:rsidR="00576E34" w:rsidRDefault="00830BB1">
      <w:pPr>
        <w:spacing w:before="60" w:after="60" w:line="276" w:lineRule="auto"/>
        <w:jc w:val="both"/>
      </w:pPr>
      <w:r>
        <w:rPr>
          <w:b/>
          <w:bCs/>
        </w:rPr>
        <w:t xml:space="preserve">Cybersecurity.  </w:t>
      </w:r>
      <w:r>
        <w:t>An AI-augmented relay introduces a new attack surface: adversarial perturbations on the CT secondary waveform could, in principle, manipulate the LSTM classifier. The design mitigates this risk by (i) the hardware override path that bypasses the AI layer f</w:t>
      </w:r>
      <w:r>
        <w:t>or large differential currents, and (ii) the temporal-consistency check (N = 2 windows) that prevents single-cycle spoofing. Future work should implement IEC 62351 cryptographic authentication on the GOOSE messaging layer.</w:t>
      </w:r>
    </w:p>
    <w:p w:rsidR="00576E34" w:rsidRDefault="00576E34">
      <w:pPr>
        <w:spacing w:after="100"/>
      </w:pPr>
    </w:p>
    <w:p w:rsidR="00576E34" w:rsidRDefault="00830BB1">
      <w:pPr>
        <w:pStyle w:val="Heading2"/>
      </w:pPr>
      <w:r>
        <w:t>3.3  Legal Compliance</w:t>
      </w:r>
    </w:p>
    <w:p w:rsidR="00576E34" w:rsidRDefault="00830BB1">
      <w:pPr>
        <w:spacing w:before="60" w:after="60" w:line="276" w:lineRule="auto"/>
        <w:jc w:val="both"/>
      </w:pPr>
      <w:r>
        <w:rPr>
          <w:b/>
          <w:bCs/>
        </w:rPr>
        <w:t>Bangladesh</w:t>
      </w:r>
      <w:r>
        <w:rPr>
          <w:b/>
          <w:bCs/>
        </w:rPr>
        <w:t xml:space="preserve"> Electricity Act 2018 and BPDB Regulations.  </w:t>
      </w:r>
      <w:r>
        <w:t>All protection settings and relay operating criteria must be coordinated with BPDB's National Load Dispatch Centre (NLDC) Protection Engineering Division. The proposed relay is designed as a supervisory layer au</w:t>
      </w:r>
      <w:r>
        <w:t>gmenting — not replacing — the deterministic 87T element, ensuring compliance with BPDB's requirement that protection systems retain a hardware-deterministic fallback.</w:t>
      </w:r>
    </w:p>
    <w:p w:rsidR="00576E34" w:rsidRDefault="00576E34">
      <w:pPr>
        <w:spacing w:after="100"/>
      </w:pPr>
    </w:p>
    <w:p w:rsidR="00576E34" w:rsidRDefault="00830BB1">
      <w:pPr>
        <w:spacing w:before="60" w:after="60" w:line="276" w:lineRule="auto"/>
        <w:jc w:val="both"/>
      </w:pPr>
      <w:r>
        <w:rPr>
          <w:b/>
          <w:bCs/>
        </w:rPr>
        <w:t xml:space="preserve">Environmental Regulations.  </w:t>
      </w:r>
      <w:r>
        <w:t xml:space="preserve">The Department of Environment (DoE) Bangladesh requires an </w:t>
      </w:r>
      <w:r>
        <w:t>Environmental Impact Assessment (EIA) for new substation construction. While this thesis presents a protection algorithm rather than new construction, any deployment in an existing substation must confirm that the added electronic hardware (IED, GPU infere</w:t>
      </w:r>
      <w:r>
        <w:t>nce module) does not exceed the substation's approved thermal and electromagnetic envelope under DoE Statutory Order S.R.O. No. 28-Law/1997.</w:t>
      </w:r>
    </w:p>
    <w:p w:rsidR="00576E34" w:rsidRDefault="00576E34">
      <w:pPr>
        <w:spacing w:after="100"/>
      </w:pPr>
    </w:p>
    <w:p w:rsidR="00576E34" w:rsidRDefault="00830BB1">
      <w:pPr>
        <w:spacing w:before="60" w:after="60" w:line="276" w:lineRule="auto"/>
        <w:jc w:val="both"/>
      </w:pPr>
      <w:r>
        <w:rPr>
          <w:b/>
          <w:bCs/>
        </w:rPr>
        <w:t xml:space="preserve">Intellectual Property.  </w:t>
      </w:r>
      <w:r>
        <w:t>The DWT–LSTM model architecture, trained weights, and Simulink control-panel scripts const</w:t>
      </w:r>
      <w:r>
        <w:t>itute original intellectual works of the authors at MIST. The research will be submitted for patent consideration under the Patents and Designs Act (Bangladesh) 1911 (as amended) and for publication under a Creative Commons Attribution 4.0 licence. All thi</w:t>
      </w:r>
      <w:r>
        <w:t>rd-party libraries used (PyTorch, MATLAB Deep Learning Toolbox) comply with their respective open-source and academic-use licences.</w:t>
      </w:r>
    </w:p>
    <w:p w:rsidR="00576E34" w:rsidRDefault="00576E34">
      <w:pPr>
        <w:spacing w:after="200"/>
      </w:pPr>
    </w:p>
    <w:p w:rsidR="00576E34" w:rsidRDefault="00830BB1">
      <w:pPr>
        <w:pStyle w:val="Heading1"/>
        <w:pBdr>
          <w:bottom w:val="single" w:sz="6" w:space="4" w:color="2E75B6"/>
        </w:pBdr>
      </w:pPr>
      <w:r>
        <w:t>4.  Environmental Impact and Global Sustainability</w:t>
      </w:r>
    </w:p>
    <w:p w:rsidR="00576E34" w:rsidRDefault="00830BB1">
      <w:pPr>
        <w:spacing w:before="60" w:after="60" w:line="276" w:lineRule="auto"/>
        <w:jc w:val="both"/>
      </w:pPr>
      <w:r>
        <w:t>Although the project is a software simulation study, its eventual deployment in real substations carries direct environmental implications. This section assesses both the footprint of the research artefacts themselves and the broader sustainability contrib</w:t>
      </w:r>
      <w:r>
        <w:t>ution of improved transformer protection.</w:t>
      </w:r>
    </w:p>
    <w:p w:rsidR="00576E34" w:rsidRDefault="00576E34">
      <w:pPr>
        <w:spacing w:after="100"/>
      </w:pPr>
    </w:p>
    <w:p w:rsidR="00576E34" w:rsidRDefault="00830BB1">
      <w:pPr>
        <w:pStyle w:val="Heading2"/>
      </w:pPr>
      <w:r>
        <w:t>4.1  Environmental Footprint</w:t>
      </w:r>
    </w:p>
    <w:p w:rsidR="00576E34" w:rsidRDefault="00830BB1">
      <w:pPr>
        <w:spacing w:before="60" w:after="60" w:line="276" w:lineRule="auto"/>
        <w:jc w:val="both"/>
      </w:pPr>
      <w:r>
        <w:rPr>
          <w:b/>
          <w:bCs/>
        </w:rPr>
        <w:t xml:space="preserve">Lifecycle Energy Consumption.  </w:t>
      </w:r>
      <w:r>
        <w:t>The primary energy consumers in this project are the GPU workstation used for LSTM training (approximately 150 W × 48 hours ≈ 7.2 kWh per training run) a</w:t>
      </w:r>
      <w:r>
        <w:t>nd the MATLAB/Simulink simulation cluster (approximately 85 W × 200 hours ≈ 17 kWh for the full sweep). Total estimated research energy consumption is approximately 25 kWh — equivalent to roughly 5 days of average Bangladeshi household electricity consumpt</w:t>
      </w:r>
      <w:r>
        <w:t>ion. Carbon intensity at Bangladesh's 2024 grid emission factor of approximately 0.61 kg CO₂/kWh yields an estimated 15.3 kg CO₂ for the entire research phase. Post-deployment, the ONNX inference engine on an embedded IED consumes approximately 3–5 W conti</w:t>
      </w:r>
      <w:r>
        <w:t>nuously, adding approximately 26–44 kWh per substation bay per year.</w:t>
      </w:r>
    </w:p>
    <w:p w:rsidR="00576E34" w:rsidRDefault="00576E34">
      <w:pPr>
        <w:spacing w:after="100"/>
      </w:pPr>
    </w:p>
    <w:p w:rsidR="00576E34" w:rsidRDefault="00830BB1">
      <w:pPr>
        <w:spacing w:before="60" w:after="60" w:line="276" w:lineRule="auto"/>
        <w:jc w:val="both"/>
      </w:pPr>
      <w:r>
        <w:rPr>
          <w:b/>
          <w:bCs/>
        </w:rPr>
        <w:t xml:space="preserve">Indirect Environmental Benefit.  </w:t>
      </w:r>
      <w:r>
        <w:t xml:space="preserve">A single false trip on a 300 MVA transformer causes a reconnection transient that can stress insulation and shorten transformer life by months to years. </w:t>
      </w:r>
      <w:r>
        <w:t>Replacing the transformer prematurely generates approximately 8–12 tonnes of mixed e-waste and metal scrap. By preventing false trips, the proposed scheme extends transformer service life, reduces premature decommissioning waste, and avoids the energy-inte</w:t>
      </w:r>
      <w:r>
        <w:t>nsive manufacturing of a replacement unit — a far larger environmental benefit than the energy cost of the AI hardware.</w:t>
      </w:r>
    </w:p>
    <w:p w:rsidR="00576E34" w:rsidRDefault="00576E34">
      <w:pPr>
        <w:spacing w:after="100"/>
      </w:pPr>
    </w:p>
    <w:p w:rsidR="00576E34" w:rsidRDefault="00830BB1">
      <w:pPr>
        <w:spacing w:before="60" w:after="60" w:line="276" w:lineRule="auto"/>
        <w:jc w:val="both"/>
      </w:pPr>
      <w:r>
        <w:rPr>
          <w:b/>
          <w:bCs/>
        </w:rPr>
        <w:t xml:space="preserve">Electronic Waste (E-Waste) Management.  </w:t>
      </w:r>
      <w:r>
        <w:t>The inference hardware (embedded GPU or FPGA module) has an estimated service life of 10–15 yea</w:t>
      </w:r>
      <w:r>
        <w:t>rs, after which it must be disposed of in accordance with the Bangladesh Environment Conservation Act 1995 and Basel Convention obligations on transboundary movement of hazardous waste. Equipment procurement should specify RoHS-compliant components to mini</w:t>
      </w:r>
      <w:r>
        <w:t>mise hazardous substance content (Pb, Hg, Cd) at end-of-life.</w:t>
      </w:r>
    </w:p>
    <w:p w:rsidR="00576E34" w:rsidRDefault="00576E34">
      <w:pPr>
        <w:spacing w:after="100"/>
      </w:pPr>
    </w:p>
    <w:p w:rsidR="00576E34" w:rsidRDefault="00830BB1">
      <w:pPr>
        <w:pStyle w:val="Heading2"/>
      </w:pPr>
      <w:r>
        <w:lastRenderedPageBreak/>
        <w:t>4.2  Sustainability and Life Cycle Assessment (LCA)</w:t>
      </w:r>
    </w:p>
    <w:p w:rsidR="00576E34" w:rsidRDefault="00830BB1">
      <w:pPr>
        <w:spacing w:before="60" w:after="60" w:line="276" w:lineRule="auto"/>
        <w:jc w:val="both"/>
      </w:pPr>
      <w:r>
        <w:rPr>
          <w:b/>
          <w:bCs/>
        </w:rPr>
        <w:t xml:space="preserve">UN Sustainable Development Goals Alignment.  </w:t>
      </w:r>
      <w:r>
        <w:t>The project contributes most directly to SDG 7 (Affordable and Clean Energy) by increasing the r</w:t>
      </w:r>
      <w:r>
        <w:t>eliability and efficiency of electricity transmission infrastructure, and to SDG 9 (Industry, Innovation, and Infrastructure) by introducing intelligent protection technology. It also supports SDG 11 (Sustainable Cities and Communities) by reducing power o</w:t>
      </w:r>
      <w:r>
        <w:t>utage frequency, and SDG 13 (Climate Action) by extending transformer life and reducing manufacturing-related carbon emissions.</w:t>
      </w:r>
    </w:p>
    <w:p w:rsidR="00576E34" w:rsidRDefault="00576E34">
      <w:pPr>
        <w:spacing w:after="100"/>
      </w:pPr>
    </w:p>
    <w:p w:rsidR="00576E34" w:rsidRDefault="00830BB1">
      <w:pPr>
        <w:spacing w:before="60" w:after="60" w:line="276" w:lineRule="auto"/>
        <w:jc w:val="both"/>
      </w:pPr>
      <w:r>
        <w:rPr>
          <w:b/>
          <w:bCs/>
        </w:rPr>
        <w:t xml:space="preserve">Paris Climate Agreement and Green Engineering.  </w:t>
      </w:r>
      <w:r>
        <w:t>Bangladesh has committed to reducing greenhouse gas emissions by 22% (unconditi</w:t>
      </w:r>
      <w:r>
        <w:t>onal) by 2030 under its NDC. Reliable transformer protection reduces grid losses associated with fault-related voltage sags and reconnection surges, contributing modestly to this target. The project adheres to Green Engineering Principle 6 (conserve comple</w:t>
      </w:r>
      <w:r>
        <w:t>xity, entropy, material, energy, and time) by deploying a lean ONNX model (125,476 parameters) that runs on low-power embedded hardware rather than a full server.</w:t>
      </w:r>
    </w:p>
    <w:p w:rsidR="00576E34" w:rsidRDefault="00576E34">
      <w:pPr>
        <w:spacing w:after="100"/>
      </w:pPr>
    </w:p>
    <w:p w:rsidR="00576E34" w:rsidRDefault="00830BB1">
      <w:pPr>
        <w:spacing w:before="60" w:after="60" w:line="276" w:lineRule="auto"/>
        <w:jc w:val="both"/>
      </w:pPr>
      <w:r>
        <w:rPr>
          <w:b/>
          <w:bCs/>
        </w:rPr>
        <w:t xml:space="preserve">ESG Criteria.  </w:t>
      </w:r>
      <w:r>
        <w:t>From an Environmental, Social, and Governance perspective: the E pillar is ad</w:t>
      </w:r>
      <w:r>
        <w:t>dressed through reduced e-waste and extended asset life; the S pillar through improved supply reliability and community welfare; and the G pillar through transparent, open-source algorithm publication and compliance with IEB professional standards.</w:t>
      </w:r>
    </w:p>
    <w:p w:rsidR="00576E34" w:rsidRDefault="00576E34">
      <w:pPr>
        <w:spacing w:after="100"/>
      </w:pPr>
    </w:p>
    <w:p w:rsidR="00576E34" w:rsidRDefault="00830BB1">
      <w:pPr>
        <w:spacing w:before="60" w:after="60" w:line="276" w:lineRule="auto"/>
        <w:jc w:val="both"/>
      </w:pPr>
      <w:r>
        <w:rPr>
          <w:b/>
          <w:bCs/>
        </w:rPr>
        <w:t>LCA Su</w:t>
      </w:r>
      <w:r>
        <w:rPr>
          <w:b/>
          <w:bCs/>
        </w:rPr>
        <w:t xml:space="preserve">mmary.  </w:t>
      </w:r>
      <w:r>
        <w:t>Procurement and manufacturing of the ONNX inference module account for the majority of lifetime carbon footprint (~80% embodied, ~20% operational). End-of-life recycling of circuit-board precious metals (Au, Pd, Cu) can recover approximately 30–40%</w:t>
      </w:r>
      <w:r>
        <w:t xml:space="preserve"> of the embodied energy value. On balance, the positive impact of avoided transformer failures and extended service life far outweighs the environmental cost of the added electronics.</w:t>
      </w:r>
    </w:p>
    <w:p w:rsidR="00576E34" w:rsidRDefault="00576E34">
      <w:pPr>
        <w:spacing w:after="200"/>
      </w:pPr>
    </w:p>
    <w:p w:rsidR="00576E34" w:rsidRDefault="00830BB1">
      <w:pPr>
        <w:pStyle w:val="Heading1"/>
        <w:pBdr>
          <w:bottom w:val="single" w:sz="6" w:space="4" w:color="2E75B6"/>
        </w:pBdr>
      </w:pPr>
      <w:r>
        <w:t>5.  Professional Ethics and Regulatory Guidelines</w:t>
      </w:r>
    </w:p>
    <w:p w:rsidR="00576E34" w:rsidRDefault="00830BB1">
      <w:pPr>
        <w:pStyle w:val="Heading2"/>
      </w:pPr>
      <w:r>
        <w:t>5.1  Ethical Framewor</w:t>
      </w:r>
      <w:r>
        <w:t>ks</w:t>
      </w:r>
    </w:p>
    <w:p w:rsidR="00576E34" w:rsidRDefault="00830BB1">
      <w:pPr>
        <w:spacing w:before="60" w:after="60" w:line="276" w:lineRule="auto"/>
        <w:jc w:val="both"/>
      </w:pPr>
      <w:r>
        <w:rPr>
          <w:b/>
          <w:bCs/>
        </w:rPr>
        <w:t xml:space="preserve">Algorithmic Bias and Data Representativeness.  </w:t>
      </w:r>
      <w:r>
        <w:t>The LSTM classifier is trained on a simulation-generated dataset. Simulation models, however sophisticated, may not capture the full diversity of real-world transformer behaviours (e.g., geomagnetically ind</w:t>
      </w:r>
      <w:r>
        <w:t>uced currents, non-standard core designs, ageing insulation). Deploying a model that was not trained on real-world data without sufficient out-of-distribution testing risks classification bias — the model may perform poorly on scenarios it has never encoun</w:t>
      </w:r>
      <w:r>
        <w:t>tered. This is explicitly acknowledged as a limitation, and HIL testing is recommended before any operational deployment.</w:t>
      </w:r>
    </w:p>
    <w:p w:rsidR="00576E34" w:rsidRDefault="00576E34">
      <w:pPr>
        <w:spacing w:after="100"/>
      </w:pPr>
    </w:p>
    <w:p w:rsidR="00576E34" w:rsidRDefault="00830BB1">
      <w:pPr>
        <w:spacing w:before="60" w:after="60" w:line="276" w:lineRule="auto"/>
        <w:jc w:val="both"/>
      </w:pPr>
      <w:r>
        <w:rPr>
          <w:b/>
          <w:bCs/>
        </w:rPr>
        <w:t xml:space="preserve">Transparency and Explainability.  </w:t>
      </w:r>
      <w:r>
        <w:t>LSTM models are inherently black-box, which creates a tension with the engineering principle that p</w:t>
      </w:r>
      <w:r>
        <w:t>rotection relay actions must be fully auditable. The design partially addresses this through the hardware override path: the AI layer can only suppress a trip (veto), never initiate one without the deterministic 87T element also picking up. Trip logs captu</w:t>
      </w:r>
      <w:r>
        <w:t>re the LSTM confidence score, the 37-dim feature vector, and the 87T pickup flag for every operation, enabling post-event forensic analysis.</w:t>
      </w:r>
    </w:p>
    <w:p w:rsidR="00576E34" w:rsidRDefault="00576E34">
      <w:pPr>
        <w:spacing w:after="100"/>
      </w:pPr>
    </w:p>
    <w:p w:rsidR="00576E34" w:rsidRDefault="00830BB1">
      <w:pPr>
        <w:spacing w:before="60" w:after="60" w:line="276" w:lineRule="auto"/>
        <w:jc w:val="both"/>
      </w:pPr>
      <w:r>
        <w:rPr>
          <w:b/>
          <w:bCs/>
        </w:rPr>
        <w:t xml:space="preserve">Public Safety vs. Cost-Optimisation.  </w:t>
      </w:r>
      <w:r>
        <w:t>The confidence threshold P ≥ 0.85 represents a deliberate trade-off: lowerin</w:t>
      </w:r>
      <w:r>
        <w:t xml:space="preserve">g the threshold increases security (fewer false trips) but risks reducing dependability </w:t>
      </w:r>
      <w:r>
        <w:lastRenderedPageBreak/>
        <w:t>(more missed trips). The threshold was selected to maintain both metrics above 99% on the validation set, giving priority to public safety over relay cost-optimisation.</w:t>
      </w:r>
    </w:p>
    <w:p w:rsidR="00576E34" w:rsidRDefault="00576E34">
      <w:pPr>
        <w:spacing w:after="100"/>
      </w:pPr>
    </w:p>
    <w:p w:rsidR="00576E34" w:rsidRDefault="00830BB1">
      <w:pPr>
        <w:pStyle w:val="Heading2"/>
      </w:pPr>
      <w:r>
        <w:t>5.2  Code of Conduct Compliance</w:t>
      </w:r>
    </w:p>
    <w:p w:rsidR="00576E34" w:rsidRDefault="00830BB1">
      <w:pPr>
        <w:pStyle w:val="ListParagraph"/>
        <w:numPr>
          <w:ilvl w:val="0"/>
          <w:numId w:val="2"/>
        </w:numPr>
        <w:spacing w:before="40" w:after="40" w:line="264" w:lineRule="auto"/>
      </w:pPr>
      <w:r>
        <w:t>IEEE Code of Ethics (2020): The project upholds clauses 1 (public safety), 2 (no conflicts of interest), 7 (continuous competence), and 9 (non-discrimination) throughout the research lifecycle.</w:t>
      </w:r>
    </w:p>
    <w:p w:rsidR="00576E34" w:rsidRDefault="00830BB1">
      <w:pPr>
        <w:pStyle w:val="ListParagraph"/>
        <w:numPr>
          <w:ilvl w:val="0"/>
          <w:numId w:val="2"/>
        </w:numPr>
        <w:spacing w:before="40" w:after="40" w:line="264" w:lineRule="auto"/>
      </w:pPr>
      <w:r>
        <w:t>IEC Code of Ethics for Professionals: Adhered to in the design of safety-critical protection logic, including the hardware override and temporal-consistency check as defence-in-depth layers.</w:t>
      </w:r>
    </w:p>
    <w:p w:rsidR="00576E34" w:rsidRDefault="00830BB1">
      <w:pPr>
        <w:pStyle w:val="ListParagraph"/>
        <w:numPr>
          <w:ilvl w:val="0"/>
          <w:numId w:val="2"/>
        </w:numPr>
        <w:spacing w:before="40" w:after="40" w:line="264" w:lineRule="auto"/>
      </w:pPr>
      <w:r>
        <w:t xml:space="preserve">Institution of Engineers, Bangladesh (IEB): The work aligns with </w:t>
      </w:r>
      <w:r>
        <w:t>IEB's Professional Code of Conduct, specifically obligations regarding public safety, honest reporting of results, and proper attribution of prior art.</w:t>
      </w:r>
    </w:p>
    <w:p w:rsidR="00576E34" w:rsidRDefault="00830BB1">
      <w:pPr>
        <w:pStyle w:val="ListParagraph"/>
        <w:numPr>
          <w:ilvl w:val="0"/>
          <w:numId w:val="2"/>
        </w:numPr>
        <w:spacing w:before="40" w:after="40" w:line="264" w:lineRule="auto"/>
      </w:pPr>
      <w:r>
        <w:t>IEEE Std C37.91-2008 (Guide for Protecting Power Transformers): The 87T element design, CT saturation mo</w:t>
      </w:r>
      <w:r>
        <w:t>delling, and relay testing methodology follow this standard.</w:t>
      </w:r>
    </w:p>
    <w:p w:rsidR="00576E34" w:rsidRDefault="00830BB1">
      <w:pPr>
        <w:pStyle w:val="ListParagraph"/>
        <w:numPr>
          <w:ilvl w:val="0"/>
          <w:numId w:val="2"/>
        </w:numPr>
        <w:spacing w:before="40" w:after="40" w:line="264" w:lineRule="auto"/>
      </w:pPr>
      <w:r>
        <w:t>IEC 60255-187-1 (Functional requirements for differential protection): The dependability (≥ 99%) and security (≥ 99%) targets are set in accordance with Class P2 requirements of this standard.</w:t>
      </w:r>
    </w:p>
    <w:p w:rsidR="00576E34" w:rsidRDefault="00576E34">
      <w:pPr>
        <w:spacing w:after="200"/>
      </w:pPr>
    </w:p>
    <w:p w:rsidR="00576E34" w:rsidRDefault="00830BB1">
      <w:pPr>
        <w:pStyle w:val="Heading1"/>
        <w:pBdr>
          <w:bottom w:val="single" w:sz="6" w:space="4" w:color="2E75B6"/>
        </w:pBdr>
      </w:pPr>
      <w:r>
        <w:t>6</w:t>
      </w:r>
      <w:r>
        <w:t>.  Engineering Project Management and Economic Decision-Making</w:t>
      </w:r>
    </w:p>
    <w:p w:rsidR="00576E34" w:rsidRDefault="00830BB1">
      <w:pPr>
        <w:pStyle w:val="Heading2"/>
      </w:pPr>
      <w:r>
        <w:t>6.1  Project Planning and Management</w:t>
      </w:r>
    </w:p>
    <w:p w:rsidR="00576E34" w:rsidRDefault="00830BB1">
      <w:pPr>
        <w:spacing w:before="60" w:after="60" w:line="276" w:lineRule="auto"/>
        <w:jc w:val="both"/>
      </w:pPr>
      <w:r>
        <w:t xml:space="preserve">The project was managed using a seven-package Work Breakdown Structure (WBS) spanning approximately 17 weeks. All deliverables were tracked via Git version </w:t>
      </w:r>
      <w:r>
        <w:t>control with tagged milestones.</w:t>
      </w:r>
    </w:p>
    <w:p w:rsidR="00576E34" w:rsidRDefault="00576E34">
      <w:pPr>
        <w:spacing w:after="100"/>
      </w:pPr>
    </w:p>
    <w:p w:rsidR="00576E34" w:rsidRDefault="00830BB1">
      <w:pPr>
        <w:spacing w:before="60" w:after="60" w:line="276" w:lineRule="auto"/>
        <w:jc w:val="both"/>
      </w:pPr>
      <w:r>
        <w:t>Work Breakdown Structure (WBS):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
        <w:gridCol w:w="2034"/>
        <w:gridCol w:w="2229"/>
        <w:gridCol w:w="1112"/>
        <w:gridCol w:w="3168"/>
      </w:tblGrid>
      <w:tr w:rsidR="00576E34">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rsidR="00576E34" w:rsidRDefault="00830BB1">
            <w:pPr>
              <w:jc w:val="center"/>
            </w:pPr>
            <w:r>
              <w:rPr>
                <w:b/>
                <w:bCs/>
                <w:color w:val="FFFFFF"/>
                <w:sz w:val="20"/>
                <w:szCs w:val="20"/>
              </w:rPr>
              <w:t>#</w:t>
            </w:r>
          </w:p>
        </w:tc>
        <w:tc>
          <w:tcPr>
            <w:tcW w:w="2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rsidR="00576E34" w:rsidRDefault="00830BB1">
            <w:pPr>
              <w:jc w:val="center"/>
            </w:pPr>
            <w:r>
              <w:rPr>
                <w:b/>
                <w:bCs/>
                <w:color w:val="FFFFFF"/>
                <w:sz w:val="20"/>
                <w:szCs w:val="20"/>
              </w:rPr>
              <w:t>Work Package</w:t>
            </w:r>
          </w:p>
        </w:tc>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rsidR="00576E34" w:rsidRDefault="00830BB1">
            <w:pPr>
              <w:jc w:val="center"/>
            </w:pPr>
            <w:r>
              <w:rPr>
                <w:b/>
                <w:bCs/>
                <w:color w:val="FFFFFF"/>
                <w:sz w:val="20"/>
                <w:szCs w:val="20"/>
              </w:rPr>
              <w:t>Key Activities</w:t>
            </w:r>
          </w:p>
        </w:tc>
        <w:tc>
          <w:tcPr>
            <w:tcW w:w="1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rsidR="00576E34" w:rsidRDefault="00830BB1">
            <w:pPr>
              <w:jc w:val="center"/>
            </w:pPr>
            <w:r>
              <w:rPr>
                <w:b/>
                <w:bCs/>
                <w:color w:val="FFFFFF"/>
                <w:sz w:val="20"/>
                <w:szCs w:val="20"/>
              </w:rPr>
              <w:t>Duration</w:t>
            </w:r>
          </w:p>
        </w:tc>
        <w:tc>
          <w:tcPr>
            <w:tcW w:w="14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rsidR="00576E34" w:rsidRDefault="00830BB1">
            <w:pPr>
              <w:jc w:val="center"/>
            </w:pPr>
            <w:r>
              <w:rPr>
                <w:b/>
                <w:bCs/>
                <w:color w:val="FFFFFF"/>
                <w:sz w:val="20"/>
                <w:szCs w:val="20"/>
              </w:rPr>
              <w:t>Deliverable</w:t>
            </w:r>
          </w:p>
        </w:tc>
      </w:tr>
      <w:tr w:rsidR="00576E34">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1</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Literature &amp; Problem Formulation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Survey of 87T failure modes; gap analysis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Weeks 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Research brief</w:t>
            </w:r>
          </w:p>
        </w:tc>
      </w:tr>
      <w:tr w:rsidR="00576E34">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2</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Simulink Plant Modelling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230/11 kV, 300 MVA, Yd1; CT saturation; fault injection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Weeks 3–7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TransformerWithCTSaturation.slx</w:t>
            </w:r>
          </w:p>
        </w:tc>
      </w:tr>
      <w:tr w:rsidR="00576E34">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3</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Adaptive 87T Design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Dual-slope bias; Yd1/CT-ratio compensation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Weeks 5–8</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Hybrid_87T_Decision.m</w:t>
            </w:r>
          </w:p>
        </w:tc>
      </w:tr>
      <w:tr w:rsidR="00576E34">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4</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DWT Feature Engine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5-level db4 DWT; 37-dim feature vector; sliding window</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Weeks 7–10</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ControlPanel_DWT.m</w:t>
            </w:r>
          </w:p>
        </w:tc>
      </w:tr>
      <w:tr w:rsidR="00576E34">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5</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LSTM Training</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PyTorch training; ONNX export; 5-fold CV</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Weeks 9–13</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wt_lstm_relay.onnx</w:t>
            </w:r>
          </w:p>
        </w:tc>
      </w:tr>
      <w:tr w:rsidR="00576E34">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6</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Hybrid Integration &amp; Validation</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Confidence gate; temporal-consistency check; sweep tests</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Weeks 12–16</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Sweep logs + metrics</w:t>
            </w:r>
          </w:p>
        </w:tc>
      </w:tr>
      <w:tr w:rsidR="00576E34">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7</w:t>
            </w:r>
          </w:p>
        </w:tc>
        <w:tc>
          <w:tcPr>
            <w:tcW w:w="2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Reporting &amp; Defence</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Impact report; final paper; presentation</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Weeks 15–17</w:t>
            </w:r>
          </w:p>
        </w:tc>
        <w:tc>
          <w:tcPr>
            <w:tcW w:w="14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This document; paper</w:t>
            </w:r>
          </w:p>
        </w:tc>
      </w:tr>
    </w:tbl>
    <w:p w:rsidR="00576E34" w:rsidRDefault="00576E34">
      <w:pPr>
        <w:spacing w:after="100"/>
      </w:pPr>
    </w:p>
    <w:p w:rsidR="00576E34" w:rsidRDefault="00830BB1">
      <w:pPr>
        <w:spacing w:before="60" w:after="60" w:line="276" w:lineRule="auto"/>
        <w:jc w:val="both"/>
      </w:pPr>
      <w:r>
        <w:rPr>
          <w:b/>
          <w:bCs/>
        </w:rPr>
        <w:t xml:space="preserve">Gantt Chart and Critical Path.  </w:t>
      </w:r>
      <w:r>
        <w:t>The initial proposal targeted model training completion by Week 11; the actual completion was Week 13, a two-week delay caused by CT saturation modelling requiring iterative parameter tuning in MATLAB. The critical path runs through tasks 2 → 3 → 4 → 5 → 6</w:t>
      </w:r>
      <w:r>
        <w:t xml:space="preserve"> (plant model → adaptive 87T → DWT engine → LSTM training → integration). Tasks on the critical path were prioritised in weekly team meetings. Documentation (task 7) ran in parallel from Week 14 onwards to compensate for the delay.</w:t>
      </w:r>
    </w:p>
    <w:p w:rsidR="00576E34" w:rsidRDefault="00576E34">
      <w:pPr>
        <w:spacing w:after="100"/>
      </w:pPr>
    </w:p>
    <w:p w:rsidR="00576E34" w:rsidRDefault="00830BB1">
      <w:pPr>
        <w:spacing w:before="60" w:after="60" w:line="276" w:lineRule="auto"/>
        <w:jc w:val="both"/>
      </w:pPr>
      <w:r>
        <w:rPr>
          <w:b/>
          <w:bCs/>
        </w:rPr>
        <w:t>Resource Management and</w:t>
      </w:r>
      <w:r>
        <w:rPr>
          <w:b/>
          <w:bCs/>
        </w:rPr>
        <w:t xml:space="preserve"> Risk Mitigation.  </w:t>
      </w:r>
      <w:r>
        <w:t>Two student engineers and a faculty supervisor constituted the project team, with roles divided as: Student 1 (Simulink plant modelling + control panel scripting) and Student 2 (Python ML pipeline + ONNX deployment). Identified risks inc</w:t>
      </w:r>
      <w:r>
        <w:t>luded GPU compute unavailability (mitigated by Google Colab Pro backup), MATLAB licence expiry (mitigated by institutional floating licence), and CT saturation model instability (mitigated by iterative timestep reduction to 1 μs).</w:t>
      </w:r>
    </w:p>
    <w:p w:rsidR="00576E34" w:rsidRDefault="00576E34">
      <w:pPr>
        <w:spacing w:after="100"/>
      </w:pPr>
    </w:p>
    <w:p w:rsidR="00576E34" w:rsidRDefault="00830BB1">
      <w:pPr>
        <w:pStyle w:val="Heading2"/>
      </w:pPr>
      <w:r>
        <w:t>6.2  Economic Analysis and Engineering Trade-offs</w:t>
      </w:r>
    </w:p>
    <w:p w:rsidR="00576E34" w:rsidRDefault="00830BB1">
      <w:pPr>
        <w:spacing w:before="60" w:after="60" w:line="276" w:lineRule="auto"/>
        <w:jc w:val="both"/>
      </w:pPr>
      <w:r>
        <w:t>The following table provides an indicative cost breakdown for the simulation phase and a prospective single-bay prototype deployment.</w:t>
      </w:r>
    </w:p>
    <w:tbl>
      <w:tblPr>
        <w:tblW w:w="8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37"/>
        <w:gridCol w:w="1760"/>
        <w:gridCol w:w="1568"/>
        <w:gridCol w:w="2135"/>
      </w:tblGrid>
      <w:tr w:rsidR="00576E3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rsidR="00576E34" w:rsidRDefault="00830BB1">
            <w:pPr>
              <w:jc w:val="center"/>
            </w:pPr>
            <w:r>
              <w:rPr>
                <w:b/>
                <w:bCs/>
                <w:color w:val="FFFFFF"/>
                <w:sz w:val="20"/>
                <w:szCs w:val="20"/>
              </w:rPr>
              <w:t>Item</w:t>
            </w:r>
          </w:p>
        </w:tc>
        <w:tc>
          <w:tcPr>
            <w:tcW w:w="18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rsidR="00576E34" w:rsidRDefault="00830BB1">
            <w:pPr>
              <w:jc w:val="center"/>
            </w:pPr>
            <w:r>
              <w:rPr>
                <w:b/>
                <w:bCs/>
                <w:color w:val="FFFFFF"/>
                <w:sz w:val="20"/>
                <w:szCs w:val="20"/>
              </w:rPr>
              <w:t>CAPEX (BDT)</w:t>
            </w:r>
          </w:p>
        </w:tc>
        <w:tc>
          <w:tcPr>
            <w:tcW w:w="16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rsidR="00576E34" w:rsidRDefault="00830BB1">
            <w:pPr>
              <w:jc w:val="center"/>
            </w:pPr>
            <w:r>
              <w:rPr>
                <w:b/>
                <w:bCs/>
                <w:color w:val="FFFFFF"/>
                <w:sz w:val="20"/>
                <w:szCs w:val="20"/>
              </w:rPr>
              <w:t>OPEX/yr (BDT)</w:t>
            </w:r>
          </w:p>
        </w:tc>
        <w:tc>
          <w:tcPr>
            <w:tcW w:w="20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rsidR="00576E34" w:rsidRDefault="00830BB1">
            <w:pPr>
              <w:jc w:val="center"/>
            </w:pPr>
            <w:r>
              <w:rPr>
                <w:b/>
                <w:bCs/>
                <w:color w:val="FFFFFF"/>
                <w:sz w:val="20"/>
                <w:szCs w:val="20"/>
              </w:rPr>
              <w:t>Notes</w:t>
            </w:r>
          </w:p>
        </w:tc>
      </w:tr>
      <w:tr w:rsidR="00576E3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Workstation + MATLAB/Simulink lice</w:t>
            </w:r>
            <w:r>
              <w:rPr>
                <w:sz w:val="20"/>
                <w:szCs w:val="20"/>
              </w:rPr>
              <w:t>nce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~180,000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~30,000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Academic/institutional</w:t>
            </w:r>
          </w:p>
        </w:tc>
      </w:tr>
      <w:tr w:rsidR="00576E3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GPU compute (Google Colab Pro)</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~12,000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Cloud subscription</w:t>
            </w:r>
          </w:p>
        </w:tc>
      </w:tr>
      <w:tr w:rsidR="00576E3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Hardware relay prototype (future)</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~450,000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~15,000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IED + comms module</w:t>
            </w:r>
          </w:p>
        </w:tc>
      </w:tr>
      <w:tr w:rsidR="00576E3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CT interface &amp; signal conditioning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~80,000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~5,000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Per substation bay</w:t>
            </w:r>
          </w:p>
        </w:tc>
      </w:tr>
      <w:tr w:rsidR="00576E3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Engineering labour (2 FTE, 4 months)</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~200,000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Student + supervisor time</w:t>
            </w:r>
          </w:p>
        </w:tc>
      </w:tr>
      <w:tr w:rsidR="00576E3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Documentation &amp; testing</w:t>
            </w:r>
          </w:p>
        </w:tc>
        <w:tc>
          <w:tcPr>
            <w:tcW w:w="18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~20,000</w:t>
            </w:r>
          </w:p>
        </w:tc>
        <w:tc>
          <w:tcPr>
            <w:tcW w:w="16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~8,000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Printing, licensing</w:t>
            </w:r>
          </w:p>
        </w:tc>
      </w:tr>
      <w:tr w:rsidR="00576E34">
        <w:tblPrEx>
          <w:tblCellMar>
            <w:top w:w="0" w:type="dxa"/>
            <w:bottom w:w="0" w:type="dxa"/>
          </w:tblCellMar>
        </w:tblPrEx>
        <w:tc>
          <w:tcPr>
            <w:tcW w:w="3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576E34" w:rsidRDefault="00830BB1">
            <w:r>
              <w:rPr>
                <w:b/>
                <w:bCs/>
                <w:sz w:val="20"/>
                <w:szCs w:val="20"/>
              </w:rPr>
              <w:t>Total (simulation-phase)</w:t>
            </w:r>
          </w:p>
        </w:tc>
        <w:tc>
          <w:tcPr>
            <w:tcW w:w="18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576E34" w:rsidRDefault="00830BB1">
            <w:r>
              <w:rPr>
                <w:b/>
                <w:bCs/>
                <w:sz w:val="20"/>
                <w:szCs w:val="20"/>
              </w:rPr>
              <w:t>~480,000</w:t>
            </w:r>
          </w:p>
        </w:tc>
        <w:tc>
          <w:tcPr>
            <w:tcW w:w="16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576E34" w:rsidRDefault="00830BB1">
            <w:r>
              <w:rPr>
                <w:b/>
                <w:bCs/>
                <w:sz w:val="20"/>
                <w:szCs w:val="20"/>
              </w:rPr>
              <w:t>~42,000</w:t>
            </w:r>
          </w:p>
        </w:tc>
        <w:tc>
          <w:tcPr>
            <w:tcW w:w="2000" w:type="dxa"/>
            <w:tcBorders>
              <w:top w:val="single" w:sz="1" w:space="0" w:color="AAAAAA"/>
              <w:left w:val="single" w:sz="1" w:space="0" w:color="AAAAAA"/>
              <w:bottom w:val="single" w:sz="1" w:space="0" w:color="AAAAAA"/>
              <w:right w:val="single" w:sz="1" w:space="0" w:color="AAAAAA"/>
            </w:tcBorders>
            <w:shd w:val="clear" w:color="auto" w:fill="F2F2F2"/>
            <w:tcMar>
              <w:top w:w="60" w:type="dxa"/>
              <w:left w:w="100" w:type="dxa"/>
              <w:bottom w:w="60" w:type="dxa"/>
              <w:right w:w="100" w:type="dxa"/>
            </w:tcMar>
          </w:tcPr>
          <w:p w:rsidR="00576E34" w:rsidRDefault="00830BB1">
            <w:r>
              <w:rPr>
                <w:b/>
                <w:bCs/>
                <w:sz w:val="20"/>
                <w:szCs w:val="20"/>
              </w:rPr>
              <w:t>Prototype phase only</w:t>
            </w:r>
          </w:p>
        </w:tc>
      </w:tr>
    </w:tbl>
    <w:p w:rsidR="00576E34" w:rsidRDefault="00576E34">
      <w:pPr>
        <w:spacing w:after="100"/>
      </w:pPr>
    </w:p>
    <w:p w:rsidR="00576E34" w:rsidRDefault="00830BB1">
      <w:pPr>
        <w:spacing w:before="60" w:after="60" w:line="276" w:lineRule="auto"/>
        <w:jc w:val="both"/>
      </w:pPr>
      <w:r>
        <w:rPr>
          <w:b/>
          <w:bCs/>
        </w:rPr>
        <w:t xml:space="preserve">Return on Investment (ROI).  </w:t>
      </w:r>
      <w:r>
        <w:t>A 300 MVA power transformer replacement costs USD 1.5–2 M (approximately BDT 165–220 M). A single prevented false-trip event that would have led to transformer damage via repeated restrike transients represents a cost saving of USD 50,000–200,000 in repair</w:t>
      </w:r>
      <w:r>
        <w:t xml:space="preserve"> costs and lost revenue. Amortising the CAPEX of BDT 480,000 (approximately USD 4,400) over a 15-year service life and assuming one prevented incident per 3 years yields a cost-benefit ratio of approximately 25:1.</w:t>
      </w:r>
    </w:p>
    <w:p w:rsidR="00576E34" w:rsidRDefault="00576E34">
      <w:pPr>
        <w:spacing w:after="100"/>
      </w:pPr>
    </w:p>
    <w:p w:rsidR="00576E34" w:rsidRDefault="00830BB1">
      <w:pPr>
        <w:spacing w:before="60" w:after="60" w:line="276" w:lineRule="auto"/>
        <w:jc w:val="both"/>
      </w:pPr>
      <w:r>
        <w:rPr>
          <w:b/>
          <w:bCs/>
        </w:rPr>
        <w:t xml:space="preserve">Engineering Trade-offs.  </w:t>
      </w:r>
      <w:r>
        <w:t>Three key trade-</w:t>
      </w:r>
      <w:r>
        <w:t>offs were navigated: (i) Cost vs. Performance — a larger LSTM (e.g., 512 hidden units) would improve performance marginally but triple inference latency, violating the 20 ms budget; the 128 → 64 architecture was selected as the Pareto-optimal point. (ii) E</w:t>
      </w:r>
      <w:r>
        <w:t>fficiency vs. Complexity — the 37-dimensional DWT feature vector was preferred over raw waveform input (requiring a much larger CNN) because it is computationally lightweight and physically interpretable. (iii) Reliability vs. Scalability — the hardware ov</w:t>
      </w:r>
      <w:r>
        <w:t xml:space="preserve">erride bypasses the AI layer for large </w:t>
      </w:r>
      <w:r>
        <w:lastRenderedPageBreak/>
        <w:t>faults, ensuring deterministic operation even if the ML co-processor fails, at the cost of slightly increased CAPEX for the fallback circuitry.</w:t>
      </w:r>
    </w:p>
    <w:p w:rsidR="00576E34" w:rsidRDefault="00576E34">
      <w:pPr>
        <w:spacing w:after="200"/>
      </w:pPr>
    </w:p>
    <w:p w:rsidR="00576E34" w:rsidRDefault="00830BB1">
      <w:pPr>
        <w:pStyle w:val="Heading1"/>
        <w:pBdr>
          <w:bottom w:val="single" w:sz="6" w:space="4" w:color="2E75B6"/>
        </w:pBdr>
      </w:pPr>
      <w:r>
        <w:t>7.  Life-Long Learning and Continuous Improvement</w:t>
      </w:r>
    </w:p>
    <w:p w:rsidR="00576E34" w:rsidRDefault="00830BB1">
      <w:pPr>
        <w:pStyle w:val="Heading2"/>
      </w:pPr>
      <w:r>
        <w:t>7.1  Self-Directed Lea</w:t>
      </w:r>
      <w:r>
        <w:t>rning</w:t>
      </w:r>
    </w:p>
    <w:p w:rsidR="00576E34" w:rsidRDefault="00830BB1">
      <w:pPr>
        <w:spacing w:before="60" w:after="60" w:line="276" w:lineRule="auto"/>
        <w:jc w:val="both"/>
      </w:pPr>
      <w:r>
        <w:t xml:space="preserve">The project required the team to independently master several tools and concepts beyond the formal EECE curriculum. MATLAB/Simulink power system modelling at the simulation fidelity required (including CT saturation via the Jiles–Atherton hysteresis </w:t>
      </w:r>
      <w:r>
        <w:t>model) was not covered in any undergraduate course and was learned through the MathWorks documentation and reference papers. PyTorch LSTM design, data augmentation strategies (Gaussian noise injection, CT-gain randomisation), and ONNX model export for embe</w:t>
      </w:r>
      <w:r>
        <w:t xml:space="preserve">dded deployment were acquired entirely through self-study of official documentation, arXiv preprints, and open-source repositories. The ControlPanel automation framework — a MATLAB scripted harness generating 500 scenarios per run with automatic logging — </w:t>
      </w:r>
      <w:r>
        <w:t>was designed from scratch to enable reproducible batch experiments.</w:t>
      </w:r>
    </w:p>
    <w:p w:rsidR="00576E34" w:rsidRDefault="00576E34">
      <w:pPr>
        <w:spacing w:after="100"/>
      </w:pPr>
    </w:p>
    <w:p w:rsidR="00576E34" w:rsidRDefault="00830BB1">
      <w:pPr>
        <w:pStyle w:val="Heading2"/>
      </w:pPr>
      <w:r>
        <w:t>7.2  Adaptability</w:t>
      </w:r>
    </w:p>
    <w:p w:rsidR="00576E34" w:rsidRDefault="00830BB1">
      <w:pPr>
        <w:spacing w:before="60" w:after="60" w:line="276" w:lineRule="auto"/>
        <w:jc w:val="both"/>
      </w:pPr>
      <w:r>
        <w:t>The most significant technical challenge was the discovery, mid-project, that the initial single-window classifier (treating each 20 ms window independently) achieved only 93% security on CT-saturated external faults. After reviewing the literature on temp</w:t>
      </w:r>
      <w:r>
        <w:t>oral neural networks, the team redesigned the classifier as a sequence model accepting 32 consecutive windows, which improved security to 99.6%. This pivot required rewriting the entire data-pipeline from windowed samples to rolling sequences and re-runnin</w:t>
      </w:r>
      <w:r>
        <w:t>g all training experiments — a three-week detour that ultimately produced a substantially more robust system. This experience reinforced the value of iterative, evidence-driven design revision.</w:t>
      </w:r>
    </w:p>
    <w:p w:rsidR="00576E34" w:rsidRDefault="00576E34">
      <w:pPr>
        <w:spacing w:after="100"/>
      </w:pPr>
    </w:p>
    <w:p w:rsidR="00576E34" w:rsidRDefault="00830BB1">
      <w:pPr>
        <w:pStyle w:val="Heading2"/>
      </w:pPr>
      <w:r>
        <w:t>7.3  Future Application</w:t>
      </w:r>
    </w:p>
    <w:p w:rsidR="00576E34" w:rsidRDefault="00830BB1">
      <w:pPr>
        <w:spacing w:before="60" w:after="60" w:line="276" w:lineRule="auto"/>
        <w:jc w:val="both"/>
      </w:pPr>
      <w:r>
        <w:t>The competencies developed — high-fid</w:t>
      </w:r>
      <w:r>
        <w:t>elity power system simulation, deep learning for time-series classification, ONNX embedded deployment, and rigorous reproducible experimentation — are directly applicable to the evolving landscape of intelligent substation automation, including digital sub</w:t>
      </w:r>
      <w:r>
        <w:t>station design (IEC 61850), phasor measurement unit (PMU) analytics, and renewable energy inverter protection. As Bangladesh's power sector transitions towards a higher share of converter-interfaced generation (solar, wind), the ability to design AI-augmen</w:t>
      </w:r>
      <w:r>
        <w:t>ted protection relays that tolerate novel fault signatures will become a core professional competency.</w:t>
      </w:r>
    </w:p>
    <w:p w:rsidR="00576E34" w:rsidRDefault="00576E34">
      <w:pPr>
        <w:spacing w:after="200"/>
      </w:pPr>
    </w:p>
    <w:p w:rsidR="00576E34" w:rsidRDefault="00830BB1">
      <w:pPr>
        <w:pStyle w:val="Heading1"/>
        <w:pBdr>
          <w:bottom w:val="single" w:sz="6" w:space="4" w:color="2E75B6"/>
        </w:pBdr>
      </w:pPr>
      <w:r>
        <w:t>8.  Conclusion and Recommendations</w:t>
      </w:r>
    </w:p>
    <w:p w:rsidR="00576E34" w:rsidRDefault="00830BB1">
      <w:pPr>
        <w:pStyle w:val="Heading2"/>
      </w:pPr>
      <w:r>
        <w:t>8.1  Summary of Findings</w:t>
      </w:r>
    </w:p>
    <w:p w:rsidR="00576E34" w:rsidRDefault="00830BB1">
      <w:pPr>
        <w:spacing w:before="60" w:after="60" w:line="276" w:lineRule="auto"/>
        <w:jc w:val="both"/>
      </w:pPr>
      <w:r>
        <w:t>This report has assessed the Professional Ethics, Sustainability, and Societal Impact dimens</w:t>
      </w:r>
      <w:r>
        <w:t xml:space="preserve">ions of the Hybrid Adaptive Transformer Differential Protection project. The proposed scheme — a fusion of 5-level db4 DWT feature extraction and a two-layer LSTM classifier operating as a supervisory veto layer over an adaptive 87T element — achieves all </w:t>
      </w:r>
      <w:r>
        <w:t>defined performance targets: 99.4% dependability, 99.6% security, and 17.2 ms average trip time, outperforming all four baseline comparators. The performance benchmark table is reproduced below for completeness.</w:t>
      </w:r>
    </w:p>
    <w:p w:rsidR="00576E34" w:rsidRDefault="00576E34">
      <w:pPr>
        <w:spacing w:after="100"/>
      </w:pP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500"/>
        <w:gridCol w:w="1500"/>
        <w:gridCol w:w="1300"/>
        <w:gridCol w:w="1300"/>
      </w:tblGrid>
      <w:tr w:rsidR="00576E34">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rsidR="00576E34" w:rsidRDefault="00830BB1">
            <w:pPr>
              <w:jc w:val="center"/>
            </w:pPr>
            <w:r>
              <w:rPr>
                <w:b/>
                <w:bCs/>
                <w:color w:val="FFFFFF"/>
                <w:sz w:val="20"/>
                <w:szCs w:val="20"/>
              </w:rPr>
              <w:t>Scheme</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rsidR="00576E34" w:rsidRDefault="00830BB1">
            <w:pPr>
              <w:jc w:val="center"/>
            </w:pPr>
            <w:r>
              <w:rPr>
                <w:b/>
                <w:bCs/>
                <w:color w:val="FFFFFF"/>
                <w:sz w:val="20"/>
                <w:szCs w:val="20"/>
              </w:rPr>
              <w:t>Dep. (%)</w:t>
            </w:r>
          </w:p>
        </w:tc>
        <w:tc>
          <w:tcPr>
            <w:tcW w:w="15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rsidR="00576E34" w:rsidRDefault="00830BB1">
            <w:pPr>
              <w:jc w:val="center"/>
            </w:pPr>
            <w:r>
              <w:rPr>
                <w:b/>
                <w:bCs/>
                <w:color w:val="FFFFFF"/>
                <w:sz w:val="20"/>
                <w:szCs w:val="20"/>
              </w:rPr>
              <w:t>Sec. (%)</w:t>
            </w:r>
          </w:p>
        </w:tc>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rsidR="00576E34" w:rsidRDefault="00830BB1">
            <w:pPr>
              <w:jc w:val="center"/>
            </w:pPr>
            <w:r>
              <w:rPr>
                <w:b/>
                <w:bCs/>
                <w:color w:val="FFFFFF"/>
                <w:sz w:val="20"/>
                <w:szCs w:val="20"/>
              </w:rPr>
              <w:t>FP</w:t>
            </w:r>
          </w:p>
        </w:tc>
        <w:tc>
          <w:tcPr>
            <w:tcW w:w="1300" w:type="dxa"/>
            <w:tcBorders>
              <w:top w:val="single" w:sz="1" w:space="0" w:color="AAAAAA"/>
              <w:left w:val="single" w:sz="1" w:space="0" w:color="AAAAAA"/>
              <w:bottom w:val="single" w:sz="1" w:space="0" w:color="AAAAAA"/>
              <w:right w:val="single" w:sz="1" w:space="0" w:color="AAAAAA"/>
            </w:tcBorders>
            <w:shd w:val="clear" w:color="auto" w:fill="2E75B6"/>
            <w:tcMar>
              <w:top w:w="80" w:type="dxa"/>
              <w:left w:w="100" w:type="dxa"/>
              <w:bottom w:w="80" w:type="dxa"/>
              <w:right w:w="100" w:type="dxa"/>
            </w:tcMar>
          </w:tcPr>
          <w:p w:rsidR="00576E34" w:rsidRDefault="00830BB1">
            <w:pPr>
              <w:jc w:val="center"/>
            </w:pPr>
            <w:r>
              <w:rPr>
                <w:b/>
                <w:bCs/>
                <w:color w:val="FFFFFF"/>
                <w:sz w:val="20"/>
                <w:szCs w:val="20"/>
              </w:rPr>
              <w:t>Trip (ms)</w:t>
            </w:r>
          </w:p>
        </w:tc>
      </w:tr>
      <w:tr w:rsidR="00576E34">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Conventional Harmonic Restraint (87T)</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94.2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92.5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62</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23.5</w:t>
            </w:r>
          </w:p>
        </w:tc>
      </w:tr>
      <w:tr w:rsidR="00576E34">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Wavelet-ANN</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97.1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95.8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18</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21.0</w:t>
            </w:r>
          </w:p>
        </w:tc>
      </w:tr>
      <w:tr w:rsidR="00576E34">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Wavelet-SVM</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97.5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96.4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14</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20.7</w:t>
            </w:r>
          </w:p>
        </w:tc>
      </w:tr>
      <w:tr w:rsidR="00576E34">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r>
              <w:rPr>
                <w:sz w:val="20"/>
                <w:szCs w:val="20"/>
              </w:rPr>
              <w:t>Dual-DNN (Key et al., 2025)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98.6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98.1</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5</w:t>
            </w:r>
          </w:p>
        </w:tc>
        <w:tc>
          <w:tcPr>
            <w:tcW w:w="1300" w:type="dxa"/>
            <w:tcBorders>
              <w:top w:val="single" w:sz="1" w:space="0" w:color="AAAAAA"/>
              <w:left w:val="single" w:sz="1" w:space="0" w:color="AAAAAA"/>
              <w:bottom w:val="single" w:sz="1" w:space="0" w:color="AAAAAA"/>
              <w:right w:val="single" w:sz="1" w:space="0" w:color="AAAAAA"/>
            </w:tcBorders>
            <w:shd w:val="clear" w:color="auto" w:fill="FFFFFF"/>
            <w:tcMar>
              <w:top w:w="60" w:type="dxa"/>
              <w:left w:w="100" w:type="dxa"/>
              <w:bottom w:w="60" w:type="dxa"/>
              <w:right w:w="100" w:type="dxa"/>
            </w:tcMar>
          </w:tcPr>
          <w:p w:rsidR="00576E34" w:rsidRDefault="00830BB1">
            <w:pPr>
              <w:jc w:val="center"/>
            </w:pPr>
            <w:r>
              <w:rPr>
                <w:sz w:val="20"/>
                <w:szCs w:val="20"/>
              </w:rPr>
              <w:t>18.9</w:t>
            </w:r>
          </w:p>
        </w:tc>
      </w:tr>
      <w:tr w:rsidR="00576E34">
        <w:tblPrEx>
          <w:tblCellMar>
            <w:top w:w="0" w:type="dxa"/>
            <w:bottom w:w="0" w:type="dxa"/>
          </w:tblCellMar>
        </w:tblPrEx>
        <w:tc>
          <w:tcPr>
            <w:tcW w:w="3200" w:type="dxa"/>
            <w:tcBorders>
              <w:top w:val="single" w:sz="1" w:space="0" w:color="AAAAAA"/>
              <w:left w:val="single" w:sz="1" w:space="0" w:color="AAAAAA"/>
              <w:bottom w:val="single" w:sz="1" w:space="0" w:color="AAAAAA"/>
              <w:right w:val="single" w:sz="1" w:space="0" w:color="AAAAAA"/>
            </w:tcBorders>
            <w:shd w:val="clear" w:color="auto" w:fill="D9E8F5"/>
            <w:tcMar>
              <w:top w:w="60" w:type="dxa"/>
              <w:left w:w="100" w:type="dxa"/>
              <w:bottom w:w="60" w:type="dxa"/>
              <w:right w:w="100" w:type="dxa"/>
            </w:tcMar>
          </w:tcPr>
          <w:p w:rsidR="00576E34" w:rsidRDefault="00830BB1">
            <w:r>
              <w:rPr>
                <w:b/>
                <w:bCs/>
                <w:sz w:val="20"/>
                <w:szCs w:val="20"/>
              </w:rPr>
              <w:t>Proposed Hybrid DWT-LSTM</w:t>
            </w:r>
          </w:p>
        </w:tc>
        <w:tc>
          <w:tcPr>
            <w:tcW w:w="1500" w:type="dxa"/>
            <w:tcBorders>
              <w:top w:val="single" w:sz="1" w:space="0" w:color="AAAAAA"/>
              <w:left w:val="single" w:sz="1" w:space="0" w:color="AAAAAA"/>
              <w:bottom w:val="single" w:sz="1" w:space="0" w:color="AAAAAA"/>
              <w:right w:val="single" w:sz="1" w:space="0" w:color="AAAAAA"/>
            </w:tcBorders>
            <w:shd w:val="clear" w:color="auto" w:fill="D9E8F5"/>
            <w:tcMar>
              <w:top w:w="60" w:type="dxa"/>
              <w:left w:w="100" w:type="dxa"/>
              <w:bottom w:w="60" w:type="dxa"/>
              <w:right w:w="100" w:type="dxa"/>
            </w:tcMar>
          </w:tcPr>
          <w:p w:rsidR="00576E34" w:rsidRDefault="00830BB1">
            <w:pPr>
              <w:jc w:val="center"/>
            </w:pPr>
            <w:r>
              <w:rPr>
                <w:b/>
                <w:bCs/>
                <w:sz w:val="20"/>
                <w:szCs w:val="20"/>
              </w:rPr>
              <w:t>99.4</w:t>
            </w:r>
          </w:p>
        </w:tc>
        <w:tc>
          <w:tcPr>
            <w:tcW w:w="1500" w:type="dxa"/>
            <w:tcBorders>
              <w:top w:val="single" w:sz="1" w:space="0" w:color="AAAAAA"/>
              <w:left w:val="single" w:sz="1" w:space="0" w:color="AAAAAA"/>
              <w:bottom w:val="single" w:sz="1" w:space="0" w:color="AAAAAA"/>
              <w:right w:val="single" w:sz="1" w:space="0" w:color="AAAAAA"/>
            </w:tcBorders>
            <w:shd w:val="clear" w:color="auto" w:fill="D9E8F5"/>
            <w:tcMar>
              <w:top w:w="60" w:type="dxa"/>
              <w:left w:w="100" w:type="dxa"/>
              <w:bottom w:w="60" w:type="dxa"/>
              <w:right w:w="100" w:type="dxa"/>
            </w:tcMar>
          </w:tcPr>
          <w:p w:rsidR="00576E34" w:rsidRDefault="00830BB1">
            <w:pPr>
              <w:jc w:val="center"/>
            </w:pPr>
            <w:r>
              <w:rPr>
                <w:b/>
                <w:bCs/>
                <w:sz w:val="20"/>
                <w:szCs w:val="20"/>
              </w:rPr>
              <w:t>99.6</w:t>
            </w:r>
          </w:p>
        </w:tc>
        <w:tc>
          <w:tcPr>
            <w:tcW w:w="1300" w:type="dxa"/>
            <w:tcBorders>
              <w:top w:val="single" w:sz="1" w:space="0" w:color="AAAAAA"/>
              <w:left w:val="single" w:sz="1" w:space="0" w:color="AAAAAA"/>
              <w:bottom w:val="single" w:sz="1" w:space="0" w:color="AAAAAA"/>
              <w:right w:val="single" w:sz="1" w:space="0" w:color="AAAAAA"/>
            </w:tcBorders>
            <w:shd w:val="clear" w:color="auto" w:fill="D9E8F5"/>
            <w:tcMar>
              <w:top w:w="60" w:type="dxa"/>
              <w:left w:w="100" w:type="dxa"/>
              <w:bottom w:w="60" w:type="dxa"/>
              <w:right w:w="100" w:type="dxa"/>
            </w:tcMar>
          </w:tcPr>
          <w:p w:rsidR="00576E34" w:rsidRDefault="00830BB1">
            <w:pPr>
              <w:jc w:val="center"/>
            </w:pPr>
            <w:r>
              <w:rPr>
                <w:b/>
                <w:bCs/>
                <w:sz w:val="20"/>
                <w:szCs w:val="20"/>
              </w:rPr>
              <w:t>0</w:t>
            </w:r>
          </w:p>
        </w:tc>
        <w:tc>
          <w:tcPr>
            <w:tcW w:w="1300" w:type="dxa"/>
            <w:tcBorders>
              <w:top w:val="single" w:sz="1" w:space="0" w:color="AAAAAA"/>
              <w:left w:val="single" w:sz="1" w:space="0" w:color="AAAAAA"/>
              <w:bottom w:val="single" w:sz="1" w:space="0" w:color="AAAAAA"/>
              <w:right w:val="single" w:sz="1" w:space="0" w:color="AAAAAA"/>
            </w:tcBorders>
            <w:shd w:val="clear" w:color="auto" w:fill="D9E8F5"/>
            <w:tcMar>
              <w:top w:w="60" w:type="dxa"/>
              <w:left w:w="100" w:type="dxa"/>
              <w:bottom w:w="60" w:type="dxa"/>
              <w:right w:w="100" w:type="dxa"/>
            </w:tcMar>
          </w:tcPr>
          <w:p w:rsidR="00576E34" w:rsidRDefault="00830BB1">
            <w:pPr>
              <w:jc w:val="center"/>
            </w:pPr>
            <w:r>
              <w:rPr>
                <w:b/>
                <w:bCs/>
                <w:sz w:val="20"/>
                <w:szCs w:val="20"/>
              </w:rPr>
              <w:t>17.2</w:t>
            </w:r>
          </w:p>
        </w:tc>
      </w:tr>
    </w:tbl>
    <w:p w:rsidR="00576E34" w:rsidRDefault="00576E34">
      <w:pPr>
        <w:spacing w:after="100"/>
      </w:pPr>
    </w:p>
    <w:p w:rsidR="00576E34" w:rsidRDefault="00830BB1">
      <w:pPr>
        <w:spacing w:before="60" w:after="60" w:line="276" w:lineRule="auto"/>
        <w:jc w:val="both"/>
      </w:pPr>
      <w:r>
        <w:t>From a societal perspective, the scheme offers substantial benefits in supply reliability, industrial productivity, and long-term grid safety in the Bangladeshi context. Health and safety risks associated with false trips (nuisance outages), missed trips (</w:t>
      </w:r>
      <w:r>
        <w:t>transformer fire), and cybersecurity threats have been identified and mitigated through system design choices including the hardware override and temporal-consistency check. Legal compliance has been mapped to the Bangladesh Electricity Act 2018, DoE envir</w:t>
      </w:r>
      <w:r>
        <w:t>onmental regulations, IEB professional standards, and relevant IEC/IEEE standards. The environmental footprint of the research phase is negligible (approximately 15.3 kg CO₂), and deployment will yield a strongly positive lifecycle environmental balance th</w:t>
      </w:r>
      <w:r>
        <w:t>rough extended transformer service life and reduced e-waste.</w:t>
      </w:r>
    </w:p>
    <w:p w:rsidR="00576E34" w:rsidRDefault="00576E34">
      <w:pPr>
        <w:spacing w:after="100"/>
      </w:pPr>
    </w:p>
    <w:p w:rsidR="00576E34" w:rsidRDefault="00830BB1">
      <w:pPr>
        <w:pStyle w:val="Heading2"/>
      </w:pPr>
      <w:r>
        <w:t>8.2  Recommendations for Future Work</w:t>
      </w:r>
    </w:p>
    <w:p w:rsidR="00576E34" w:rsidRDefault="00830BB1">
      <w:pPr>
        <w:pStyle w:val="ListParagraph"/>
        <w:numPr>
          <w:ilvl w:val="0"/>
          <w:numId w:val="2"/>
        </w:numPr>
        <w:spacing w:before="40" w:after="40" w:line="264" w:lineRule="auto"/>
      </w:pPr>
      <w:r>
        <w:t>Hardware-in-the-Loop (HIL) Testing: Implement the ONNX relay on an FPGA-based IED (e.g., National Instruments PXI or SEL RTAC) and conduct closed-loop HIL va</w:t>
      </w:r>
      <w:r>
        <w:t>lidation against a real-time power system simulator (RSCAD/RTDS) to confirm sub-20 ms latency in hardware.</w:t>
      </w:r>
    </w:p>
    <w:p w:rsidR="00576E34" w:rsidRDefault="00830BB1">
      <w:pPr>
        <w:pStyle w:val="ListParagraph"/>
        <w:numPr>
          <w:ilvl w:val="0"/>
          <w:numId w:val="2"/>
        </w:numPr>
        <w:spacing w:before="40" w:after="40" w:line="264" w:lineRule="auto"/>
      </w:pPr>
      <w:r>
        <w:t>Field Data Validation: Collect CT secondary waveform recordings from BPDB substations across a diversity of transformer ratings and operating conditi</w:t>
      </w:r>
      <w:r>
        <w:t>ons; retrain the LSTM on real-world data to address simulation-to-reality domain shift.</w:t>
      </w:r>
    </w:p>
    <w:p w:rsidR="00576E34" w:rsidRDefault="00830BB1">
      <w:pPr>
        <w:pStyle w:val="ListParagraph"/>
        <w:numPr>
          <w:ilvl w:val="0"/>
          <w:numId w:val="2"/>
        </w:numPr>
        <w:spacing w:before="40" w:after="40" w:line="264" w:lineRule="auto"/>
      </w:pPr>
      <w:r>
        <w:t>Explainability Enhancement: Apply SHAP (Shapley Additive Explanations) or LIME to the LSTM output to generate human-readable justifications for each trip/block decision, satisfying auditor and utility requirements for relay transparency.</w:t>
      </w:r>
    </w:p>
    <w:p w:rsidR="00576E34" w:rsidRDefault="00830BB1">
      <w:pPr>
        <w:pStyle w:val="ListParagraph"/>
        <w:numPr>
          <w:ilvl w:val="0"/>
          <w:numId w:val="2"/>
        </w:numPr>
        <w:spacing w:before="40" w:after="40" w:line="264" w:lineRule="auto"/>
      </w:pPr>
      <w:r>
        <w:t>Adversarial Robust</w:t>
      </w:r>
      <w:r>
        <w:t>ness Testing: Evaluate the system under adversarial waveform perturbations consistent with IEC 62351 threat models and implement detection/mitigation strategies.</w:t>
      </w:r>
    </w:p>
    <w:p w:rsidR="00576E34" w:rsidRDefault="00830BB1">
      <w:pPr>
        <w:pStyle w:val="ListParagraph"/>
        <w:numPr>
          <w:ilvl w:val="0"/>
          <w:numId w:val="2"/>
        </w:numPr>
        <w:spacing w:before="40" w:after="40" w:line="264" w:lineRule="auto"/>
      </w:pPr>
      <w:r>
        <w:t xml:space="preserve">Extension to Auto-Transformer and Wind Farm Collector Transformers: The DWT–LSTM architecture </w:t>
      </w:r>
      <w:r>
        <w:t>is generic; adapting it to autotransformer configurations and converter-interfaced renewable collector transformers would broaden the societal impact.</w:t>
      </w:r>
    </w:p>
    <w:p w:rsidR="00576E34" w:rsidRDefault="00830BB1">
      <w:pPr>
        <w:pStyle w:val="ListParagraph"/>
        <w:numPr>
          <w:ilvl w:val="0"/>
          <w:numId w:val="2"/>
        </w:numPr>
        <w:spacing w:before="40" w:after="40" w:line="264" w:lineRule="auto"/>
      </w:pPr>
      <w:r>
        <w:t>Standardisation Submission: Submit the hybrid relay logic and decision framework to the IEEE Power System Relaying and Control Committee (PSRCC) for consideration as a contribution to the next revision of IEEE Std C37.91.</w:t>
      </w:r>
    </w:p>
    <w:p w:rsidR="00576E34" w:rsidRDefault="00576E34">
      <w:pPr>
        <w:spacing w:after="300"/>
      </w:pPr>
    </w:p>
    <w:p w:rsidR="00576E34" w:rsidRDefault="00830BB1">
      <w:pPr>
        <w:spacing w:before="300" w:after="160"/>
        <w:jc w:val="center"/>
      </w:pPr>
      <w:r>
        <w:rPr>
          <w:b/>
          <w:bCs/>
          <w:sz w:val="24"/>
          <w:szCs w:val="24"/>
        </w:rPr>
        <w:t>DECLARATION</w:t>
      </w:r>
    </w:p>
    <w:p w:rsidR="00576E34" w:rsidRDefault="00830BB1">
      <w:pPr>
        <w:spacing w:before="60" w:after="60" w:line="276" w:lineRule="auto"/>
        <w:jc w:val="both"/>
      </w:pPr>
      <w:r>
        <w:t>We hereby declare tha</w:t>
      </w:r>
      <w:r>
        <w:t>t this report is our original work, focusing on the ethical, sustainable, and societal dimensions of our engineering design. All technical solutions and impact assessments have been accurately mapped to the required Programme Outcomes and Learning Taxonomi</w:t>
      </w:r>
      <w:r>
        <w:t>es in compliance with OBE standards. We further certify that all external sources and collaborative assistance have been duly acknowledged and cited according to academic integrity protocols.</w:t>
      </w:r>
    </w:p>
    <w:p w:rsidR="00576E34" w:rsidRDefault="00576E34">
      <w:pPr>
        <w:spacing w:after="300"/>
      </w:pPr>
    </w:p>
    <w:p w:rsidR="00576E34" w:rsidRDefault="00830BB1">
      <w:pPr>
        <w:spacing w:before="160" w:after="40"/>
      </w:pPr>
      <w:r>
        <w:t>[Student Name 1]                                        [Studen</w:t>
      </w:r>
      <w:r>
        <w:t>t Name 2]</w:t>
      </w:r>
    </w:p>
    <w:p w:rsidR="00576E34" w:rsidRDefault="00830BB1">
      <w:pPr>
        <w:spacing w:before="20" w:after="40"/>
      </w:pPr>
      <w:r>
        <w:t>Student ID: .....................................          Student ID: .....................................</w:t>
      </w:r>
    </w:p>
    <w:p w:rsidR="00576E34" w:rsidRDefault="00576E34">
      <w:pPr>
        <w:spacing w:after="100"/>
      </w:pPr>
    </w:p>
    <w:p w:rsidR="00576E34" w:rsidRDefault="00830BB1">
      <w:pPr>
        <w:spacing w:before="20" w:after="40"/>
      </w:pPr>
      <w:r>
        <w:t>Signature: .....................................            Signature: .....................................</w:t>
      </w:r>
    </w:p>
    <w:p w:rsidR="00576E34" w:rsidRDefault="00576E34">
      <w:pPr>
        <w:spacing w:after="300"/>
      </w:pPr>
    </w:p>
    <w:p w:rsidR="00576E34" w:rsidRDefault="00830BB1">
      <w:pPr>
        <w:pBdr>
          <w:top w:val="single" w:sz="6" w:space="4" w:color="2E75B6"/>
        </w:pBdr>
        <w:spacing w:before="200" w:after="160"/>
        <w:jc w:val="center"/>
      </w:pPr>
      <w:r>
        <w:rPr>
          <w:b/>
          <w:bCs/>
          <w:color w:val="2E75B6"/>
          <w:sz w:val="24"/>
          <w:szCs w:val="24"/>
        </w:rPr>
        <w:t>APPROVAL OF SUPERVISOR</w:t>
      </w:r>
    </w:p>
    <w:p w:rsidR="00576E34" w:rsidRDefault="00576E34">
      <w:pPr>
        <w:spacing w:after="500"/>
      </w:pPr>
    </w:p>
    <w:p w:rsidR="00576E34" w:rsidRDefault="00830BB1">
      <w:pPr>
        <w:spacing w:after="40"/>
        <w:jc w:val="center"/>
      </w:pPr>
      <w:r>
        <w:rPr>
          <w:b/>
          <w:bCs/>
        </w:rPr>
        <w:t>Si</w:t>
      </w:r>
      <w:r>
        <w:rPr>
          <w:b/>
          <w:bCs/>
        </w:rPr>
        <w:t>gnature</w:t>
      </w:r>
    </w:p>
    <w:p w:rsidR="00576E34" w:rsidRDefault="00830BB1">
      <w:pPr>
        <w:spacing w:after="40"/>
        <w:jc w:val="center"/>
      </w:pPr>
      <w:r>
        <w:t>Supervisor name: [Name]</w:t>
      </w:r>
    </w:p>
    <w:p w:rsidR="00576E34" w:rsidRDefault="00830BB1">
      <w:pPr>
        <w:spacing w:after="40"/>
        <w:jc w:val="center"/>
      </w:pPr>
      <w:r>
        <w:t>Designation: [Designation]</w:t>
      </w:r>
    </w:p>
    <w:p w:rsidR="00576E34" w:rsidRDefault="00830BB1">
      <w:pPr>
        <w:spacing w:after="40"/>
        <w:jc w:val="center"/>
      </w:pPr>
      <w:r>
        <w:t>Department: Dept. of EECE</w:t>
      </w:r>
    </w:p>
    <w:p w:rsidR="00576E34" w:rsidRDefault="00830BB1">
      <w:pPr>
        <w:spacing w:after="40"/>
        <w:jc w:val="center"/>
      </w:pPr>
      <w:r>
        <w:t>Institution: Military Institute of Science and Technology (MIST)</w:t>
      </w:r>
    </w:p>
    <w:sectPr w:rsidR="00576E34">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30BB1" w:rsidRDefault="00830BB1">
      <w:r>
        <w:separator/>
      </w:r>
    </w:p>
  </w:endnote>
  <w:endnote w:type="continuationSeparator" w:id="0">
    <w:p w:rsidR="00830BB1" w:rsidRDefault="00830B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34" w:rsidRDefault="00830BB1">
    <w:pPr>
      <w:pBdr>
        <w:top w:val="single" w:sz="6" w:space="4" w:color="2E75B6"/>
      </w:pBdr>
      <w:jc w:val="center"/>
    </w:pPr>
    <w:r>
      <w:rPr>
        <w:color w:val="555555"/>
        <w:sz w:val="18"/>
        <w:szCs w:val="18"/>
      </w:rPr>
      <w:t xml:space="preserve">Page </w:t>
    </w:r>
    <w:r>
      <w:rPr>
        <w:color w:val="555555"/>
        <w:sz w:val="18"/>
        <w:szCs w:val="18"/>
      </w:rPr>
      <w:fldChar w:fldCharType="begin"/>
    </w:r>
    <w:r>
      <w:rPr>
        <w:color w:val="555555"/>
        <w:sz w:val="18"/>
        <w:szCs w:val="18"/>
      </w:rPr>
      <w:instrText>PAGE</w:instrText>
    </w:r>
    <w:r w:rsidR="00DF5FCD">
      <w:rPr>
        <w:color w:val="555555"/>
        <w:sz w:val="18"/>
        <w:szCs w:val="18"/>
      </w:rPr>
      <w:fldChar w:fldCharType="separate"/>
    </w:r>
    <w:r w:rsidR="00DF5FCD">
      <w:rPr>
        <w:noProof/>
        <w:color w:val="555555"/>
        <w:sz w:val="18"/>
        <w:szCs w:val="18"/>
      </w:rPr>
      <w:t>2</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NUMPAGES</w:instrText>
    </w:r>
    <w:r w:rsidR="00DF5FCD">
      <w:rPr>
        <w:color w:val="555555"/>
        <w:sz w:val="18"/>
        <w:szCs w:val="18"/>
      </w:rPr>
      <w:fldChar w:fldCharType="separate"/>
    </w:r>
    <w:r w:rsidR="00DF5FCD">
      <w:rPr>
        <w:noProof/>
        <w:color w:val="555555"/>
        <w:sz w:val="18"/>
        <w:szCs w:val="18"/>
      </w:rPr>
      <w:t>11</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30BB1" w:rsidRDefault="00830BB1">
      <w:r>
        <w:separator/>
      </w:r>
    </w:p>
  </w:footnote>
  <w:footnote w:type="continuationSeparator" w:id="0">
    <w:p w:rsidR="00830BB1" w:rsidRDefault="00830B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76E34" w:rsidRDefault="00830BB1">
    <w:pPr>
      <w:pBdr>
        <w:bottom w:val="single" w:sz="6" w:space="4" w:color="2E75B6"/>
      </w:pBdr>
    </w:pPr>
    <w:r>
      <w:rPr>
        <w:color w:val="555555"/>
        <w:sz w:val="16"/>
        <w:szCs w:val="16"/>
      </w:rPr>
      <w:t>MIST — EECE 400 Final Year Project   |   Professional Ethics, Sustainability &amp; Societal Impact Assessment</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E66885"/>
    <w:multiLevelType w:val="hybridMultilevel"/>
    <w:tmpl w:val="04CA0BAE"/>
    <w:lvl w:ilvl="0" w:tplc="6F8A6FE0">
      <w:start w:val="1"/>
      <w:numFmt w:val="bullet"/>
      <w:lvlText w:val="●"/>
      <w:lvlJc w:val="left"/>
      <w:pPr>
        <w:ind w:left="720" w:hanging="360"/>
      </w:pPr>
    </w:lvl>
    <w:lvl w:ilvl="1" w:tplc="3D76345A">
      <w:start w:val="1"/>
      <w:numFmt w:val="bullet"/>
      <w:lvlText w:val="○"/>
      <w:lvlJc w:val="left"/>
      <w:pPr>
        <w:ind w:left="1440" w:hanging="360"/>
      </w:pPr>
    </w:lvl>
    <w:lvl w:ilvl="2" w:tplc="B2FA9D08">
      <w:start w:val="1"/>
      <w:numFmt w:val="bullet"/>
      <w:lvlText w:val="■"/>
      <w:lvlJc w:val="left"/>
      <w:pPr>
        <w:ind w:left="2160" w:hanging="360"/>
      </w:pPr>
    </w:lvl>
    <w:lvl w:ilvl="3" w:tplc="AB345916">
      <w:start w:val="1"/>
      <w:numFmt w:val="bullet"/>
      <w:lvlText w:val="●"/>
      <w:lvlJc w:val="left"/>
      <w:pPr>
        <w:ind w:left="2880" w:hanging="360"/>
      </w:pPr>
    </w:lvl>
    <w:lvl w:ilvl="4" w:tplc="F8FA3A0C">
      <w:start w:val="1"/>
      <w:numFmt w:val="bullet"/>
      <w:lvlText w:val="○"/>
      <w:lvlJc w:val="left"/>
      <w:pPr>
        <w:ind w:left="3600" w:hanging="360"/>
      </w:pPr>
    </w:lvl>
    <w:lvl w:ilvl="5" w:tplc="71625E2E">
      <w:start w:val="1"/>
      <w:numFmt w:val="bullet"/>
      <w:lvlText w:val="■"/>
      <w:lvlJc w:val="left"/>
      <w:pPr>
        <w:ind w:left="4320" w:hanging="360"/>
      </w:pPr>
    </w:lvl>
    <w:lvl w:ilvl="6" w:tplc="7708F0C2">
      <w:start w:val="1"/>
      <w:numFmt w:val="bullet"/>
      <w:lvlText w:val="●"/>
      <w:lvlJc w:val="left"/>
      <w:pPr>
        <w:ind w:left="5040" w:hanging="360"/>
      </w:pPr>
    </w:lvl>
    <w:lvl w:ilvl="7" w:tplc="FD320308">
      <w:start w:val="1"/>
      <w:numFmt w:val="bullet"/>
      <w:lvlText w:val="●"/>
      <w:lvlJc w:val="left"/>
      <w:pPr>
        <w:ind w:left="5760" w:hanging="360"/>
      </w:pPr>
    </w:lvl>
    <w:lvl w:ilvl="8" w:tplc="AA74C14A">
      <w:start w:val="1"/>
      <w:numFmt w:val="bullet"/>
      <w:lvlText w:val="●"/>
      <w:lvlJc w:val="left"/>
      <w:pPr>
        <w:ind w:left="6480" w:hanging="360"/>
      </w:pPr>
    </w:lvl>
  </w:abstractNum>
  <w:abstractNum w:abstractNumId="1" w15:restartNumberingAfterBreak="0">
    <w:nsid w:val="59E60424"/>
    <w:multiLevelType w:val="hybridMultilevel"/>
    <w:tmpl w:val="21D0923C"/>
    <w:lvl w:ilvl="0" w:tplc="AAD8BF6E">
      <w:start w:val="1"/>
      <w:numFmt w:val="bullet"/>
      <w:lvlText w:val="•"/>
      <w:lvlJc w:val="left"/>
      <w:pPr>
        <w:ind w:left="720" w:hanging="360"/>
      </w:pPr>
    </w:lvl>
    <w:lvl w:ilvl="1" w:tplc="7E7CEBD4">
      <w:numFmt w:val="decimal"/>
      <w:lvlText w:val=""/>
      <w:lvlJc w:val="left"/>
    </w:lvl>
    <w:lvl w:ilvl="2" w:tplc="E9589254">
      <w:numFmt w:val="decimal"/>
      <w:lvlText w:val=""/>
      <w:lvlJc w:val="left"/>
    </w:lvl>
    <w:lvl w:ilvl="3" w:tplc="4B80BCAC">
      <w:numFmt w:val="decimal"/>
      <w:lvlText w:val=""/>
      <w:lvlJc w:val="left"/>
    </w:lvl>
    <w:lvl w:ilvl="4" w:tplc="B6821F94">
      <w:numFmt w:val="decimal"/>
      <w:lvlText w:val=""/>
      <w:lvlJc w:val="left"/>
    </w:lvl>
    <w:lvl w:ilvl="5" w:tplc="E48092EE">
      <w:numFmt w:val="decimal"/>
      <w:lvlText w:val=""/>
      <w:lvlJc w:val="left"/>
    </w:lvl>
    <w:lvl w:ilvl="6" w:tplc="208E491A">
      <w:numFmt w:val="decimal"/>
      <w:lvlText w:val=""/>
      <w:lvlJc w:val="left"/>
    </w:lvl>
    <w:lvl w:ilvl="7" w:tplc="02F01A92">
      <w:numFmt w:val="decimal"/>
      <w:lvlText w:val=""/>
      <w:lvlJc w:val="left"/>
    </w:lvl>
    <w:lvl w:ilvl="8" w:tplc="D7B4D398">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6E34"/>
    <w:rsid w:val="00576E34"/>
    <w:rsid w:val="00830BB1"/>
    <w:rsid w:val="00DF5F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A4194"/>
  <w15:docId w15:val="{0026F3C0-6F93-4E64-8B5F-6720A5FABA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320" w:after="160"/>
      <w:outlineLvl w:val="0"/>
    </w:pPr>
    <w:rPr>
      <w:b/>
      <w:bCs/>
      <w:color w:val="1F3864"/>
      <w:sz w:val="28"/>
      <w:szCs w:val="28"/>
    </w:rPr>
  </w:style>
  <w:style w:type="paragraph" w:styleId="Heading2">
    <w:name w:val="heading 2"/>
    <w:qFormat/>
    <w:pPr>
      <w:spacing w:before="240" w:after="120"/>
      <w:outlineLvl w:val="1"/>
    </w:pPr>
    <w:rPr>
      <w:b/>
      <w:bCs/>
      <w:color w:val="2E75B6"/>
      <w:sz w:val="24"/>
      <w:szCs w:val="24"/>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4528</Words>
  <Characters>25810</Characters>
  <Application>Microsoft Office Word</Application>
  <DocSecurity>0</DocSecurity>
  <Lines>215</Lines>
  <Paragraphs>60</Paragraphs>
  <ScaleCrop>false</ScaleCrop>
  <Company/>
  <LinksUpToDate>false</LinksUpToDate>
  <CharactersWithSpaces>30278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Abeer</cp:lastModifiedBy>
  <cp:revision>2</cp:revision>
  <dcterms:created xsi:type="dcterms:W3CDTF">2026-05-23T11:02:00Z</dcterms:created>
  <dcterms:modified xsi:type="dcterms:W3CDTF">2026-05-23T11:07:00Z</dcterms:modified>
</cp:coreProperties>
</file>