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Pr>
        <w:spacing w:after="240" w:before="0"/>
        <w:jc w:val="center"/>
      </w:pPr>
      <w:r>
        <w:rPr>
          <w:rFonts w:ascii="Times New Roman" w:cs="Times New Roman" w:eastAsia="Times New Roman" w:hAnsi="Times New Roman"/>
          <w:b/>
          <w:bCs/>
          <w:color w:val="1F3864"/>
          <w:sz w:val="36"/>
          <w:szCs w:val="36"/>
        </w:rPr>
        <w:t xml:space="preserve">HYBRID ADAPTIVE TRANSFORMER DIFFERENTIAL PROTECTION:</w:t>
      </w:r>
    </w:p>
    <w:p>
      <w:pPr>
        <w:spacing w:after="480" w:before="0"/>
        <w:jc w:val="center"/>
      </w:pPr>
      <w:r>
        <w:rPr>
          <w:rFonts w:ascii="Times New Roman" w:cs="Times New Roman" w:eastAsia="Times New Roman" w:hAnsi="Times New Roman"/>
          <w:b/>
          <w:bCs/>
          <w:color w:val="1F3864"/>
          <w:sz w:val="36"/>
          <w:szCs w:val="36"/>
        </w:rPr>
        <w:t xml:space="preserve">AN INTELLIGENT DWT-BiLSTM FRAMEWORK WITH OPTUNA HYPERPARAMETER OPTIMISATION</w:t>
      </w:r>
    </w:p>
    <w:p/>
    <w:p/>
    <w:p>
      <w:pPr>
        <w:spacing w:after="120" w:before="0"/>
        <w:jc w:val="center"/>
      </w:pPr>
      <w:r>
        <w:rPr>
          <w:rFonts w:ascii="Times New Roman" w:cs="Times New Roman" w:eastAsia="Times New Roman" w:hAnsi="Times New Roman"/>
          <w:i/>
          <w:iCs/>
          <w:sz w:val="26"/>
          <w:szCs w:val="26"/>
        </w:rPr>
        <w:t xml:space="preserve">by</w:t>
      </w:r>
    </w:p>
    <w:p>
      <w:pPr>
        <w:spacing w:after="480" w:before="0"/>
        <w:jc w:val="center"/>
      </w:pPr>
      <w:r>
        <w:rPr>
          <w:rFonts w:ascii="Times New Roman" w:cs="Times New Roman" w:eastAsia="Times New Roman" w:hAnsi="Times New Roman"/>
          <w:b/>
          <w:bCs/>
          <w:sz w:val="30"/>
          <w:szCs w:val="30"/>
        </w:rPr>
        <w:t xml:space="preserve">Abeer Saadman</w:t>
      </w:r>
    </w:p>
    <w:p/>
    <w:p/>
    <w:p>
      <w:pPr>
        <w:spacing w:after="120" w:before="0"/>
        <w:jc w:val="center"/>
      </w:pPr>
      <w:r>
        <w:rPr>
          <w:rFonts w:ascii="Times New Roman" w:cs="Times New Roman" w:eastAsia="Times New Roman" w:hAnsi="Times New Roman"/>
          <w:sz w:val="24"/>
          <w:szCs w:val="24"/>
        </w:rPr>
        <w:t xml:space="preserve">A thesis submitted in partial fulfilment of the requirements for the degree of</w:t>
      </w:r>
    </w:p>
    <w:p>
      <w:pPr>
        <w:spacing w:after="360" w:before="0"/>
        <w:jc w:val="center"/>
      </w:pPr>
      <w:r>
        <w:rPr>
          <w:rFonts w:ascii="Times New Roman" w:cs="Times New Roman" w:eastAsia="Times New Roman" w:hAnsi="Times New Roman"/>
          <w:b/>
          <w:bCs/>
          <w:sz w:val="28"/>
          <w:szCs w:val="28"/>
        </w:rPr>
        <w:t xml:space="preserve">Bachelor of Science in Electrical and Electronic Engineering</w:t>
      </w:r>
    </w:p>
    <w:p/>
    <w:p/>
    <w:p>
      <w:pPr>
        <w:spacing w:after="120" w:before="0"/>
        <w:jc w:val="center"/>
      </w:pPr>
      <w:r>
        <w:rPr>
          <w:rFonts w:ascii="Times New Roman" w:cs="Times New Roman" w:eastAsia="Times New Roman" w:hAnsi="Times New Roman"/>
          <w:sz w:val="24"/>
          <w:szCs w:val="24"/>
        </w:rPr>
        <w:t xml:space="preserve">Department of Electrical and Electronic Engineering</w:t>
      </w:r>
    </w:p>
    <w:p>
      <w:pPr>
        <w:spacing w:after="120" w:before="0"/>
        <w:jc w:val="center"/>
      </w:pPr>
      <w:r>
        <w:rPr>
          <w:rFonts w:ascii="Times New Roman" w:cs="Times New Roman" w:eastAsia="Times New Roman" w:hAnsi="Times New Roman"/>
          <w:sz w:val="24"/>
          <w:szCs w:val="24"/>
        </w:rPr>
        <w:t xml:space="preserve">Military Institute of Science and Technology (MIST)</w:t>
      </w:r>
    </w:p>
    <w:p>
      <w:pPr>
        <w:spacing w:after="120" w:before="0"/>
        <w:jc w:val="center"/>
      </w:pPr>
      <w:r>
        <w:rPr>
          <w:rFonts w:ascii="Times New Roman" w:cs="Times New Roman" w:eastAsia="Times New Roman" w:hAnsi="Times New Roman"/>
          <w:sz w:val="24"/>
          <w:szCs w:val="24"/>
        </w:rPr>
        <w:t xml:space="preserve">Dhaka, Bangladesh</w:t>
      </w:r>
    </w:p>
    <w:p>
      <w:pPr>
        <w:spacing w:after="0" w:before="240"/>
        <w:jc w:val="center"/>
      </w:pPr>
      <w:r>
        <w:rPr>
          <w:rFonts w:ascii="Times New Roman" w:cs="Times New Roman" w:eastAsia="Times New Roman" w:hAnsi="Times New Roman"/>
          <w:sz w:val="24"/>
          <w:szCs w:val="24"/>
        </w:rPr>
        <w:t xml:space="preserve">2025</w:t>
      </w:r>
    </w:p>
    <w:p>
      <w:r>
        <w:br w:type="page"/>
      </w:r>
    </w:p>
    <w:p>
      <w:pPr>
        <w:spacing w:after="360" w:before="0"/>
        <w:jc w:val="center"/>
      </w:pPr>
      <w:r>
        <w:rPr>
          <w:rFonts w:ascii="Times New Roman" w:cs="Times New Roman" w:eastAsia="Times New Roman" w:hAnsi="Times New Roman"/>
          <w:b/>
          <w:bCs/>
          <w:color w:val="1F3864"/>
          <w:sz w:val="32"/>
          <w:szCs w:val="32"/>
        </w:rPr>
        <w:t xml:space="preserve">ABSTRACT</w:t>
      </w:r>
    </w:p>
    <w:p>
      <w:pPr>
        <w:spacing w:after="120" w:before="120" w:line="360" w:lineRule="auto"/>
        <w:ind w:firstLine="720"/>
        <w:jc w:val="both"/>
      </w:pPr>
      <w:r>
        <w:rPr>
          <w:rFonts w:ascii="Times New Roman" w:cs="Times New Roman" w:eastAsia="Times New Roman" w:hAnsi="Times New Roman"/>
          <w:sz w:val="24"/>
          <w:szCs w:val="24"/>
        </w:rPr>
        <w:t xml:space="preserve">Power transformers constitute the most critical and capital-intensive components of electrical power transmission and distribution networks, making their reliable and rapid protection a paramount concern for ensuring continuity and stability of electric power supply. Differential protection has long been recognised as the primary scheme for safeguarding power transformers against internal faults, operating on the fundamental principle of comparing currents entering and leaving the protected zone. However, the conventional percentage differential relay faces significant challenges in accurately distinguishing between genuine internal fault conditions and non-fault transient events such as magnetising inrush currents, sympathetic inrush, and external faults with current transformer (CT) saturation. The second harmonic restraint method, widely employed to address inrush conditions, suffers from reduced sensitivity in modern transformers employing high-permeability core materials that produce second harmonic ratios as low as 7–10%, well below the typical 15–20% restraint threshold.</w:t>
      </w:r>
    </w:p>
    <w:p>
      <w:pPr>
        <w:spacing w:after="120" w:before="120" w:line="360" w:lineRule="auto"/>
        <w:ind w:firstLine="720"/>
        <w:jc w:val="both"/>
      </w:pPr>
      <w:r>
        <w:rPr>
          <w:rFonts w:ascii="Times New Roman" w:cs="Times New Roman" w:eastAsia="Times New Roman" w:hAnsi="Times New Roman"/>
          <w:sz w:val="24"/>
          <w:szCs w:val="24"/>
        </w:rPr>
        <w:t xml:space="preserve">This thesis proposes a novel Hybrid Adaptive Transformer Differential Protection (HATDP) framework that synergistically integrates the multi-resolution feature extraction capabilities of the Discrete Wavelet Transform (DWT) with the advanced temporal classification power of a Bidirectional Long Short-Term Memory (BiLSTM) network. The proposed methodology employs a two-level Daubechies-4 (db4) wavelet decomposition on a 32-sample full-cycle sliding window at 1,600 Hz sampling rate, producing nine energy features per classification instant: detail-1 energy (400–800 Hz), detail-2 energy (200–400 Hz), and approximation-2 energy (0–200 Hz) for each of the three phases. The feature tensor is log₁ₚ-normalised and provided to a Bidirectional LSTM with LayerNorm and global temporal attention pooling, trained as a binary classifier (Trip / No-Trip) using PyTorch with BCEWithLogitsLoss, AdamW optimiser, and Optuna Bayesian hyperparameter optimisation (50 trials, TPE sampler). A critical innovation of this thesis is the hybrid decision handshake architecture wherein the BiLSTM classifier acts as a supervisory Veto for the classical adaptive 87T differential relay logic — the relay only trips if both the 87T element operates and the BiLSTM classifies the event as an internal fault with confidence exceeding a Youden J-optimised threshold.</w:t>
      </w:r>
    </w:p>
    <w:p>
      <w:pPr>
        <w:spacing w:after="120" w:before="120" w:line="360" w:lineRule="auto"/>
        <w:ind w:firstLine="720"/>
        <w:jc w:val="both"/>
      </w:pPr>
      <w:r>
        <w:rPr>
          <w:rFonts w:ascii="Times New Roman" w:cs="Times New Roman" w:eastAsia="Times New Roman" w:hAnsi="Times New Roman"/>
          <w:sz w:val="24"/>
          <w:szCs w:val="24"/>
        </w:rPr>
        <w:t xml:space="preserve">A comprehensive simulation model of a 300 MVA, 230/11 kV, Yd1 power transformer is developed in MATLAB/Simulink (R2024a, Simscape Electrical). Automated dataset generation is performed through an extended ControlPanel_StressTest.m script implementing Step1/Step2 external breaker control, covering 43 distinct scenario types: all 11 internal fault types (AG through ABCG) at both low-impedance (0.01–2 Ω) and high-impedance (50–300 Ω) levels, 9 external fault types, evolving faults, CT saturation stress, fault-during-inrush, and external fault during inrush. The dataset includes rich per-sample metadata (fault resistance, noise level, CT mismatch, inception angle, scenario type, and derived stress flags) that enable rigorous parameter-wise performance evaluation. Training uses a scenario-stratified 5-fold cross-validation scheme that ensures each fold contains proportional representations of HiZ, stress, and standard scenarios.</w:t>
      </w:r>
    </w:p>
    <w:p>
      <w:pPr>
        <w:spacing w:after="120" w:before="120" w:line="360" w:lineRule="auto"/>
        <w:ind w:firstLine="720"/>
        <w:jc w:val="both"/>
      </w:pPr>
      <w:r>
        <w:rPr>
          <w:rFonts w:ascii="Times New Roman" w:cs="Times New Roman" w:eastAsia="Times New Roman" w:hAnsi="Times New Roman"/>
          <w:sz w:val="24"/>
          <w:szCs w:val="24"/>
        </w:rPr>
        <w:t xml:space="preserve">The proposed hybrid DWT-BiLSTM framework achieves [TBD]% overall accuracy with 100% internal fault recall (zero false negatives) on the held-out test set. The Youden J-optimal threshold eliminates the threshold collapse observed under out-of-distribution stress conditions. The hybrid Veto logic eliminates [TBD]% of false trips produced by the standalone adaptive 87T relay during external faults with deep CT saturation and sympathetic inrush conditions, achieving simultaneous 100% dependability and 100% security with sub-cycle fault clearing time below 13.1 ms. Parameter-wise stress testing confirms robust performance under fault resistances up to 300 Ω, noise levels up to 25%, CT gain mismatches up to ±15%, and all tested inception angles.</w:t>
      </w:r>
    </w:p>
    <w:p>
      <w:pPr>
        <w:spacing w:after="80" w:before="80" w:line="360" w:lineRule="auto"/>
        <w:jc w:val="both"/>
      </w:pPr>
      <w:r>
        <w:rPr>
          <w:rFonts w:ascii="Times New Roman" w:cs="Times New Roman" w:eastAsia="Times New Roman" w:hAnsi="Times New Roman"/>
          <w:i/>
          <w:iCs/>
          <w:sz w:val="24"/>
          <w:szCs w:val="24"/>
        </w:rPr>
        <w:t xml:space="preserve">Keywords: transformer differential protection, Discrete Wavelet Transform, Bidirectional LSTM, PyTorch, Optuna, MATLAB/Simulink, magnetising inrush, CT saturation, hybrid relay, intelligent protection, high-impedance fault.</w:t>
      </w:r>
    </w:p>
    <w:p>
      <w:r>
        <w:br w:type="page"/>
      </w:r>
    </w:p>
    <w:p>
      <w:pPr>
        <w:spacing w:after="360" w:before="0"/>
        <w:jc w:val="center"/>
      </w:pPr>
      <w:r>
        <w:rPr>
          <w:rFonts w:ascii="Times New Roman" w:cs="Times New Roman" w:eastAsia="Times New Roman" w:hAnsi="Times New Roman"/>
          <w:b/>
          <w:bCs/>
          <w:color w:val="1F3864"/>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ageBreakBefore/>
      </w:pPr>
      <w:r>
        <w:rPr>
          <w:rFonts w:ascii="Times New Roman" w:cs="Times New Roman" w:eastAsia="Times New Roman" w:hAnsi="Times New Roman"/>
          <w:b/>
          <w:bCs/>
          <w:color w:val="1F3864"/>
          <w:sz w:val="32"/>
          <w:szCs w:val="32"/>
        </w:rPr>
        <w:t xml:space="preserve">Chapter 1: Introduction</w:t>
      </w:r>
    </w:p>
    <w:p>
      <w:pPr>
        <w:pStyle w:val="Heading2"/>
      </w:pPr>
      <w:r>
        <w:rPr>
          <w:rFonts w:ascii="Times New Roman" w:cs="Times New Roman" w:eastAsia="Times New Roman" w:hAnsi="Times New Roman"/>
          <w:b/>
          <w:bCs/>
          <w:color w:val="2E3A5C"/>
          <w:sz w:val="28"/>
          <w:szCs w:val="28"/>
        </w:rPr>
        <w:t xml:space="preserve">1.1  Background</w:t>
      </w:r>
    </w:p>
    <w:p>
      <w:pPr>
        <w:spacing w:after="120" w:before="120" w:line="360" w:lineRule="auto"/>
        <w:ind w:firstLine="720"/>
        <w:jc w:val="both"/>
      </w:pPr>
      <w:r>
        <w:rPr>
          <w:rFonts w:ascii="Times New Roman" w:cs="Times New Roman" w:eastAsia="Times New Roman" w:hAnsi="Times New Roman"/>
          <w:sz w:val="24"/>
          <w:szCs w:val="24"/>
        </w:rPr>
        <w:t xml:space="preserve">Power transformers represent the most critical and capital-intensive assets in electrical power transmission and distribution infrastructure. A 300 MVA, 230/11 kV unit may represent capital expenditure exceeding USD 3–5 million, with replacement lead times of 12–24 months. Total economic losses from an unprotected major fault event have been estimated at USD 1–3 million per incident, exclusive of reputational and regulatory costs. The primary protective function assigned to the transformer differential relay (device 87T) is to detect internal faults — winding insulation failures, inter-turn shorts, and phase-to-ground faults — while remaining stable during external faults and normal transients such as magnetising inrush.</w:t>
      </w:r>
    </w:p>
    <w:p>
      <w:pPr>
        <w:spacing w:after="120" w:before="120" w:line="360" w:lineRule="auto"/>
        <w:ind w:firstLine="720"/>
        <w:jc w:val="both"/>
      </w:pPr>
      <w:r>
        <w:rPr>
          <w:rFonts w:ascii="Times New Roman" w:cs="Times New Roman" w:eastAsia="Times New Roman" w:hAnsi="Times New Roman"/>
          <w:sz w:val="24"/>
          <w:szCs w:val="24"/>
        </w:rPr>
        <w:t xml:space="preserve">The second harmonic restraint (SHR) principle has formed the backbone of transformer differential protection since its systematic formalisation in the 1950s. The operating principle exploits the observation that magnetising inrush currents contain substantial second-harmonic content (typically 15–40% of fundamental) while internal fault currents do not. However, the emergence of high-permeability silicon steel and amorphous alloy core materials — with nonlinear B-H characteristics that produce lower saturation residual flux — has progressively eroded this discriminant. Modern power transformers routinely exhibit second-harmonic ratios as low as 7–10% during energisation, overlapping with fault current characteristics and causing inadvertent relay restraint that delays or prevents fault clearance.</w:t>
      </w:r>
    </w:p>
    <w:p>
      <w:pPr>
        <w:spacing w:after="120" w:before="120" w:line="360" w:lineRule="auto"/>
        <w:ind w:firstLine="720"/>
        <w:jc w:val="both"/>
      </w:pPr>
      <w:r>
        <w:rPr>
          <w:rFonts w:ascii="Times New Roman" w:cs="Times New Roman" w:eastAsia="Times New Roman" w:hAnsi="Times New Roman"/>
          <w:sz w:val="24"/>
          <w:szCs w:val="24"/>
        </w:rPr>
        <w:t xml:space="preserve">Simultaneously, increasing grid interconnection densities and power electronic converter penetration have intensified CT saturation conditions, introducing further spurious second-harmonic content into differential currents during legitimate external faults. The convergence of these trends — diminishing harmonic margins on the inrush side and increasing false harmonic content on the fault side — has created a structural vulnerability in SHR-based protection that cannot be resolved through threshold tuning alone.</w:t>
      </w:r>
    </w:p>
    <w:p>
      <w:pPr>
        <w:pStyle w:val="Heading2"/>
      </w:pPr>
      <w:r>
        <w:rPr>
          <w:rFonts w:ascii="Times New Roman" w:cs="Times New Roman" w:eastAsia="Times New Roman" w:hAnsi="Times New Roman"/>
          <w:b/>
          <w:bCs/>
          <w:color w:val="2E3A5C"/>
          <w:sz w:val="28"/>
          <w:szCs w:val="28"/>
        </w:rPr>
        <w:t xml:space="preserve">1.2  Research Motivation</w:t>
      </w:r>
    </w:p>
    <w:p>
      <w:pPr>
        <w:spacing w:after="120" w:before="120" w:line="360" w:lineRule="auto"/>
        <w:ind w:firstLine="720"/>
        <w:jc w:val="both"/>
      </w:pPr>
      <w:r>
        <w:rPr>
          <w:rFonts w:ascii="Times New Roman" w:cs="Times New Roman" w:eastAsia="Times New Roman" w:hAnsi="Times New Roman"/>
          <w:sz w:val="24"/>
          <w:szCs w:val="24"/>
        </w:rPr>
        <w:t xml:space="preserve">The research motivation stems from four converging technical drivers. First, declining second-harmonic margins in modern transformer cores are reducing the security margin of harmonic restraint methods. Second, CT saturation under high-fault-current external conditions produces differential currents that mimic internal faults, increasing false trip risk. Third, the availability of high-speed digital signal processors and deep learning inference engines (ONNX, TensorRT) makes real-time AI-based relay logic practically feasible for the first time. Fourth, the emergence of high-impedance faults — characterised by fault resistances of 50–300 Ω — represents a class of internal faults that remains poorly detected by conventional percentage differential relays, creating an unacceptable protection gap for winding-to-core insulation failures.</w:t>
      </w:r>
    </w:p>
    <w:p>
      <w:pPr>
        <w:spacing w:after="120" w:before="120" w:line="360" w:lineRule="auto"/>
        <w:ind w:firstLine="720"/>
        <w:jc w:val="both"/>
      </w:pPr>
      <w:r>
        <w:rPr>
          <w:rFonts w:ascii="Times New Roman" w:cs="Times New Roman" w:eastAsia="Times New Roman" w:hAnsi="Times New Roman"/>
          <w:sz w:val="24"/>
          <w:szCs w:val="24"/>
        </w:rPr>
        <w:t xml:space="preserve">The Discrete Wavelet Transform (DWT) has emerged as a particularly effective signal processing tool for this application domain, offering superior time-frequency localisation over Fourier-based methods for the analysis of non-stationary transient differential currents. When combined with recurrent neural network architectures capable of learning temporal dependencies across multiple DWT analysis windows, the resulting classifier can achieve discrimination accuracies that substantially exceed both conventional harmonic methods and single-window frequency-domain approaches.</w:t>
      </w:r>
    </w:p>
    <w:p>
      <w:pPr>
        <w:pStyle w:val="Heading2"/>
      </w:pPr>
      <w:r>
        <w:rPr>
          <w:rFonts w:ascii="Times New Roman" w:cs="Times New Roman" w:eastAsia="Times New Roman" w:hAnsi="Times New Roman"/>
          <w:b/>
          <w:bCs/>
          <w:color w:val="2E3A5C"/>
          <w:sz w:val="28"/>
          <w:szCs w:val="28"/>
        </w:rPr>
        <w:t xml:space="preserve">1.3  Problem Statement</w:t>
      </w:r>
    </w:p>
    <w:p>
      <w:pPr>
        <w:spacing w:after="120" w:before="120" w:line="360" w:lineRule="auto"/>
        <w:ind w:firstLine="720"/>
        <w:jc w:val="both"/>
      </w:pPr>
      <w:r>
        <w:rPr>
          <w:rFonts w:ascii="Times New Roman" w:cs="Times New Roman" w:eastAsia="Times New Roman" w:hAnsi="Times New Roman"/>
          <w:sz w:val="24"/>
          <w:szCs w:val="24"/>
        </w:rPr>
        <w:t xml:space="preserve">The central problem addressed by this thesis is the persistent inability of conventional percentage differential relay architectures to simultaneously achieve high dependability (zero false negatives — no missed internal faults) and high security (zero false positives — no false trips during inrush or external faults) under the full operating envelope of a modern 300 MVA power transformer. Specifically, the following failure modes motivate the proposed work:</w:t>
      </w:r>
    </w:p>
    <w:p>
      <w:pPr>
        <w:pStyle w:val="ListParagraph"/>
        <w:numPr>
          <w:ilvl w:val="0"/>
          <w:numId w:val="2"/>
        </w:numPr>
        <w:spacing w:after="60" w:before="60"/>
      </w:pPr>
      <w:r>
        <w:rPr>
          <w:rFonts w:ascii="Times New Roman" w:cs="Times New Roman" w:eastAsia="Times New Roman" w:hAnsi="Times New Roman"/>
          <w:sz w:val="24"/>
          <w:szCs w:val="24"/>
        </w:rPr>
        <w:t xml:space="preserve">False restraint during internal faults in transformers with low second-harmonic inrush content (≤7% fundamental), causing delayed or missed fault clearance.</w:t>
      </w:r>
    </w:p>
    <w:p>
      <w:pPr>
        <w:pStyle w:val="ListParagraph"/>
        <w:numPr>
          <w:ilvl w:val="0"/>
          <w:numId w:val="2"/>
        </w:numPr>
        <w:spacing w:after="60" w:before="60"/>
      </w:pPr>
      <w:r>
        <w:rPr>
          <w:rFonts w:ascii="Times New Roman" w:cs="Times New Roman" w:eastAsia="Times New Roman" w:hAnsi="Times New Roman"/>
          <w:sz w:val="24"/>
          <w:szCs w:val="24"/>
        </w:rPr>
        <w:t xml:space="preserve">False tripping during deep CT saturation on external faults, producing large differential currents with misleading harmonic signatures.</w:t>
      </w:r>
    </w:p>
    <w:p>
      <w:pPr>
        <w:pStyle w:val="ListParagraph"/>
        <w:numPr>
          <w:ilvl w:val="0"/>
          <w:numId w:val="2"/>
        </w:numPr>
        <w:spacing w:after="60" w:before="60"/>
      </w:pPr>
      <w:r>
        <w:rPr>
          <w:rFonts w:ascii="Times New Roman" w:cs="Times New Roman" w:eastAsia="Times New Roman" w:hAnsi="Times New Roman"/>
          <w:sz w:val="24"/>
          <w:szCs w:val="24"/>
        </w:rPr>
        <w:t xml:space="preserve">False tripping during sympathetic inrush from parallel transformer energisation, where the existing energised transformer exhibits inrush-like differential currents.</w:t>
      </w:r>
    </w:p>
    <w:p>
      <w:pPr>
        <w:pStyle w:val="ListParagraph"/>
        <w:numPr>
          <w:ilvl w:val="0"/>
          <w:numId w:val="2"/>
        </w:numPr>
        <w:spacing w:after="60" w:before="60"/>
      </w:pPr>
      <w:r>
        <w:rPr>
          <w:rFonts w:ascii="Times New Roman" w:cs="Times New Roman" w:eastAsia="Times New Roman" w:hAnsi="Times New Roman"/>
          <w:sz w:val="24"/>
          <w:szCs w:val="24"/>
        </w:rPr>
        <w:t xml:space="preserve">Inadequate detection sensitivity for high-impedance internal faults (Rf &gt; 50 Ω), which produce differential currents below conventional pickup thresholds.</w:t>
      </w:r>
    </w:p>
    <w:p>
      <w:pPr>
        <w:pStyle w:val="ListParagraph"/>
        <w:numPr>
          <w:ilvl w:val="0"/>
          <w:numId w:val="2"/>
        </w:numPr>
        <w:spacing w:after="60" w:before="60"/>
      </w:pPr>
      <w:r>
        <w:rPr>
          <w:rFonts w:ascii="Times New Roman" w:cs="Times New Roman" w:eastAsia="Times New Roman" w:hAnsi="Times New Roman"/>
          <w:sz w:val="24"/>
          <w:szCs w:val="24"/>
        </w:rPr>
        <w:t xml:space="preserve">Threshold inflexibility: fixed harmonic ratios and pickup levels cannot adapt to time-varying system impedance, load conditions, or aging-related changes in transformer magnetisation characteristics.</w:t>
      </w:r>
    </w:p>
    <w:p>
      <w:pPr>
        <w:pStyle w:val="Heading2"/>
      </w:pPr>
      <w:r>
        <w:rPr>
          <w:rFonts w:ascii="Times New Roman" w:cs="Times New Roman" w:eastAsia="Times New Roman" w:hAnsi="Times New Roman"/>
          <w:b/>
          <w:bCs/>
          <w:color w:val="2E3A5C"/>
          <w:sz w:val="28"/>
          <w:szCs w:val="28"/>
        </w:rPr>
        <w:t xml:space="preserve">1.4  Research Objectives</w:t>
      </w:r>
    </w:p>
    <w:p>
      <w:pPr>
        <w:spacing w:after="120" w:before="120" w:line="360" w:lineRule="auto"/>
        <w:ind w:firstLine="720"/>
        <w:jc w:val="both"/>
      </w:pPr>
      <w:r>
        <w:rPr>
          <w:rFonts w:ascii="Times New Roman" w:cs="Times New Roman" w:eastAsia="Times New Roman" w:hAnsi="Times New Roman"/>
          <w:sz w:val="24"/>
          <w:szCs w:val="24"/>
        </w:rPr>
        <w:t xml:space="preserve">The primary objective of this research is to design, implement, and validate a hybrid adaptive transformer differential protection framework that resolves the dependability-security trade-off through intelligent signal processing and machine learning. The specific objectives are:</w:t>
      </w:r>
    </w:p>
    <w:p>
      <w:pPr>
        <w:pStyle w:val="ListParagraph"/>
        <w:numPr>
          <w:ilvl w:val="0"/>
          <w:numId w:val="3"/>
        </w:numPr>
        <w:spacing w:after="60" w:before="60"/>
      </w:pPr>
      <w:r>
        <w:rPr>
          <w:rFonts w:ascii="Times New Roman" w:cs="Times New Roman" w:eastAsia="Times New Roman" w:hAnsi="Times New Roman"/>
          <w:sz w:val="24"/>
          <w:szCs w:val="24"/>
        </w:rPr>
        <w:t xml:space="preserve">To develop a comprehensive MATLAB/Simulink simulation model of a 300 MVA, 230/11 kV, Yd1 power transformer with realistic nonlinear CT saturation, core saturation, and loading characteristics, capable of generating diverse training datasets covering all 11 internal fault types, external faults, inrush, and stress scenarios.</w:t>
      </w:r>
    </w:p>
    <w:p>
      <w:pPr>
        <w:pStyle w:val="ListParagraph"/>
        <w:numPr>
          <w:ilvl w:val="0"/>
          <w:numId w:val="3"/>
        </w:numPr>
        <w:spacing w:after="60" w:before="60"/>
      </w:pPr>
      <w:r>
        <w:rPr>
          <w:rFonts w:ascii="Times New Roman" w:cs="Times New Roman" w:eastAsia="Times New Roman" w:hAnsi="Times New Roman"/>
          <w:sz w:val="24"/>
          <w:szCs w:val="24"/>
        </w:rPr>
        <w:t xml:space="preserve">To design a two-level db4 Discrete Wavelet Transform feature extraction pipeline that produces a compact, discriminative nine-feature energy vector per 32-sample analysis window, optimised for the 1,600 Hz digital differential relay sampling rate.</w:t>
      </w:r>
    </w:p>
    <w:p>
      <w:pPr>
        <w:pStyle w:val="ListParagraph"/>
        <w:numPr>
          <w:ilvl w:val="0"/>
          <w:numId w:val="3"/>
        </w:numPr>
        <w:spacing w:after="60" w:before="60"/>
      </w:pPr>
      <w:r>
        <w:rPr>
          <w:rFonts w:ascii="Times New Roman" w:cs="Times New Roman" w:eastAsia="Times New Roman" w:hAnsi="Times New Roman"/>
          <w:sz w:val="24"/>
          <w:szCs w:val="24"/>
        </w:rPr>
        <w:t xml:space="preserve">To develop and train a Bidirectional LSTM (BiLSTM) classifier in PyTorch with Bayesian hyperparameter optimisation (Optuna TPE) and scenario-stratified 5-fold cross-validation, achieving robust binary classification (Trip/No-Trip) including under out-of-distribution high-impedance and stress scenarios.</w:t>
      </w:r>
    </w:p>
    <w:p>
      <w:pPr>
        <w:pStyle w:val="ListParagraph"/>
        <w:numPr>
          <w:ilvl w:val="0"/>
          <w:numId w:val="3"/>
        </w:numPr>
        <w:spacing w:after="60" w:before="60"/>
      </w:pPr>
      <w:r>
        <w:rPr>
          <w:rFonts w:ascii="Times New Roman" w:cs="Times New Roman" w:eastAsia="Times New Roman" w:hAnsi="Times New Roman"/>
          <w:sz w:val="24"/>
          <w:szCs w:val="24"/>
        </w:rPr>
        <w:t xml:space="preserve">To design a hybrid Veto/AND-gate decision architecture where the BiLSTM supervises the classical adaptive 87T differential element, achieving simultaneous 100% dependability and security with sub-cycle clearing time.</w:t>
      </w:r>
    </w:p>
    <w:p>
      <w:pPr>
        <w:pStyle w:val="ListParagraph"/>
        <w:numPr>
          <w:ilvl w:val="0"/>
          <w:numId w:val="3"/>
        </w:numPr>
        <w:spacing w:after="60" w:before="60"/>
      </w:pPr>
      <w:r>
        <w:rPr>
          <w:rFonts w:ascii="Times New Roman" w:cs="Times New Roman" w:eastAsia="Times New Roman" w:hAnsi="Times New Roman"/>
          <w:sz w:val="24"/>
          <w:szCs w:val="24"/>
        </w:rPr>
        <w:t xml:space="preserve">To perform comprehensive parameter-wise stress testing across fault resistance (0.01–300 Ω), noise level, CT mismatch, and inception angle, quantifying model robustness boundaries and identifying deployment limitations.</w:t>
      </w:r>
    </w:p>
    <w:p>
      <w:pPr>
        <w:pStyle w:val="Heading2"/>
      </w:pPr>
      <w:r>
        <w:rPr>
          <w:rFonts w:ascii="Times New Roman" w:cs="Times New Roman" w:eastAsia="Times New Roman" w:hAnsi="Times New Roman"/>
          <w:b/>
          <w:bCs/>
          <w:color w:val="2E3A5C"/>
          <w:sz w:val="28"/>
          <w:szCs w:val="28"/>
        </w:rPr>
        <w:t xml:space="preserve">1.5  Research Contributions</w:t>
      </w:r>
    </w:p>
    <w:p>
      <w:pPr>
        <w:spacing w:after="120" w:before="120" w:line="360" w:lineRule="auto"/>
        <w:ind w:firstLine="720"/>
        <w:jc w:val="both"/>
      </w:pPr>
      <w:r>
        <w:rPr>
          <w:rFonts w:ascii="Times New Roman" w:cs="Times New Roman" w:eastAsia="Times New Roman" w:hAnsi="Times New Roman"/>
          <w:sz w:val="24"/>
          <w:szCs w:val="24"/>
        </w:rPr>
        <w:t xml:space="preserve">The principal contributions of this thesis are:</w:t>
      </w:r>
    </w:p>
    <w:p>
      <w:pPr>
        <w:pStyle w:val="ListParagraph"/>
        <w:numPr>
          <w:ilvl w:val="0"/>
          <w:numId w:val="3"/>
        </w:numPr>
        <w:spacing w:after="60" w:before="60"/>
      </w:pPr>
      <w:r>
        <w:rPr>
          <w:rFonts w:ascii="Times New Roman" w:cs="Times New Roman" w:eastAsia="Times New Roman" w:hAnsi="Times New Roman"/>
          <w:sz w:val="24"/>
          <w:szCs w:val="24"/>
        </w:rPr>
        <w:t xml:space="preserve">A systematic, reproducible methodology for generating comprehensive transformer protection datasets in MATLAB/Simulink, extending existing approaches with 43 scenario types including HiZ faults across all 11 fault types, evolving fault sequences (A-G → AB-G → ABC-G), fault-during-inrush, and external-fault-during-inrush scenarios. Per-sample metadata (18+ fields) enables parameter-wise post-hoc analysis.</w:t>
      </w:r>
    </w:p>
    <w:p>
      <w:pPr>
        <w:pStyle w:val="ListParagraph"/>
        <w:numPr>
          <w:ilvl w:val="0"/>
          <w:numId w:val="3"/>
        </w:numPr>
        <w:spacing w:after="60" w:before="60"/>
      </w:pPr>
      <w:r>
        <w:rPr>
          <w:rFonts w:ascii="Times New Roman" w:cs="Times New Roman" w:eastAsia="Times New Roman" w:hAnsi="Times New Roman"/>
          <w:sz w:val="24"/>
          <w:szCs w:val="24"/>
        </w:rPr>
        <w:t xml:space="preserve">A two-level db4 DWT feature extraction scheme producing a nine-dimensional log₁ₚ-normalised energy vector over 32-sample (full-cycle) sliding windows, demonstrating that this compact representation achieves superior discrimination compared to three-level/six-feature and approximation-only configurations.</w:t>
      </w:r>
    </w:p>
    <w:p>
      <w:pPr>
        <w:pStyle w:val="ListParagraph"/>
        <w:numPr>
          <w:ilvl w:val="0"/>
          <w:numId w:val="3"/>
        </w:numPr>
        <w:spacing w:after="60" w:before="60"/>
      </w:pPr>
      <w:r>
        <w:rPr>
          <w:rFonts w:ascii="Times New Roman" w:cs="Times New Roman" w:eastAsia="Times New Roman" w:hAnsi="Times New Roman"/>
          <w:sz w:val="24"/>
          <w:szCs w:val="24"/>
        </w:rPr>
        <w:t xml:space="preserve">A BiLSTM with global temporal attention trained via Optuna Bayesian HPO and scenario-stratified 5-fold cross-validation, with Youden J threshold optimisation that prevents threshold collapse under out-of-distribution stress conditions.</w:t>
      </w:r>
    </w:p>
    <w:p>
      <w:pPr>
        <w:pStyle w:val="ListParagraph"/>
        <w:numPr>
          <w:ilvl w:val="0"/>
          <w:numId w:val="3"/>
        </w:numPr>
        <w:spacing w:after="60" w:before="60"/>
      </w:pPr>
      <w:r>
        <w:rPr>
          <w:rFonts w:ascii="Times New Roman" w:cs="Times New Roman" w:eastAsia="Times New Roman" w:hAnsi="Times New Roman"/>
          <w:sz w:val="24"/>
          <w:szCs w:val="24"/>
        </w:rPr>
        <w:t xml:space="preserve">A hybrid Veto/AND-gate architecture that eliminates false trips from the standalone 87T relay while preserving 100% internal fault recall, resolving the fundamental dependability-security trade-off with a pragmatic pathway for AI adoption in safety-critical protection engineering.</w:t>
      </w:r>
    </w:p>
    <w:p>
      <w:pPr>
        <w:pStyle w:val="ListParagraph"/>
        <w:numPr>
          <w:ilvl w:val="0"/>
          <w:numId w:val="3"/>
        </w:numPr>
        <w:spacing w:after="60" w:before="60"/>
      </w:pPr>
      <w:r>
        <w:rPr>
          <w:rFonts w:ascii="Times New Roman" w:cs="Times New Roman" w:eastAsia="Times New Roman" w:hAnsi="Times New Roman"/>
          <w:sz w:val="24"/>
          <w:szCs w:val="24"/>
        </w:rPr>
        <w:t xml:space="preserve">An end-to-end reproducible pipeline from MATLAB/Simulink simulation through Python/PyTorch training, ONNX export, and Simulink Predict block integration, with all MATLAB control scripts and Python notebooks provided.</w:t>
      </w:r>
    </w:p>
    <w:p>
      <w:pPr>
        <w:pStyle w:val="Heading2"/>
      </w:pPr>
      <w:r>
        <w:rPr>
          <w:rFonts w:ascii="Times New Roman" w:cs="Times New Roman" w:eastAsia="Times New Roman" w:hAnsi="Times New Roman"/>
          <w:b/>
          <w:bCs/>
          <w:color w:val="2E3A5C"/>
          <w:sz w:val="28"/>
          <w:szCs w:val="28"/>
        </w:rPr>
        <w:t xml:space="preserve">1.6  Thesis Organisation</w:t>
      </w:r>
    </w:p>
    <w:p>
      <w:pPr>
        <w:spacing w:after="120" w:before="120" w:line="360" w:lineRule="auto"/>
        <w:ind w:firstLine="720"/>
        <w:jc w:val="both"/>
      </w:pPr>
      <w:r>
        <w:rPr>
          <w:rFonts w:ascii="Times New Roman" w:cs="Times New Roman" w:eastAsia="Times New Roman" w:hAnsi="Times New Roman"/>
          <w:sz w:val="24"/>
          <w:szCs w:val="24"/>
        </w:rPr>
        <w:t xml:space="preserve">Chapter 2 reviews the literature on transformer differential protection from conventional harmonic restraint through signal processing and deep learning approaches, identifying five research gaps addressed by this work. Chapter 3 presents the mathematical framework for transformer differential protection, magnetising inrush theory, CT saturation modelling, and the classification performance metrics used throughout. Chapter 4 describes the MATLAB/Simulink simulation model, automated dataset generation methodology, and the resulting dataset statistics. Chapter 5 presents the complete DWT-BiLSTM methodology including the Optuna HPO framework, training pipeline, and hybrid decision architecture. Chapter 6 reports the results of offline training evaluation, parameter-wise stress testing, and hybrid relay validation, supported by figures and tables generated from the complete training run. Chapter 7 presents conclusions, key findings, limitations, and future work directions.</w:t>
      </w:r>
    </w:p>
    <w:p>
      <w:r>
        <w:br w:type="page"/>
      </w:r>
    </w:p>
    <w:p>
      <w:pPr>
        <w:pStyle w:val="Heading1"/>
        <w:pageBreakBefore/>
      </w:pPr>
      <w:r>
        <w:rPr>
          <w:rFonts w:ascii="Times New Roman" w:cs="Times New Roman" w:eastAsia="Times New Roman" w:hAnsi="Times New Roman"/>
          <w:b/>
          <w:bCs/>
          <w:color w:val="1F3864"/>
          <w:sz w:val="32"/>
          <w:szCs w:val="32"/>
        </w:rPr>
        <w:t xml:space="preserve">Chapter 2: Literature Review</w:t>
      </w:r>
    </w:p>
    <w:p>
      <w:pPr>
        <w:pStyle w:val="Heading2"/>
      </w:pPr>
      <w:r>
        <w:rPr>
          <w:rFonts w:ascii="Times New Roman" w:cs="Times New Roman" w:eastAsia="Times New Roman" w:hAnsi="Times New Roman"/>
          <w:b/>
          <w:bCs/>
          <w:color w:val="2E3A5C"/>
          <w:sz w:val="28"/>
          <w:szCs w:val="28"/>
        </w:rPr>
        <w:t xml:space="preserve">2.1  Introduction</w:t>
      </w:r>
    </w:p>
    <w:p>
      <w:pPr>
        <w:spacing w:after="120" w:before="120" w:line="360" w:lineRule="auto"/>
        <w:ind w:firstLine="720"/>
        <w:jc w:val="both"/>
      </w:pPr>
      <w:r>
        <w:rPr>
          <w:rFonts w:ascii="Times New Roman" w:cs="Times New Roman" w:eastAsia="Times New Roman" w:hAnsi="Times New Roman"/>
          <w:sz w:val="24"/>
          <w:szCs w:val="24"/>
        </w:rPr>
        <w:t xml:space="preserve">This chapter systematically reviews the evolution of transformer differential protection, from early harmonic restraint approaches through modern deep learning implementations. The review is organised into five thematic areas: conventional harmonic restraint methods, signal processing techniques, classical machine learning, deep learning architectures, and identified research gaps. Table 2.1 summarises representative studies with their key performance metrics.</w:t>
      </w:r>
    </w:p>
    <w:p>
      <w:pPr>
        <w:pStyle w:val="Heading2"/>
      </w:pPr>
      <w:r>
        <w:rPr>
          <w:rFonts w:ascii="Times New Roman" w:cs="Times New Roman" w:eastAsia="Times New Roman" w:hAnsi="Times New Roman"/>
          <w:b/>
          <w:bCs/>
          <w:color w:val="2E3A5C"/>
          <w:sz w:val="28"/>
          <w:szCs w:val="28"/>
        </w:rPr>
        <w:t xml:space="preserve">2.2  Conventional Differential Protection Methods</w:t>
      </w:r>
    </w:p>
    <w:p>
      <w:pPr>
        <w:pStyle w:val="Heading3"/>
      </w:pPr>
      <w:r>
        <w:rPr>
          <w:rFonts w:ascii="Times New Roman" w:cs="Times New Roman" w:eastAsia="Times New Roman" w:hAnsi="Times New Roman"/>
          <w:b/>
          <w:bCs/>
          <w:color w:val="2F5496"/>
          <w:sz w:val="26"/>
          <w:szCs w:val="26"/>
        </w:rPr>
        <w:t xml:space="preserve">2.2.1  Harmonic Restraint Methods</w:t>
      </w:r>
    </w:p>
    <w:p>
      <w:pPr>
        <w:spacing w:after="120" w:before="120" w:line="360" w:lineRule="auto"/>
        <w:ind w:firstLine="720"/>
        <w:jc w:val="both"/>
      </w:pPr>
      <w:r>
        <w:rPr>
          <w:rFonts w:ascii="Times New Roman" w:cs="Times New Roman" w:eastAsia="Times New Roman" w:hAnsi="Times New Roman"/>
          <w:sz w:val="24"/>
          <w:szCs w:val="24"/>
        </w:rPr>
        <w:t xml:space="preserve">The foundational work by Sharp and Glassburn (1958) established that magnetising inrush currents are characterised by their rich harmonic content — principally second and fourth harmonics — relative to the fundamental frequency component. The percentage differential relay with second harmonic restraint (SHR) became the industry standard: the relay issues a trip command only when the differential current exceeds a slope-defined threshold AND the ratio I₂/I₁ (second-to-fundamental harmonic ratio) is below a restraint threshold, typically set at 15–20%. Cross-blocking, where the detection of inrush in any phase inhibits tripping in all phases, provides additional security against sympathetic inrush events.</w:t>
      </w:r>
    </w:p>
    <w:p>
      <w:pPr>
        <w:spacing w:after="120" w:before="120" w:line="360" w:lineRule="auto"/>
        <w:ind w:firstLine="720"/>
        <w:jc w:val="both"/>
      </w:pPr>
      <w:r>
        <w:rPr>
          <w:rFonts w:ascii="Times New Roman" w:cs="Times New Roman" w:eastAsia="Times New Roman" w:hAnsi="Times New Roman"/>
          <w:sz w:val="24"/>
          <w:szCs w:val="24"/>
        </w:rPr>
        <w:t xml:space="preserve">While effective for conventional silicon-steel transformer cores, the SHR approach has been progressively challenged by the widespread adoption of grain-oriented silicon steel and amorphous alloy core materials. These materials achieve higher permeability through tighter domain orientation, but their improved nonlinear B-H characteristics produce lower residual flux and consequently lower second-harmonic content during energisation — as low as 7–10% in some designs, well below the 15–20% restraint threshold. This represents a fundamental limitation of fixed-threshold harmonic restraint: the discriminant that justified the method is quantitatively eroding.</w:t>
      </w:r>
    </w:p>
    <w:p>
      <w:pPr>
        <w:pStyle w:val="Heading3"/>
      </w:pPr>
      <w:r>
        <w:rPr>
          <w:rFonts w:ascii="Times New Roman" w:cs="Times New Roman" w:eastAsia="Times New Roman" w:hAnsi="Times New Roman"/>
          <w:b/>
          <w:bCs/>
          <w:color w:val="2F5496"/>
          <w:sz w:val="26"/>
          <w:szCs w:val="26"/>
        </w:rPr>
        <w:t xml:space="preserve">2.2.2  Waveform-Based Methods</w:t>
      </w:r>
    </w:p>
    <w:p>
      <w:pPr>
        <w:spacing w:after="120" w:before="120" w:line="360" w:lineRule="auto"/>
        <w:ind w:firstLine="720"/>
        <w:jc w:val="both"/>
      </w:pPr>
      <w:r>
        <w:rPr>
          <w:rFonts w:ascii="Times New Roman" w:cs="Times New Roman" w:eastAsia="Times New Roman" w:hAnsi="Times New Roman"/>
          <w:sz w:val="24"/>
          <w:szCs w:val="24"/>
        </w:rPr>
        <w:t xml:space="preserve">Several authors proposed modifications to SHR that improve performance under specific conditions. The waveform symmetry principle (Hayward, 1941) exploits the half-wave asymmetry of inrush currents that is absent in fault currents. Gap detection (Giuliante et al., 1991) identifies the characteristic current interruption (zero-current gap) during inrush, providing a threshold-free discriminant. Equivalent circuit-based methods (Sachdev and Sidhu, 1992) exploit the fact that inrush waveforms can be modelled by the transformer magnetisation inductance, unlike fault currents. These methods improve performance in specific cases but struggle to generalise across the diverse operating conditions encountered in practice.</w:t>
      </w:r>
    </w:p>
    <w:p>
      <w:pPr>
        <w:pStyle w:val="Heading2"/>
      </w:pPr>
      <w:r>
        <w:rPr>
          <w:rFonts w:ascii="Times New Roman" w:cs="Times New Roman" w:eastAsia="Times New Roman" w:hAnsi="Times New Roman"/>
          <w:b/>
          <w:bCs/>
          <w:color w:val="2E3A5C"/>
          <w:sz w:val="28"/>
          <w:szCs w:val="28"/>
        </w:rPr>
        <w:t xml:space="preserve">2.3  Signal Processing Approaches</w:t>
      </w:r>
    </w:p>
    <w:p>
      <w:pPr>
        <w:pStyle w:val="Heading3"/>
      </w:pPr>
      <w:r>
        <w:rPr>
          <w:rFonts w:ascii="Times New Roman" w:cs="Times New Roman" w:eastAsia="Times New Roman" w:hAnsi="Times New Roman"/>
          <w:b/>
          <w:bCs/>
          <w:color w:val="2F5496"/>
          <w:sz w:val="26"/>
          <w:szCs w:val="26"/>
        </w:rPr>
        <w:t xml:space="preserve">2.3.1  Wavelet Transform Methods</w:t>
      </w:r>
    </w:p>
    <w:p>
      <w:pPr>
        <w:spacing w:after="120" w:before="120" w:line="360" w:lineRule="auto"/>
        <w:ind w:firstLine="720"/>
        <w:jc w:val="both"/>
      </w:pPr>
      <w:r>
        <w:rPr>
          <w:rFonts w:ascii="Times New Roman" w:cs="Times New Roman" w:eastAsia="Times New Roman" w:hAnsi="Times New Roman"/>
          <w:sz w:val="24"/>
          <w:szCs w:val="24"/>
        </w:rPr>
        <w:t xml:space="preserve">The introduction of wavelet analysis to transformer protection by Mao and Aggarwal (2000) marked a significant advancement. The Discrete Wavelet Transform (DWT) provides superior time-frequency localisation compared to the Short-Time Fourier Transform, particularly valuable for analysing the non-stationary transient nature of inrush and fault onset events. Coury et al. (2001) demonstrated that db4 wavelet decomposition at five levels achieves 97.3% accuracy with an ANN classifier, while Youssef (2003) proposed Wavelet Packet Transform (WPT) with sym8 for entropy-based discrimination. A meta-analysis by Oliveira et al. (2014) concluded that db4 at three to five decomposition levels provides the optimal trade-off for 50 Hz power system signals.</w:t>
      </w:r>
    </w:p>
    <w:p>
      <w:pPr>
        <w:spacing w:after="120" w:before="120" w:line="360" w:lineRule="auto"/>
        <w:ind w:firstLine="720"/>
        <w:jc w:val="both"/>
      </w:pPr>
      <w:r>
        <w:rPr>
          <w:rFonts w:ascii="Times New Roman" w:cs="Times New Roman" w:eastAsia="Times New Roman" w:hAnsi="Times New Roman"/>
          <w:sz w:val="24"/>
          <w:szCs w:val="24"/>
        </w:rPr>
        <w:t xml:space="preserve">The physical rationale for wavelet superiority over Fourier methods lies in the transient nature of fault inception: a single FFT window averaging over multiple cycles fails to capture the brief, high-frequency energy burst at fault inception, whereas the wavelet decomposition localises this energy in both time and frequency simultaneously. This temporal localisation is particularly critical for sub-cycle protection, where the relay must discriminate fault from inrush within the first half-cycle following an event.</w:t>
      </w:r>
    </w:p>
    <w:p>
      <w:pPr>
        <w:pStyle w:val="Heading2"/>
      </w:pPr>
      <w:r>
        <w:rPr>
          <w:rFonts w:ascii="Times New Roman" w:cs="Times New Roman" w:eastAsia="Times New Roman" w:hAnsi="Times New Roman"/>
          <w:b/>
          <w:bCs/>
          <w:color w:val="2E3A5C"/>
          <w:sz w:val="28"/>
          <w:szCs w:val="28"/>
        </w:rPr>
        <w:t xml:space="preserve">2.4  Machine Learning Approaches</w:t>
      </w:r>
    </w:p>
    <w:p>
      <w:pPr>
        <w:spacing w:after="120" w:before="120" w:line="360" w:lineRule="auto"/>
        <w:ind w:firstLine="720"/>
        <w:jc w:val="both"/>
      </w:pPr>
      <w:r>
        <w:rPr>
          <w:rFonts w:ascii="Times New Roman" w:cs="Times New Roman" w:eastAsia="Times New Roman" w:hAnsi="Times New Roman"/>
          <w:sz w:val="24"/>
          <w:szCs w:val="24"/>
        </w:rPr>
        <w:t xml:space="preserve">The introduction of artificial neural networks to transformer protection followed naturally from the availability of DWT-derived feature vectors. Three-layer MLP classifiers processing harmonic and wavelet energy features achieved 98.5–99.1% accuracy on simulation datasets of 2,000–5,000 events. Support Vector Machines (SVMs) with RBF kernels demonstrated strong generalisation — 98.2% accuracy — with the advantage of theoretically-grounded margin maximisation. Probabilistic Neural Networks (PNNs) offered faster training convergence but required larger training sets for comparable accuracy.</w:t>
      </w:r>
    </w:p>
    <w:p>
      <w:pPr>
        <w:spacing w:after="120" w:before="120" w:line="360" w:lineRule="auto"/>
        <w:ind w:firstLine="720"/>
        <w:jc w:val="both"/>
      </w:pPr>
      <w:r>
        <w:rPr>
          <w:rFonts w:ascii="Times New Roman" w:cs="Times New Roman" w:eastAsia="Times New Roman" w:hAnsi="Times New Roman"/>
          <w:sz w:val="24"/>
          <w:szCs w:val="24"/>
        </w:rPr>
        <w:t xml:space="preserve">A limitation common to all these approaches is their use of fixed-length feature vectors from a single analysis window, discarding temporal information about how differential current characteristics evolve across successive windows. This temporal dimension proves critical for discriminating evolving faults (where different fault phases engage sequentially) and sympathetic inrush (where the waveform envelope is progressive), providing the primary motivation for recurrent architectures.</w:t>
      </w:r>
    </w:p>
    <w:p>
      <w:pPr>
        <w:pStyle w:val="Heading2"/>
      </w:pPr>
      <w:r>
        <w:rPr>
          <w:rFonts w:ascii="Times New Roman" w:cs="Times New Roman" w:eastAsia="Times New Roman" w:hAnsi="Times New Roman"/>
          <w:b/>
          <w:bCs/>
          <w:color w:val="2E3A5C"/>
          <w:sz w:val="28"/>
          <w:szCs w:val="28"/>
        </w:rPr>
        <w:t xml:space="preserve">2.5  Deep Learning Approaches</w:t>
      </w:r>
    </w:p>
    <w:p>
      <w:pPr>
        <w:pStyle w:val="Heading3"/>
      </w:pPr>
      <w:r>
        <w:rPr>
          <w:rFonts w:ascii="Times New Roman" w:cs="Times New Roman" w:eastAsia="Times New Roman" w:hAnsi="Times New Roman"/>
          <w:b/>
          <w:bCs/>
          <w:color w:val="2F5496"/>
          <w:sz w:val="26"/>
          <w:szCs w:val="26"/>
        </w:rPr>
        <w:t xml:space="preserve">2.5.1  CNN, RNN and LSTM Architectures</w:t>
      </w:r>
    </w:p>
    <w:p>
      <w:pPr>
        <w:spacing w:after="120" w:before="120" w:line="360" w:lineRule="auto"/>
        <w:ind w:firstLine="720"/>
        <w:jc w:val="both"/>
      </w:pPr>
      <w:r>
        <w:rPr>
          <w:rFonts w:ascii="Times New Roman" w:cs="Times New Roman" w:eastAsia="Times New Roman" w:hAnsi="Times New Roman"/>
          <w:sz w:val="24"/>
          <w:szCs w:val="24"/>
        </w:rPr>
        <w:t xml:space="preserve">Convolutional neural networks (CNNs) processing raw waveform segments achieved 98.7% accuracy, outperforming ANNs with hand-crafted Fourier features (96.3%), demonstrating the ability of hierarchical feature learning to automatically discover discriminative representations. However, 1D-CNNs treat each temporal position independently, limiting their ability to model long-range temporal dependencies that span multiple DWT windows.</w:t>
      </w:r>
    </w:p>
    <w:p>
      <w:pPr>
        <w:spacing w:after="120" w:before="120" w:line="360" w:lineRule="auto"/>
        <w:ind w:firstLine="720"/>
        <w:jc w:val="both"/>
      </w:pPr>
      <w:r>
        <w:rPr>
          <w:rFonts w:ascii="Times New Roman" w:cs="Times New Roman" w:eastAsia="Times New Roman" w:hAnsi="Times New Roman"/>
          <w:sz w:val="24"/>
          <w:szCs w:val="24"/>
        </w:rPr>
        <w:t xml:space="preserve">LSTM recurrent neural networks, first applied to transformer protection by Balaga et al. (2020), address this limitation by maintaining internal hidden state across successive analysis windows. An LSTM classifier processing sequences of half-cycle DWT features achieved 99.3% accuracy. Bidirectional LSTMs (BiLSTMs) — processing sequences in both forward and backward temporal directions — improved this to 99.5% by capturing both causal and anti-causal temporal patterns. For sympathetic inrush detection, an LSTM with an extended 10-cycle observation window achieved 99.1% accuracy, confirming the value of temporal modelling for complex multi-cycle phenomena.</w:t>
      </w:r>
    </w:p>
    <w:p>
      <w:pPr>
        <w:pStyle w:val="Heading3"/>
      </w:pPr>
      <w:r>
        <w:rPr>
          <w:rFonts w:ascii="Times New Roman" w:cs="Times New Roman" w:eastAsia="Times New Roman" w:hAnsi="Times New Roman"/>
          <w:b/>
          <w:bCs/>
          <w:color w:val="2F5496"/>
          <w:sz w:val="26"/>
          <w:szCs w:val="26"/>
        </w:rPr>
        <w:t xml:space="preserve">2.5.2  Hybrid and Attention Architectures</w:t>
      </w:r>
    </w:p>
    <w:p>
      <w:pPr>
        <w:spacing w:after="120" w:before="120" w:line="360" w:lineRule="auto"/>
        <w:ind w:firstLine="720"/>
        <w:jc w:val="both"/>
      </w:pPr>
      <w:r>
        <w:rPr>
          <w:rFonts w:ascii="Times New Roman" w:cs="Times New Roman" w:eastAsia="Times New Roman" w:hAnsi="Times New Roman"/>
          <w:sz w:val="24"/>
          <w:szCs w:val="24"/>
        </w:rPr>
        <w:t xml:space="preserve">Recent work has combined attention mechanisms with LSTM architectures to improve temporal focus. Global temporal attention assigns a learned weight to each position in the analysis window, allowing the classifier to concentrate on the most discriminative time instants (typically fault inception and the subsequent transient). This attention mechanism also improves interpretability by revealing which temporal segments the model relies upon for its decisions. Transformer-based architectures (Vaswani et al., 2017) have been explored but their substantially higher parameter counts and training data requirements make them less suitable for the limited-data regime typical of power system protection simulation.</w:t>
      </w:r>
    </w:p>
    <w:p>
      <w:pPr>
        <w:pStyle w:val="Heading2"/>
      </w:pPr>
      <w:r>
        <w:rPr>
          <w:rFonts w:ascii="Times New Roman" w:cs="Times New Roman" w:eastAsia="Times New Roman" w:hAnsi="Times New Roman"/>
          <w:b/>
          <w:bCs/>
          <w:color w:val="2E3A5C"/>
          <w:sz w:val="28"/>
          <w:szCs w:val="28"/>
        </w:rPr>
        <w:t xml:space="preserve">2.6  Research Gaps</w:t>
      </w:r>
    </w:p>
    <w:p>
      <w:pPr>
        <w:spacing w:after="120" w:before="120" w:line="360" w:lineRule="auto"/>
        <w:ind w:firstLine="720"/>
        <w:jc w:val="both"/>
      </w:pPr>
      <w:r>
        <w:rPr>
          <w:rFonts w:ascii="Times New Roman" w:cs="Times New Roman" w:eastAsia="Times New Roman" w:hAnsi="Times New Roman"/>
          <w:sz w:val="24"/>
          <w:szCs w:val="24"/>
        </w:rPr>
        <w:t xml:space="preserve">The systematic review of the literature identifies five principal research gaps that motivate the proposed work:</w:t>
      </w:r>
    </w:p>
    <w:p>
      <w:pPr>
        <w:pStyle w:val="ListParagraph"/>
        <w:numPr>
          <w:ilvl w:val="0"/>
          <w:numId w:val="3"/>
        </w:numPr>
        <w:spacing w:after="60" w:before="60"/>
      </w:pPr>
      <w:r>
        <w:rPr>
          <w:rFonts w:ascii="Times New Roman" w:cs="Times New Roman" w:eastAsia="Times New Roman" w:hAnsi="Times New Roman"/>
          <w:sz w:val="24"/>
          <w:szCs w:val="24"/>
        </w:rPr>
        <w:t xml:space="preserve">Ad hoc wavelet parameterisation: most published work selects wavelet level and mother wavelet by trial-and-error without formal optimisation against discriminative criteria for the specific sampling rate and fault signature characteristics.</w:t>
      </w:r>
    </w:p>
    <w:p>
      <w:pPr>
        <w:pStyle w:val="ListParagraph"/>
        <w:numPr>
          <w:ilvl w:val="0"/>
          <w:numId w:val="3"/>
        </w:numPr>
        <w:spacing w:after="60" w:before="60"/>
      </w:pPr>
      <w:r>
        <w:rPr>
          <w:rFonts w:ascii="Times New Roman" w:cs="Times New Roman" w:eastAsia="Times New Roman" w:hAnsi="Times New Roman"/>
          <w:sz w:val="24"/>
          <w:szCs w:val="24"/>
        </w:rPr>
        <w:t xml:space="preserve">Incomplete scenario coverage: published datasets rarely include all 11 internal fault type combinations, high-impedance faults (Rf &gt; 50 Ω), evolving fault sequences, or stress scenarios such as fault-during-inrush and external fault during inrush.</w:t>
      </w:r>
    </w:p>
    <w:p>
      <w:pPr>
        <w:pStyle w:val="ListParagraph"/>
        <w:numPr>
          <w:ilvl w:val="0"/>
          <w:numId w:val="3"/>
        </w:numPr>
        <w:spacing w:after="60" w:before="60"/>
      </w:pPr>
      <w:r>
        <w:rPr>
          <w:rFonts w:ascii="Times New Roman" w:cs="Times New Roman" w:eastAsia="Times New Roman" w:hAnsi="Times New Roman"/>
          <w:sz w:val="24"/>
          <w:szCs w:val="24"/>
        </w:rPr>
        <w:t xml:space="preserve">Fixed decision thresholds: existing classifiers use hardcoded 0.5 probability thresholds, causing systematic threshold collapse when model outputs are shifted by out-of-distribution inputs, as observed in this work during stress-test inference.</w:t>
      </w:r>
    </w:p>
    <w:p>
      <w:pPr>
        <w:pStyle w:val="ListParagraph"/>
        <w:numPr>
          <w:ilvl w:val="0"/>
          <w:numId w:val="3"/>
        </w:numPr>
        <w:spacing w:after="60" w:before="60"/>
      </w:pPr>
      <w:r>
        <w:rPr>
          <w:rFonts w:ascii="Times New Roman" w:cs="Times New Roman" w:eastAsia="Times New Roman" w:hAnsi="Times New Roman"/>
          <w:sz w:val="24"/>
          <w:szCs w:val="24"/>
        </w:rPr>
        <w:t xml:space="preserve">Absence of systematic Bayesian hyperparameter optimisation: manual grid search or random search leaves substantial potential accuracy improvements unrealised compared to TPE-based Bayesian optimisation over a well-designed search space.</w:t>
      </w:r>
    </w:p>
    <w:p>
      <w:pPr>
        <w:pStyle w:val="ListParagraph"/>
        <w:numPr>
          <w:ilvl w:val="0"/>
          <w:numId w:val="3"/>
        </w:numPr>
        <w:spacing w:after="60" w:before="60"/>
      </w:pPr>
      <w:r>
        <w:rPr>
          <w:rFonts w:ascii="Times New Roman" w:cs="Times New Roman" w:eastAsia="Times New Roman" w:hAnsi="Times New Roman"/>
          <w:sz w:val="24"/>
          <w:szCs w:val="24"/>
        </w:rPr>
        <w:t xml:space="preserve">Hybrid architecture validation: while several authors propose combining ML classifiers with conventional relay elements, rigorous validation of the combined system under the full operating envelope — including simultaneous dependability and security assessment — remains absent from the published literature.</w:t>
      </w:r>
    </w:p>
    <w:p/>
    <w:p>
      <w:pPr>
        <w:spacing w:after="60" w:before="160"/>
        <w:jc w:val="center"/>
      </w:pPr>
      <w:r>
        <w:rPr>
          <w:rFonts w:ascii="Times New Roman" w:cs="Times New Roman" w:eastAsia="Times New Roman" w:hAnsi="Times New Roman"/>
          <w:b/>
          <w:bCs/>
          <w:sz w:val="22"/>
          <w:szCs w:val="22"/>
        </w:rPr>
        <w:t xml:space="preserve">Table 2.1: Comparative summary of representative transformer protection studies.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200"/>
        <w:gridCol w:w="1800"/>
        <w:gridCol w:w="2326"/>
      </w:tblGrid>
      <w:tr>
        <w:tc>
          <w:tcPr>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Reference</w:t>
            </w:r>
          </w:p>
        </w:tc>
        <w:tc>
          <w:tcPr>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Method</w:t>
            </w:r>
          </w:p>
        </w:tc>
        <w:tc>
          <w:tcPr>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Accuracy (%)</w:t>
            </w:r>
          </w:p>
        </w:tc>
        <w:tc>
          <w:tcPr>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Features</w:t>
            </w:r>
          </w:p>
        </w:tc>
        <w:tc>
          <w:tcPr>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Limitations</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Sharp &amp; Glassburn (1958)</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2nd Harmonic Restraint</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I₂/I₁</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Fails with low-SH cores</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Coury et al. (2001)</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DWT-ANN (db4, 5-level)</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97.3</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Wavelet energy</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Single window, no temporal</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Balaga et al. (2020)</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LSTM (half-cycle DWT)</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99.3</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6 DWT energy</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No HiZ, no stress scenarios</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[BiLSTM Ref]</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BiLSTM + attention</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99.5</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6 DWT energy</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No Optuna HPO, 4-class only</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This work</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BiLSTM + Optuna + Hybrid 87T</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9 DWT energy + Youden J</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Simulation only; single rating</w:t>
            </w:r>
          </w:p>
        </w:tc>
      </w:tr>
    </w:tbl>
    <w:p>
      <w:r>
        <w:br w:type="page"/>
      </w:r>
    </w:p>
    <w:p>
      <w:pPr>
        <w:pStyle w:val="Heading1"/>
        <w:pageBreakBefore/>
      </w:pPr>
      <w:r>
        <w:rPr>
          <w:rFonts w:ascii="Times New Roman" w:cs="Times New Roman" w:eastAsia="Times New Roman" w:hAnsi="Times New Roman"/>
          <w:b/>
          <w:bCs/>
          <w:color w:val="1F3864"/>
          <w:sz w:val="32"/>
          <w:szCs w:val="32"/>
        </w:rPr>
        <w:t xml:space="preserve">Chapter 3: Mathematical Modelling and Theoretical Framework</w:t>
      </w:r>
    </w:p>
    <w:p>
      <w:pPr>
        <w:pStyle w:val="Heading2"/>
      </w:pPr>
      <w:r>
        <w:rPr>
          <w:rFonts w:ascii="Times New Roman" w:cs="Times New Roman" w:eastAsia="Times New Roman" w:hAnsi="Times New Roman"/>
          <w:b/>
          <w:bCs/>
          <w:color w:val="2E3A5C"/>
          <w:sz w:val="28"/>
          <w:szCs w:val="28"/>
        </w:rPr>
        <w:t xml:space="preserve">3.1  Transformer Differential Protection Fundamentals</w:t>
      </w:r>
    </w:p>
    <w:p>
      <w:pPr>
        <w:pStyle w:val="Heading3"/>
      </w:pPr>
      <w:r>
        <w:rPr>
          <w:rFonts w:ascii="Times New Roman" w:cs="Times New Roman" w:eastAsia="Times New Roman" w:hAnsi="Times New Roman"/>
          <w:b/>
          <w:bCs/>
          <w:color w:val="2F5496"/>
          <w:sz w:val="26"/>
          <w:szCs w:val="26"/>
        </w:rPr>
        <w:t xml:space="preserve">3.1.1  Differential and Restraint Currents</w:t>
      </w:r>
    </w:p>
    <w:p>
      <w:pPr>
        <w:spacing w:after="120" w:before="120" w:line="360" w:lineRule="auto"/>
        <w:ind w:firstLine="720"/>
        <w:jc w:val="both"/>
      </w:pPr>
      <w:r>
        <w:rPr>
          <w:rFonts w:ascii="Times New Roman" w:cs="Times New Roman" w:eastAsia="Times New Roman" w:hAnsi="Times New Roman"/>
          <w:sz w:val="24"/>
          <w:szCs w:val="24"/>
        </w:rPr>
        <w:t xml:space="preserve">The protective differential current I_diff is defined as the phasor sum of all currents entering the protected transformer zone after appropriate ratio and vector group compensation. For a two-winding transformer with turns ratio n:</w:t>
      </w:r>
    </w:p>
    <w:p>
      <w:pPr>
        <w:spacing w:after="120" w:before="120"/>
        <w:jc w:val="center"/>
      </w:pPr>
      <w:r>
        <w:rPr>
          <w:rFonts w:ascii="Times New Roman" w:cs="Times New Roman" w:eastAsia="Times New Roman" w:hAnsi="Times New Roman"/>
          <w:i/>
          <w:iCs/>
          <w:sz w:val="24"/>
          <w:szCs w:val="24"/>
        </w:rPr>
        <w:t xml:space="preserve">I_diff = I_p/n_p − I_s/n_s</w:t>
      </w:r>
    </w:p>
    <w:p>
      <w:pPr>
        <w:spacing w:after="120" w:before="120" w:line="360" w:lineRule="auto"/>
        <w:ind w:firstLine="720"/>
        <w:jc w:val="both"/>
      </w:pPr>
      <w:r>
        <w:rPr>
          <w:rFonts w:ascii="Times New Roman" w:cs="Times New Roman" w:eastAsia="Times New Roman" w:hAnsi="Times New Roman"/>
          <w:sz w:val="24"/>
          <w:szCs w:val="24"/>
        </w:rPr>
        <w:t xml:space="preserve">where I_p and I_s are the primary and secondary phase currents, and n_p, n_s are the corresponding CT turns ratios. The restraint current I_rest is typically defined as:</w:t>
      </w:r>
    </w:p>
    <w:p>
      <w:pPr>
        <w:spacing w:after="120" w:before="120"/>
        <w:jc w:val="center"/>
      </w:pPr>
      <w:r>
        <w:rPr>
          <w:rFonts w:ascii="Times New Roman" w:cs="Times New Roman" w:eastAsia="Times New Roman" w:hAnsi="Times New Roman"/>
          <w:i/>
          <w:iCs/>
          <w:sz w:val="24"/>
          <w:szCs w:val="24"/>
        </w:rPr>
        <w:t xml:space="preserve">I_rest = (|I_p/n_p| + |I_s/n_s|) / 2</w:t>
      </w:r>
    </w:p>
    <w:p>
      <w:pPr>
        <w:spacing w:after="120" w:before="120" w:line="360" w:lineRule="auto"/>
        <w:ind w:firstLine="720"/>
        <w:jc w:val="both"/>
      </w:pPr>
      <w:r>
        <w:rPr>
          <w:rFonts w:ascii="Times New Roman" w:cs="Times New Roman" w:eastAsia="Times New Roman" w:hAnsi="Times New Roman"/>
          <w:sz w:val="24"/>
          <w:szCs w:val="24"/>
        </w:rPr>
        <w:t xml:space="preserve">The classical dual-slope 87T characteristic defines the relay operating region as:</w:t>
      </w:r>
    </w:p>
    <w:p>
      <w:pPr>
        <w:spacing w:after="120" w:before="120"/>
        <w:jc w:val="center"/>
      </w:pPr>
      <w:r>
        <w:rPr>
          <w:rFonts w:ascii="Times New Roman" w:cs="Times New Roman" w:eastAsia="Times New Roman" w:hAnsi="Times New Roman"/>
          <w:i/>
          <w:iCs/>
          <w:sz w:val="24"/>
          <w:szCs w:val="24"/>
        </w:rPr>
        <w:t xml:space="preserve">I_diff &gt; I_pickup + k₁ · I_rest  (for I_rest &lt; I_break)</w:t>
      </w:r>
    </w:p>
    <w:p>
      <w:pPr>
        <w:spacing w:after="120" w:before="120"/>
        <w:jc w:val="center"/>
      </w:pPr>
      <w:r>
        <w:rPr>
          <w:rFonts w:ascii="Times New Roman" w:cs="Times New Roman" w:eastAsia="Times New Roman" w:hAnsi="Times New Roman"/>
          <w:i/>
          <w:iCs/>
          <w:sz w:val="24"/>
          <w:szCs w:val="24"/>
        </w:rPr>
        <w:t xml:space="preserve">I_diff &gt; I_pickup + k₂ · I_rest  (for I_rest ≥ I_break)</w:t>
      </w:r>
    </w:p>
    <w:p>
      <w:pPr>
        <w:spacing w:after="120" w:before="120" w:line="360" w:lineRule="auto"/>
        <w:ind w:firstLine="720"/>
        <w:jc w:val="both"/>
      </w:pPr>
      <w:r>
        <w:rPr>
          <w:rFonts w:ascii="Times New Roman" w:cs="Times New Roman" w:eastAsia="Times New Roman" w:hAnsi="Times New Roman"/>
          <w:sz w:val="24"/>
          <w:szCs w:val="24"/>
        </w:rPr>
        <w:t xml:space="preserve">where k₁ = 0.25 and k₂ = 0.50 are the first and second slope settings, I_pickup = 0.20 pu accounts for steady-state CT errors and tap changer tolerances, and I_break represents the break-point restraint current above which the steeper slope applies. The second slope is necessitated by CT saturation at high through-fault currents.</w:t>
      </w:r>
    </w:p>
    <w:p>
      <w:pPr>
        <w:pStyle w:val="Heading3"/>
      </w:pPr>
      <w:r>
        <w:rPr>
          <w:rFonts w:ascii="Times New Roman" w:cs="Times New Roman" w:eastAsia="Times New Roman" w:hAnsi="Times New Roman"/>
          <w:b/>
          <w:bCs/>
          <w:color w:val="2F5496"/>
          <w:sz w:val="26"/>
          <w:szCs w:val="26"/>
        </w:rPr>
        <w:t xml:space="preserve">3.1.2  Vector Group Compensation</w:t>
      </w:r>
    </w:p>
    <w:p>
      <w:pPr>
        <w:spacing w:after="120" w:before="120" w:line="360" w:lineRule="auto"/>
        <w:ind w:firstLine="720"/>
        <w:jc w:val="both"/>
      </w:pPr>
      <w:r>
        <w:rPr>
          <w:rFonts w:ascii="Times New Roman" w:cs="Times New Roman" w:eastAsia="Times New Roman" w:hAnsi="Times New Roman"/>
          <w:sz w:val="24"/>
          <w:szCs w:val="24"/>
        </w:rPr>
        <w:t xml:space="preserve">The Yd1 vector group produces a 30° phase shift and factor-of-√3 amplitude difference between primary and secondary currents. Before differential current computation, a compensation matrix C_{yd1} is applied to the secondary current phasors:</w:t>
      </w:r>
    </w:p>
    <w:p>
      <w:pPr>
        <w:spacing w:after="120" w:before="120"/>
        <w:jc w:val="center"/>
      </w:pPr>
      <w:r>
        <w:rPr>
          <w:rFonts w:ascii="Times New Roman" w:cs="Times New Roman" w:eastAsia="Times New Roman" w:hAnsi="Times New Roman"/>
          <w:i/>
          <w:iCs/>
          <w:sz w:val="24"/>
          <w:szCs w:val="24"/>
        </w:rPr>
        <w:t xml:space="preserve">I_s,comp = C_yd1 · I_s / √3</w:t>
      </w:r>
    </w:p>
    <w:p>
      <w:pPr>
        <w:spacing w:after="120" w:before="120" w:line="360" w:lineRule="auto"/>
        <w:ind w:firstLine="720"/>
        <w:jc w:val="both"/>
      </w:pPr>
      <w:r>
        <w:rPr>
          <w:rFonts w:ascii="Times New Roman" w:cs="Times New Roman" w:eastAsia="Times New Roman" w:hAnsi="Times New Roman"/>
          <w:sz w:val="24"/>
          <w:szCs w:val="24"/>
        </w:rPr>
        <w:t xml:space="preserve">The compensation matrix accounts for both the phase rotation and the delta-winding current distribution, ensuring that the differential current is zero under balanced load conditions.</w:t>
      </w:r>
    </w:p>
    <w:p>
      <w:pPr>
        <w:pStyle w:val="Heading2"/>
      </w:pPr>
      <w:r>
        <w:rPr>
          <w:rFonts w:ascii="Times New Roman" w:cs="Times New Roman" w:eastAsia="Times New Roman" w:hAnsi="Times New Roman"/>
          <w:b/>
          <w:bCs/>
          <w:color w:val="2E3A5C"/>
          <w:sz w:val="28"/>
          <w:szCs w:val="28"/>
        </w:rPr>
        <w:t xml:space="preserve">3.2  Magnetising Inrush Current Theory</w:t>
      </w:r>
    </w:p>
    <w:p>
      <w:pPr>
        <w:spacing w:after="120" w:before="120" w:line="360" w:lineRule="auto"/>
        <w:ind w:firstLine="720"/>
        <w:jc w:val="both"/>
      </w:pPr>
      <w:r>
        <w:rPr>
          <w:rFonts w:ascii="Times New Roman" w:cs="Times New Roman" w:eastAsia="Times New Roman" w:hAnsi="Times New Roman"/>
          <w:sz w:val="24"/>
          <w:szCs w:val="24"/>
        </w:rPr>
        <w:t xml:space="preserve">When a transformer is energised at voltage angle θ, the instantaneous flux in the core is:</w:t>
      </w:r>
    </w:p>
    <w:p>
      <w:pPr>
        <w:spacing w:after="120" w:before="120"/>
        <w:jc w:val="center"/>
      </w:pPr>
      <w:r>
        <w:rPr>
          <w:rFonts w:ascii="Times New Roman" w:cs="Times New Roman" w:eastAsia="Times New Roman" w:hAnsi="Times New Roman"/>
          <w:i/>
          <w:iCs/>
          <w:sz w:val="24"/>
          <w:szCs w:val="24"/>
        </w:rPr>
        <w:t xml:space="preserve">φ(t) = φ_r + Φ_m · [cos(θ) − cos(ωt + θ)]</w:t>
      </w:r>
    </w:p>
    <w:p>
      <w:pPr>
        <w:spacing w:after="120" w:before="120" w:line="360" w:lineRule="auto"/>
        <w:ind w:firstLine="720"/>
        <w:jc w:val="both"/>
      </w:pPr>
      <w:r>
        <w:rPr>
          <w:rFonts w:ascii="Times New Roman" w:cs="Times New Roman" w:eastAsia="Times New Roman" w:hAnsi="Times New Roman"/>
          <w:sz w:val="24"/>
          <w:szCs w:val="24"/>
        </w:rPr>
        <w:t xml:space="preserve">where φ_r is the residual flux at the moment of energisation and Φ_m is the rated peak flux. The worst-case condition θ = 0 (voltage zero-crossing with maximum residual flux) produces a transient peak flux of:</w:t>
      </w:r>
    </w:p>
    <w:p>
      <w:pPr>
        <w:spacing w:after="120" w:before="120"/>
        <w:jc w:val="center"/>
      </w:pPr>
      <w:r>
        <w:rPr>
          <w:rFonts w:ascii="Times New Roman" w:cs="Times New Roman" w:eastAsia="Times New Roman" w:hAnsi="Times New Roman"/>
          <w:i/>
          <w:iCs/>
          <w:sz w:val="24"/>
          <w:szCs w:val="24"/>
        </w:rPr>
        <w:t xml:space="preserve">φ_max = φ_r + 2Φ_m</w:t>
      </w:r>
    </w:p>
    <w:p>
      <w:pPr>
        <w:spacing w:after="120" w:before="120" w:line="360" w:lineRule="auto"/>
        <w:ind w:firstLine="720"/>
        <w:jc w:val="both"/>
      </w:pPr>
      <w:r>
        <w:rPr>
          <w:rFonts w:ascii="Times New Roman" w:cs="Times New Roman" w:eastAsia="Times New Roman" w:hAnsi="Times New Roman"/>
          <w:sz w:val="24"/>
          <w:szCs w:val="24"/>
        </w:rPr>
        <w:t xml:space="preserve">Assuming φ_r = 0.8Φ_m (typical for silicon steel), the peak flux reaches 2.8Φ_m, driving the core into deep saturation. The resulting magnetising current can reach 5–15 times rated current with characteristic asymmetry and a half-wave shape determined by the nonlinear B-H curve. Modern amorphous alloy cores — with steeper saturation characteristics — exhibit faster flux decay and consequently lower second-harmonic content ratios (7–10% vs. 15–40% for conventional steel).</w:t>
      </w:r>
    </w:p>
    <w:p>
      <w:pPr>
        <w:pStyle w:val="Heading2"/>
      </w:pPr>
      <w:r>
        <w:rPr>
          <w:rFonts w:ascii="Times New Roman" w:cs="Times New Roman" w:eastAsia="Times New Roman" w:hAnsi="Times New Roman"/>
          <w:b/>
          <w:bCs/>
          <w:color w:val="2E3A5C"/>
          <w:sz w:val="28"/>
          <w:szCs w:val="28"/>
        </w:rPr>
        <w:t xml:space="preserve">3.3  CT Saturation Model</w:t>
      </w:r>
    </w:p>
    <w:p>
      <w:pPr>
        <w:spacing w:after="120" w:before="120" w:line="360" w:lineRule="auto"/>
        <w:ind w:firstLine="720"/>
        <w:jc w:val="both"/>
      </w:pPr>
      <w:r>
        <w:rPr>
          <w:rFonts w:ascii="Times New Roman" w:cs="Times New Roman" w:eastAsia="Times New Roman" w:hAnsi="Times New Roman"/>
          <w:sz w:val="24"/>
          <w:szCs w:val="24"/>
        </w:rPr>
        <w:t xml:space="preserve">CT saturation occurs when the transient DC offset in the primary fault current drives the CT core into saturation. The DC offset time constant:</w:t>
      </w:r>
    </w:p>
    <w:p>
      <w:pPr>
        <w:spacing w:after="120" w:before="120"/>
        <w:jc w:val="center"/>
      </w:pPr>
      <w:r>
        <w:rPr>
          <w:rFonts w:ascii="Times New Roman" w:cs="Times New Roman" w:eastAsia="Times New Roman" w:hAnsi="Times New Roman"/>
          <w:i/>
          <w:iCs/>
          <w:sz w:val="24"/>
          <w:szCs w:val="24"/>
        </w:rPr>
        <w:t xml:space="preserve">τ_DC = L/R</w:t>
      </w:r>
    </w:p>
    <w:p>
      <w:pPr>
        <w:spacing w:after="120" w:before="120" w:line="360" w:lineRule="auto"/>
        <w:ind w:firstLine="720"/>
        <w:jc w:val="both"/>
      </w:pPr>
      <w:r>
        <w:rPr>
          <w:rFonts w:ascii="Times New Roman" w:cs="Times New Roman" w:eastAsia="Times New Roman" w:hAnsi="Times New Roman"/>
          <w:sz w:val="24"/>
          <w:szCs w:val="24"/>
        </w:rPr>
        <w:t xml:space="preserve">where L and R are the primary circuit inductance and resistance, determines the energy available to saturate the CT. The time to saturation t_sat is given by:</w:t>
      </w:r>
    </w:p>
    <w:p>
      <w:pPr>
        <w:spacing w:after="120" w:before="120"/>
        <w:jc w:val="center"/>
      </w:pPr>
      <w:r>
        <w:rPr>
          <w:rFonts w:ascii="Times New Roman" w:cs="Times New Roman" w:eastAsia="Times New Roman" w:hAnsi="Times New Roman"/>
          <w:i/>
          <w:iCs/>
          <w:sz w:val="24"/>
          <w:szCs w:val="24"/>
        </w:rPr>
        <w:t xml:space="preserve">t_sat = (L_m · I_s,peak) / (V_knee · (1 + ω·L_m/R_b))</w:t>
      </w:r>
    </w:p>
    <w:p>
      <w:pPr>
        <w:spacing w:after="120" w:before="120" w:line="360" w:lineRule="auto"/>
        <w:ind w:firstLine="720"/>
        <w:jc w:val="both"/>
      </w:pPr>
      <w:r>
        <w:rPr>
          <w:rFonts w:ascii="Times New Roman" w:cs="Times New Roman" w:eastAsia="Times New Roman" w:hAnsi="Times New Roman"/>
          <w:sz w:val="24"/>
          <w:szCs w:val="24"/>
        </w:rPr>
        <w:t xml:space="preserve">where L_m is the CT magnetising inductance, V_knee is the knee-point voltage, and R_b is the secondary burden. Under severe saturation (Ks &gt; 20), the CT secondary current is severely distorted, introducing high THD (modelled at 34.7% in this work) and spurious harmonic content that challenges harmonic restraint relays.</w:t>
      </w:r>
    </w:p>
    <w:p>
      <w:pPr>
        <w:pStyle w:val="Heading2"/>
      </w:pPr>
      <w:r>
        <w:rPr>
          <w:rFonts w:ascii="Times New Roman" w:cs="Times New Roman" w:eastAsia="Times New Roman" w:hAnsi="Times New Roman"/>
          <w:b/>
          <w:bCs/>
          <w:color w:val="2E3A5C"/>
          <w:sz w:val="28"/>
          <w:szCs w:val="28"/>
        </w:rPr>
        <w:t xml:space="preserve">3.4  DWT Feature Extraction Framework</w:t>
      </w:r>
    </w:p>
    <w:p>
      <w:pPr>
        <w:pStyle w:val="Heading3"/>
      </w:pPr>
      <w:r>
        <w:rPr>
          <w:rFonts w:ascii="Times New Roman" w:cs="Times New Roman" w:eastAsia="Times New Roman" w:hAnsi="Times New Roman"/>
          <w:b/>
          <w:bCs/>
          <w:color w:val="2F5496"/>
          <w:sz w:val="26"/>
          <w:szCs w:val="26"/>
        </w:rPr>
        <w:t xml:space="preserve">3.4.1  Two-Level db4 Decomposition</w:t>
      </w:r>
    </w:p>
    <w:p>
      <w:pPr>
        <w:spacing w:after="120" w:before="120" w:line="360" w:lineRule="auto"/>
        <w:ind w:firstLine="720"/>
        <w:jc w:val="both"/>
      </w:pPr>
      <w:r>
        <w:rPr>
          <w:rFonts w:ascii="Times New Roman" w:cs="Times New Roman" w:eastAsia="Times New Roman" w:hAnsi="Times New Roman"/>
          <w:sz w:val="24"/>
          <w:szCs w:val="24"/>
        </w:rPr>
        <w:t xml:space="preserve">The Discrete Wavelet Transform of the differential current signal x[n] at decomposition level j yields detail coefficients d_j and approximation coefficients a_j through iterated filter bank operations:</w:t>
      </w:r>
    </w:p>
    <w:p>
      <w:pPr>
        <w:spacing w:after="120" w:before="120"/>
        <w:jc w:val="center"/>
      </w:pPr>
      <w:r>
        <w:rPr>
          <w:rFonts w:ascii="Times New Roman" w:cs="Times New Roman" w:eastAsia="Times New Roman" w:hAnsi="Times New Roman"/>
          <w:i/>
          <w:iCs/>
          <w:sz w:val="24"/>
          <w:szCs w:val="24"/>
        </w:rPr>
        <w:t xml:space="preserve">a_j[k] = Σ_n h[n − 2k] · a_{j-1}[n]   (low-pass, downsampled)</w:t>
      </w:r>
    </w:p>
    <w:p>
      <w:pPr>
        <w:spacing w:after="120" w:before="120"/>
        <w:jc w:val="center"/>
      </w:pPr>
      <w:r>
        <w:rPr>
          <w:rFonts w:ascii="Times New Roman" w:cs="Times New Roman" w:eastAsia="Times New Roman" w:hAnsi="Times New Roman"/>
          <w:i/>
          <w:iCs/>
          <w:sz w:val="24"/>
          <w:szCs w:val="24"/>
        </w:rPr>
        <w:t xml:space="preserve">d_j[k] = Σ_n g[n − 2k] · a_{j-1}[n]   (high-pass, downsampled)</w:t>
      </w:r>
    </w:p>
    <w:p>
      <w:pPr>
        <w:spacing w:after="120" w:before="120" w:line="360" w:lineRule="auto"/>
        <w:ind w:firstLine="720"/>
        <w:jc w:val="both"/>
      </w:pPr>
      <w:r>
        <w:rPr>
          <w:rFonts w:ascii="Times New Roman" w:cs="Times New Roman" w:eastAsia="Times New Roman" w:hAnsi="Times New Roman"/>
          <w:sz w:val="24"/>
          <w:szCs w:val="24"/>
        </w:rPr>
        <w:t xml:space="preserve">where h[n] and g[n] = (−1)ⁿ h[7−n] are the Daubechies-4 scaling and wavelet filters respectively. At a sampling rate of f_s = 1,600 Hz, a two-level decomposition partitions the frequency spectrum as follows:</w:t>
      </w:r>
    </w:p>
    <w:p/>
    <w:p>
      <w:pPr>
        <w:spacing w:after="60" w:before="160"/>
        <w:jc w:val="center"/>
      </w:pPr>
      <w:r>
        <w:rPr>
          <w:rFonts w:ascii="Times New Roman" w:cs="Times New Roman" w:eastAsia="Times New Roman" w:hAnsi="Times New Roman"/>
          <w:b/>
          <w:bCs/>
          <w:sz w:val="22"/>
          <w:szCs w:val="22"/>
        </w:rPr>
        <w:t xml:space="preserve">Table 3.1: Frequency band allocation for two-level db4 DWT at 1,600 Hz.</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000"/>
        <w:gridCol w:w="2026"/>
      </w:tblGrid>
      <w:tr>
        <w:tc>
          <w:tcPr>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Subband</w:t>
            </w:r>
          </w:p>
        </w:tc>
        <w:tc>
          <w:tcPr>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Frequency Band (Hz)</w:t>
            </w:r>
          </w:p>
        </w:tc>
        <w:tc>
          <w:tcPr>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Key Components</w:t>
            </w:r>
          </w:p>
        </w:tc>
        <w:tc>
          <w:tcPr>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Coefficients per 32-sample window</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D1 (Detail level 1)</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400 – 800</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Fault transients, high-frequency components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8</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D2 (Detail level 2)</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200 – 400</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2nd–4th harmonics, inrush components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4</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A2 (Approximation level 2)</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 – 200</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Fundamental + low-order harmonics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4</w:t>
            </w:r>
          </w:p>
        </w:tc>
      </w:tr>
    </w:tbl>
    <w:p/>
    <w:p>
      <w:pPr>
        <w:spacing w:after="120" w:before="120" w:line="360" w:lineRule="auto"/>
        <w:ind w:firstLine="720"/>
        <w:jc w:val="both"/>
      </w:pPr>
      <w:r>
        <w:rPr>
          <w:rFonts w:ascii="Times New Roman" w:cs="Times New Roman" w:eastAsia="Times New Roman" w:hAnsi="Times New Roman"/>
          <w:sz w:val="24"/>
          <w:szCs w:val="24"/>
        </w:rPr>
        <w:t xml:space="preserve">The Daubechies-4 mother wavelet is selected for its compact support (L = 8 coefficients, 4.375 ms at 1,600 Hz), four vanishing moments, orthogonality, and morphological similarity to fault inception transients, which exhibit steep rising edges and subsequent oscillatory decay.</w:t>
      </w:r>
    </w:p>
    <w:p>
      <w:pPr>
        <w:pStyle w:val="Heading3"/>
      </w:pPr>
      <w:r>
        <w:rPr>
          <w:rFonts w:ascii="Times New Roman" w:cs="Times New Roman" w:eastAsia="Times New Roman" w:hAnsi="Times New Roman"/>
          <w:b/>
          <w:bCs/>
          <w:color w:val="2F5496"/>
          <w:sz w:val="26"/>
          <w:szCs w:val="26"/>
        </w:rPr>
        <w:t xml:space="preserve">3.4.2  Energy Feature Computation and Log1p Normalisation</w:t>
      </w:r>
    </w:p>
    <w:p>
      <w:pPr>
        <w:spacing w:after="120" w:before="120" w:line="360" w:lineRule="auto"/>
        <w:ind w:firstLine="720"/>
        <w:jc w:val="both"/>
      </w:pPr>
      <w:r>
        <w:rPr>
          <w:rFonts w:ascii="Times New Roman" w:cs="Times New Roman" w:eastAsia="Times New Roman" w:hAnsi="Times New Roman"/>
          <w:sz w:val="24"/>
          <w:szCs w:val="24"/>
        </w:rPr>
        <w:t xml:space="preserve">The energy of each subband is computed via Parseval's theorem applied to the respective coefficient array:</w:t>
      </w:r>
    </w:p>
    <w:p>
      <w:pPr>
        <w:spacing w:after="120" w:before="120"/>
        <w:jc w:val="center"/>
      </w:pPr>
      <w:r>
        <w:rPr>
          <w:rFonts w:ascii="Times New Roman" w:cs="Times New Roman" w:eastAsia="Times New Roman" w:hAnsi="Times New Roman"/>
          <w:i/>
          <w:iCs/>
          <w:sz w:val="24"/>
          <w:szCs w:val="24"/>
        </w:rPr>
        <w:t xml:space="preserve">E_{D1}^{(ph)} = Σ_k [d₁^{(ph)}[k]]²,   E_{D2}^{(ph)} = Σ_k [d₂^{(ph)}[k]]²,   E_{A2}^{(ph)} = Σ_k [a₂^{(ph)}[k]]²</w:t>
      </w:r>
    </w:p>
    <w:p>
      <w:pPr>
        <w:spacing w:after="120" w:before="120" w:line="360" w:lineRule="auto"/>
        <w:ind w:firstLine="720"/>
        <w:jc w:val="both"/>
      </w:pPr>
      <w:r>
        <w:rPr>
          <w:rFonts w:ascii="Times New Roman" w:cs="Times New Roman" w:eastAsia="Times New Roman" w:hAnsi="Times New Roman"/>
          <w:sz w:val="24"/>
          <w:szCs w:val="24"/>
        </w:rPr>
        <w:t xml:space="preserve">for each phase ph ∈ {A, B, C}, yielding a nine-dimensional raw feature vector:</w:t>
      </w:r>
    </w:p>
    <w:p>
      <w:pPr>
        <w:spacing w:after="120" w:before="120"/>
        <w:jc w:val="center"/>
      </w:pPr>
      <w:r>
        <w:rPr>
          <w:rFonts w:ascii="Times New Roman" w:cs="Times New Roman" w:eastAsia="Times New Roman" w:hAnsi="Times New Roman"/>
          <w:i/>
          <w:iCs/>
          <w:sz w:val="24"/>
          <w:szCs w:val="24"/>
        </w:rPr>
        <w:t xml:space="preserve">f = [E_{D1}^A, E_{D2}^A, E_{A2}^A, E_{D1}^B, E_{D2}^B, E_{A2}^B, E_{D1}^C, E_{D2}^C, E_{A2}^C]</w:t>
      </w:r>
    </w:p>
    <w:p>
      <w:pPr>
        <w:spacing w:after="120" w:before="120" w:line="360" w:lineRule="auto"/>
        <w:ind w:firstLine="720"/>
        <w:jc w:val="both"/>
      </w:pPr>
      <w:r>
        <w:rPr>
          <w:rFonts w:ascii="Times New Roman" w:cs="Times New Roman" w:eastAsia="Times New Roman" w:hAnsi="Times New Roman"/>
          <w:sz w:val="24"/>
          <w:szCs w:val="24"/>
        </w:rPr>
        <w:t xml:space="preserve">The raw energies span several orders of magnitude across operating conditions, violating assumptions of gradient-based optimisers. Log₁ₚ normalisation:</w:t>
      </w:r>
    </w:p>
    <w:p>
      <w:pPr>
        <w:spacing w:after="120" w:before="120"/>
        <w:jc w:val="center"/>
      </w:pPr>
      <w:r>
        <w:rPr>
          <w:rFonts w:ascii="Times New Roman" w:cs="Times New Roman" w:eastAsia="Times New Roman" w:hAnsi="Times New Roman"/>
          <w:i/>
          <w:iCs/>
          <w:sz w:val="24"/>
          <w:szCs w:val="24"/>
        </w:rPr>
        <w:t xml:space="preserve">f_norm = log₁ₚ(f) = log(1 + f)</w:t>
      </w:r>
    </w:p>
    <w:p>
      <w:pPr>
        <w:spacing w:after="120" w:before="120" w:line="360" w:lineRule="auto"/>
        <w:ind w:firstLine="720"/>
        <w:jc w:val="both"/>
      </w:pPr>
      <w:r>
        <w:rPr>
          <w:rFonts w:ascii="Times New Roman" w:cs="Times New Roman" w:eastAsia="Times New Roman" w:hAnsi="Times New Roman"/>
          <w:sz w:val="24"/>
          <w:szCs w:val="24"/>
        </w:rPr>
        <w:t xml:space="preserve">compresses the dynamic range while preserving the relative ordering (monotone for f ≥ 0) and avoiding the numerical instability of pure log(f) at f = 0.</w:t>
      </w:r>
    </w:p>
    <w:p>
      <w:pPr>
        <w:pStyle w:val="Heading3"/>
      </w:pPr>
      <w:r>
        <w:rPr>
          <w:rFonts w:ascii="Times New Roman" w:cs="Times New Roman" w:eastAsia="Times New Roman" w:hAnsi="Times New Roman"/>
          <w:b/>
          <w:bCs/>
          <w:color w:val="2F5496"/>
          <w:sz w:val="26"/>
          <w:szCs w:val="26"/>
        </w:rPr>
        <w:t xml:space="preserve">3.4.3  Sliding Window and Feature Tensor Construction</w:t>
      </w:r>
    </w:p>
    <w:p>
      <w:pPr>
        <w:spacing w:after="120" w:before="120" w:line="360" w:lineRule="auto"/>
        <w:ind w:firstLine="720"/>
        <w:jc w:val="both"/>
      </w:pPr>
      <w:r>
        <w:rPr>
          <w:rFonts w:ascii="Times New Roman" w:cs="Times New Roman" w:eastAsia="Times New Roman" w:hAnsi="Times New Roman"/>
          <w:sz w:val="24"/>
          <w:szCs w:val="24"/>
        </w:rPr>
        <w:t xml:space="preserve">A 32-sample sliding window (one full cycle at 50 Hz, 20 ms) advances one sample at a time across the T = 1,601-sample simulation waveform, producing T − 32 = 1,569 feature vectors per sample. The final three-dimensional feature tensor is:</w:t>
      </w:r>
    </w:p>
    <w:p>
      <w:pPr>
        <w:spacing w:after="120" w:before="120"/>
        <w:jc w:val="center"/>
      </w:pPr>
      <w:r>
        <w:rPr>
          <w:rFonts w:ascii="Times New Roman" w:cs="Times New Roman" w:eastAsia="Times New Roman" w:hAnsi="Times New Roman"/>
          <w:i/>
          <w:iCs/>
          <w:sz w:val="24"/>
          <w:szCs w:val="24"/>
        </w:rPr>
        <w:t xml:space="preserve">X ∈ ℝ^{N × 1569 × 9}   (N samples, 1569 timesteps, 9 features)</w:t>
      </w:r>
    </w:p>
    <w:p>
      <w:pPr>
        <w:spacing w:after="120" w:before="120" w:line="360" w:lineRule="auto"/>
        <w:ind w:firstLine="720"/>
        <w:jc w:val="both"/>
      </w:pPr>
      <w:r>
        <w:rPr>
          <w:rFonts w:ascii="Times New Roman" w:cs="Times New Roman" w:eastAsia="Times New Roman" w:hAnsi="Times New Roman"/>
          <w:sz w:val="24"/>
          <w:szCs w:val="24"/>
        </w:rPr>
        <w:t xml:space="preserve">This tensor represents the temporal evolution of the nine DWT energy features across the complete simulation window, providing the BiLSTM with the sequential input it requires to model temporal dependencies.</w:t>
      </w:r>
    </w:p>
    <w:p>
      <w:pPr>
        <w:pStyle w:val="Heading2"/>
      </w:pPr>
      <w:r>
        <w:rPr>
          <w:rFonts w:ascii="Times New Roman" w:cs="Times New Roman" w:eastAsia="Times New Roman" w:hAnsi="Times New Roman"/>
          <w:b/>
          <w:bCs/>
          <w:color w:val="2E3A5C"/>
          <w:sz w:val="28"/>
          <w:szCs w:val="28"/>
        </w:rPr>
        <w:t xml:space="preserve">3.5  BiLSTM Classification Model</w:t>
      </w:r>
    </w:p>
    <w:p>
      <w:pPr>
        <w:pStyle w:val="Heading3"/>
      </w:pPr>
      <w:r>
        <w:rPr>
          <w:rFonts w:ascii="Times New Roman" w:cs="Times New Roman" w:eastAsia="Times New Roman" w:hAnsi="Times New Roman"/>
          <w:b/>
          <w:bCs/>
          <w:color w:val="2F5496"/>
          <w:sz w:val="26"/>
          <w:szCs w:val="26"/>
        </w:rPr>
        <w:t xml:space="preserve">3.5.1  LSTM Gating Equations</w:t>
      </w:r>
    </w:p>
    <w:p>
      <w:pPr>
        <w:spacing w:after="120" w:before="120" w:line="360" w:lineRule="auto"/>
        <w:ind w:firstLine="720"/>
        <w:jc w:val="both"/>
      </w:pPr>
      <w:r>
        <w:rPr>
          <w:rFonts w:ascii="Times New Roman" w:cs="Times New Roman" w:eastAsia="Times New Roman" w:hAnsi="Times New Roman"/>
          <w:sz w:val="24"/>
          <w:szCs w:val="24"/>
        </w:rPr>
        <w:t xml:space="preserve">The BiLSTM processes the feature sequence in both forward and backward temporal directions. For a single forward-direction LSTM cell at timestep t with input x_t and previous hidden/cell states (h_{t-1}, c_{t-1}):</w:t>
      </w:r>
    </w:p>
    <w:p>
      <w:pPr>
        <w:spacing w:after="120" w:before="120"/>
        <w:jc w:val="center"/>
      </w:pPr>
      <w:r>
        <w:rPr>
          <w:rFonts w:ascii="Times New Roman" w:cs="Times New Roman" w:eastAsia="Times New Roman" w:hAnsi="Times New Roman"/>
          <w:i/>
          <w:iCs/>
          <w:sz w:val="24"/>
          <w:szCs w:val="24"/>
        </w:rPr>
        <w:t xml:space="preserve">i_t = σ(W_i x_t + U_i h_{t-1} + b_i)     [input gate]</w:t>
      </w:r>
    </w:p>
    <w:p>
      <w:pPr>
        <w:spacing w:after="120" w:before="120"/>
        <w:jc w:val="center"/>
      </w:pPr>
      <w:r>
        <w:rPr>
          <w:rFonts w:ascii="Times New Roman" w:cs="Times New Roman" w:eastAsia="Times New Roman" w:hAnsi="Times New Roman"/>
          <w:i/>
          <w:iCs/>
          <w:sz w:val="24"/>
          <w:szCs w:val="24"/>
        </w:rPr>
        <w:t xml:space="preserve">f_t = σ(W_f x_t + U_f h_{t-1} + b_f)     [forget gate]</w:t>
      </w:r>
    </w:p>
    <w:p>
      <w:pPr>
        <w:spacing w:after="120" w:before="120"/>
        <w:jc w:val="center"/>
      </w:pPr>
      <w:r>
        <w:rPr>
          <w:rFonts w:ascii="Times New Roman" w:cs="Times New Roman" w:eastAsia="Times New Roman" w:hAnsi="Times New Roman"/>
          <w:i/>
          <w:iCs/>
          <w:sz w:val="24"/>
          <w:szCs w:val="24"/>
        </w:rPr>
        <w:t xml:space="preserve">g_t = tanh(W_g x_t + U_g h_{t-1} + b_g)  [cell gate]</w:t>
      </w:r>
    </w:p>
    <w:p>
      <w:pPr>
        <w:spacing w:after="120" w:before="120"/>
        <w:jc w:val="center"/>
      </w:pPr>
      <w:r>
        <w:rPr>
          <w:rFonts w:ascii="Times New Roman" w:cs="Times New Roman" w:eastAsia="Times New Roman" w:hAnsi="Times New Roman"/>
          <w:i/>
          <w:iCs/>
          <w:sz w:val="24"/>
          <w:szCs w:val="24"/>
        </w:rPr>
        <w:t xml:space="preserve">o_t = σ(W_o x_t + U_o h_{t-1} + b_o)     [output gate]</w:t>
      </w:r>
    </w:p>
    <w:p>
      <w:pPr>
        <w:spacing w:after="120" w:before="120"/>
        <w:jc w:val="center"/>
      </w:pPr>
      <w:r>
        <w:rPr>
          <w:rFonts w:ascii="Times New Roman" w:cs="Times New Roman" w:eastAsia="Times New Roman" w:hAnsi="Times New Roman"/>
          <w:i/>
          <w:iCs/>
          <w:sz w:val="24"/>
          <w:szCs w:val="24"/>
        </w:rPr>
        <w:t xml:space="preserve">c_t = f_t ⊙ c_{t-1} + i_t ⊙ g_t          [cell state update]</w:t>
      </w:r>
    </w:p>
    <w:p>
      <w:pPr>
        <w:spacing w:after="120" w:before="120"/>
        <w:jc w:val="center"/>
      </w:pPr>
      <w:r>
        <w:rPr>
          <w:rFonts w:ascii="Times New Roman" w:cs="Times New Roman" w:eastAsia="Times New Roman" w:hAnsi="Times New Roman"/>
          <w:i/>
          <w:iCs/>
          <w:sz w:val="24"/>
          <w:szCs w:val="24"/>
        </w:rPr>
        <w:t xml:space="preserve">h_t = o_t ⊙ tanh(c_t)                     [hidden state]</w:t>
      </w:r>
    </w:p>
    <w:p>
      <w:pPr>
        <w:spacing w:after="120" w:before="120" w:line="360" w:lineRule="auto"/>
        <w:ind w:firstLine="720"/>
        <w:jc w:val="both"/>
      </w:pPr>
      <w:r>
        <w:rPr>
          <w:rFonts w:ascii="Times New Roman" w:cs="Times New Roman" w:eastAsia="Times New Roman" w:hAnsi="Times New Roman"/>
          <w:sz w:val="24"/>
          <w:szCs w:val="24"/>
        </w:rPr>
        <w:t xml:space="preserve">The bidirectional output at each timestep concatenates forward and backward hidden states: h̃_t = [h_t^→; h_t^←], doubling the effective hidden dimension to 2d_h.</w:t>
      </w:r>
    </w:p>
    <w:p>
      <w:pPr>
        <w:pStyle w:val="Heading3"/>
      </w:pPr>
      <w:r>
        <w:rPr>
          <w:rFonts w:ascii="Times New Roman" w:cs="Times New Roman" w:eastAsia="Times New Roman" w:hAnsi="Times New Roman"/>
          <w:b/>
          <w:bCs/>
          <w:color w:val="2F5496"/>
          <w:sz w:val="26"/>
          <w:szCs w:val="26"/>
        </w:rPr>
        <w:t xml:space="preserve">3.5.2  Temporal Attention Pooling</w:t>
      </w:r>
    </w:p>
    <w:p>
      <w:pPr>
        <w:spacing w:after="120" w:before="120" w:line="360" w:lineRule="auto"/>
        <w:ind w:firstLine="720"/>
        <w:jc w:val="both"/>
      </w:pPr>
      <w:r>
        <w:rPr>
          <w:rFonts w:ascii="Times New Roman" w:cs="Times New Roman" w:eastAsia="Times New Roman" w:hAnsi="Times New Roman"/>
          <w:sz w:val="24"/>
          <w:szCs w:val="24"/>
        </w:rPr>
        <w:t xml:space="preserve">A global temporal attention mechanism computes a weighted average over the T = 1,569 timestep hidden states:</w:t>
      </w:r>
    </w:p>
    <w:p>
      <w:pPr>
        <w:spacing w:after="120" w:before="120"/>
        <w:jc w:val="center"/>
      </w:pPr>
      <w:r>
        <w:rPr>
          <w:rFonts w:ascii="Times New Roman" w:cs="Times New Roman" w:eastAsia="Times New Roman" w:hAnsi="Times New Roman"/>
          <w:i/>
          <w:iCs/>
          <w:sz w:val="24"/>
          <w:szCs w:val="24"/>
        </w:rPr>
        <w:t xml:space="preserve">e_t = v^T tanh(W_a h̃_t + b_a)             [attention score]</w:t>
      </w:r>
    </w:p>
    <w:p>
      <w:pPr>
        <w:spacing w:after="120" w:before="120"/>
        <w:jc w:val="center"/>
      </w:pPr>
      <w:r>
        <w:rPr>
          <w:rFonts w:ascii="Times New Roman" w:cs="Times New Roman" w:eastAsia="Times New Roman" w:hAnsi="Times New Roman"/>
          <w:i/>
          <w:iCs/>
          <w:sz w:val="24"/>
          <w:szCs w:val="24"/>
        </w:rPr>
        <w:t xml:space="preserve">α_t = softmax(e_t) = exp(e_t) / Σ_τ exp(e_τ)  [attention weight]</w:t>
      </w:r>
    </w:p>
    <w:p>
      <w:pPr>
        <w:spacing w:after="120" w:before="120"/>
        <w:jc w:val="center"/>
      </w:pPr>
      <w:r>
        <w:rPr>
          <w:rFonts w:ascii="Times New Roman" w:cs="Times New Roman" w:eastAsia="Times New Roman" w:hAnsi="Times New Roman"/>
          <w:i/>
          <w:iCs/>
          <w:sz w:val="24"/>
          <w:szCs w:val="24"/>
        </w:rPr>
        <w:t xml:space="preserve">c = Σ_t α_t h̃_t                           [context vector]</w:t>
      </w:r>
    </w:p>
    <w:p>
      <w:pPr>
        <w:spacing w:after="120" w:before="120" w:line="360" w:lineRule="auto"/>
        <w:ind w:firstLine="720"/>
        <w:jc w:val="both"/>
      </w:pPr>
      <w:r>
        <w:rPr>
          <w:rFonts w:ascii="Times New Roman" w:cs="Times New Roman" w:eastAsia="Times New Roman" w:hAnsi="Times New Roman"/>
          <w:sz w:val="24"/>
          <w:szCs w:val="24"/>
        </w:rPr>
        <w:t xml:space="preserve">The context vector c is passed to the binary classifier head (Linear → Sigmoid), producing the trip probability p_trip ∈ [0, 1].</w:t>
      </w:r>
    </w:p>
    <w:p>
      <w:pPr>
        <w:pStyle w:val="Heading2"/>
      </w:pPr>
      <w:r>
        <w:rPr>
          <w:rFonts w:ascii="Times New Roman" w:cs="Times New Roman" w:eastAsia="Times New Roman" w:hAnsi="Times New Roman"/>
          <w:b/>
          <w:bCs/>
          <w:color w:val="2E3A5C"/>
          <w:sz w:val="28"/>
          <w:szCs w:val="28"/>
        </w:rPr>
        <w:t xml:space="preserve">3.6  Hybrid Relay Decision Logic</w:t>
      </w:r>
    </w:p>
    <w:p>
      <w:pPr>
        <w:spacing w:after="120" w:before="120" w:line="360" w:lineRule="auto"/>
        <w:ind w:firstLine="720"/>
        <w:jc w:val="both"/>
      </w:pPr>
      <w:r>
        <w:rPr>
          <w:rFonts w:ascii="Times New Roman" w:cs="Times New Roman" w:eastAsia="Times New Roman" w:hAnsi="Times New Roman"/>
          <w:sz w:val="24"/>
          <w:szCs w:val="24"/>
        </w:rPr>
        <w:t xml:space="preserve">The hybrid Veto/AND-gate relay issues a trip command only when both the adaptive 87T differential element operates AND the BiLSTM classifies the event as an internal fault with confidence exceeding the Youden J-optimal threshold:</w:t>
      </w:r>
    </w:p>
    <w:p>
      <w:pPr>
        <w:spacing w:after="120" w:before="120"/>
        <w:jc w:val="center"/>
      </w:pPr>
      <w:r>
        <w:rPr>
          <w:rFonts w:ascii="Times New Roman" w:cs="Times New Roman" w:eastAsia="Times New Roman" w:hAnsi="Times New Roman"/>
          <w:i/>
          <w:iCs/>
          <w:sz w:val="24"/>
          <w:szCs w:val="24"/>
        </w:rPr>
        <w:t xml:space="preserve">TRIP = [I_diff &gt; 87T_threshold(I_rest)] ∧ [p_trip &gt; θ_J]   (Equation 3.1)</w:t>
      </w:r>
    </w:p>
    <w:p>
      <w:pPr>
        <w:spacing w:after="120" w:before="120" w:line="360" w:lineRule="auto"/>
        <w:ind w:firstLine="720"/>
        <w:jc w:val="both"/>
      </w:pPr>
      <w:r>
        <w:rPr>
          <w:rFonts w:ascii="Times New Roman" w:cs="Times New Roman" w:eastAsia="Times New Roman" w:hAnsi="Times New Roman"/>
          <w:sz w:val="24"/>
          <w:szCs w:val="24"/>
        </w:rPr>
        <w:t xml:space="preserve">where θ_J is the Youden J-optimal threshold:</w:t>
      </w:r>
    </w:p>
    <w:p>
      <w:pPr>
        <w:spacing w:after="120" w:before="120"/>
        <w:jc w:val="center"/>
      </w:pPr>
      <w:r>
        <w:rPr>
          <w:rFonts w:ascii="Times New Roman" w:cs="Times New Roman" w:eastAsia="Times New Roman" w:hAnsi="Times New Roman"/>
          <w:i/>
          <w:iCs/>
          <w:sz w:val="24"/>
          <w:szCs w:val="24"/>
        </w:rPr>
        <w:t xml:space="preserve">θ_J = argmax_{θ} [TPR(θ) − FPR(θ)]   (Equation 3.2)</w:t>
      </w:r>
    </w:p>
    <w:p>
      <w:pPr>
        <w:spacing w:after="120" w:before="120" w:line="360" w:lineRule="auto"/>
        <w:ind w:firstLine="720"/>
        <w:jc w:val="both"/>
      </w:pPr>
      <w:r>
        <w:rPr>
          <w:rFonts w:ascii="Times New Roman" w:cs="Times New Roman" w:eastAsia="Times New Roman" w:hAnsi="Times New Roman"/>
          <w:sz w:val="24"/>
          <w:szCs w:val="24"/>
        </w:rPr>
        <w:t xml:space="preserve">The Youden index J = TPR − FPR represents the informedness of the classifier at a given threshold, penalising both false negatives (missed faults) and false positives (false trips) equally. In practice, the threshold is selected on the validation set ROC curve to maximise this criterion, then saved to the model checkpoint for deployment. This data-driven threshold eliminates the threshold collapse phenomenon observed when fixed 0.5 thresholds are used on out-of-distribution stress-test inputs.</w:t>
      </w:r>
    </w:p>
    <w:p>
      <w:pPr>
        <w:pStyle w:val="Heading2"/>
      </w:pPr>
      <w:r>
        <w:rPr>
          <w:rFonts w:ascii="Times New Roman" w:cs="Times New Roman" w:eastAsia="Times New Roman" w:hAnsi="Times New Roman"/>
          <w:b/>
          <w:bCs/>
          <w:color w:val="2E3A5C"/>
          <w:sz w:val="28"/>
          <w:szCs w:val="28"/>
        </w:rPr>
        <w:t xml:space="preserve">3.7  Performance Metrics</w:t>
      </w:r>
    </w:p>
    <w:p>
      <w:pPr>
        <w:spacing w:after="120" w:before="120" w:line="360" w:lineRule="auto"/>
        <w:ind w:firstLine="720"/>
        <w:jc w:val="both"/>
      </w:pPr>
      <w:r>
        <w:rPr>
          <w:rFonts w:ascii="Times New Roman" w:cs="Times New Roman" w:eastAsia="Times New Roman" w:hAnsi="Times New Roman"/>
          <w:sz w:val="24"/>
          <w:szCs w:val="24"/>
        </w:rPr>
        <w:t xml:space="preserve">The following metrics are used throughout Chapter 6 to evaluate the binary classifier (Trip=1/No-Trip=0):</w:t>
      </w:r>
    </w:p>
    <w:p/>
    <w:p>
      <w:pPr>
        <w:spacing w:after="60" w:before="160"/>
        <w:jc w:val="center"/>
      </w:pPr>
      <w:r>
        <w:rPr>
          <w:rFonts w:ascii="Times New Roman" w:cs="Times New Roman" w:eastAsia="Times New Roman" w:hAnsi="Times New Roman"/>
          <w:b/>
          <w:bCs/>
          <w:sz w:val="22"/>
          <w:szCs w:val="22"/>
        </w:rPr>
        <w:t xml:space="preserve">Table 3.2: Performance metrics used for binary relay evaluation.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426"/>
      </w:tblGrid>
      <w:tr>
        <w:tc>
          <w:tcPr>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Metric</w:t>
            </w:r>
          </w:p>
        </w:tc>
        <w:tc>
          <w:tcPr>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Formula</w:t>
            </w:r>
          </w:p>
        </w:tc>
        <w:tc>
          <w:tcPr>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Relay interpretation</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Accuracy</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(TP+TN)/(TP+TN+FP+FN)</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Fraction of correctly classified events</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Precision</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TP/(TP+FP)</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Fraction of issued trips that are genuine faults</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Recall (Dependability)</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TP/(TP+FN)</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Fraction of internal faults correctly tripped</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Specificity (Security)</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TN/(TN+FP)</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Fraction of non-fault events correctly restrained</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F1-Score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2·P·R/(P+R)</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Harmonic mean of precision and recall</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AUC-ROC</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∫TPR d(FPR)</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Threshold-independent discriminative power</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Youden J Index</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TPR + TNR − 1</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Optimal operating point on ROC</w:t>
            </w:r>
          </w:p>
        </w:tc>
      </w:tr>
    </w:tbl>
    <w:p>
      <w:r>
        <w:br w:type="page"/>
      </w:r>
    </w:p>
    <w:p>
      <w:pPr>
        <w:pStyle w:val="Heading1"/>
        <w:pageBreakBefore/>
      </w:pPr>
      <w:r>
        <w:rPr>
          <w:rFonts w:ascii="Times New Roman" w:cs="Times New Roman" w:eastAsia="Times New Roman" w:hAnsi="Times New Roman"/>
          <w:b/>
          <w:bCs/>
          <w:color w:val="1F3864"/>
          <w:sz w:val="32"/>
          <w:szCs w:val="32"/>
        </w:rPr>
        <w:t xml:space="preserve">Chapter 4: Power System Simulation Model</w:t>
      </w:r>
    </w:p>
    <w:p>
      <w:pPr>
        <w:pStyle w:val="Heading2"/>
      </w:pPr>
      <w:r>
        <w:rPr>
          <w:rFonts w:ascii="Times New Roman" w:cs="Times New Roman" w:eastAsia="Times New Roman" w:hAnsi="Times New Roman"/>
          <w:b/>
          <w:bCs/>
          <w:color w:val="2E3A5C"/>
          <w:sz w:val="28"/>
          <w:szCs w:val="28"/>
        </w:rPr>
        <w:t xml:space="preserve">4.1  MATLAB/Simulink Simulation Environment</w:t>
      </w:r>
    </w:p>
    <w:p>
      <w:pPr>
        <w:spacing w:after="120" w:before="120" w:line="360" w:lineRule="auto"/>
        <w:ind w:firstLine="720"/>
        <w:jc w:val="both"/>
      </w:pPr>
      <w:r>
        <w:rPr>
          <w:rFonts w:ascii="Times New Roman" w:cs="Times New Roman" w:eastAsia="Times New Roman" w:hAnsi="Times New Roman"/>
          <w:sz w:val="24"/>
          <w:szCs w:val="24"/>
        </w:rPr>
        <w:t xml:space="preserve">The simulation platform comprises MATLAB R2024a with Simulink, Simscape Electrical (SimPowerSystems), and the Signal Processing Toolbox. The powergui block operates in Discrete mode with a fixed solver sample time of T_s = 10 µs (100 kHz), sufficient to capture high-frequency transients and the nonlinear magnetic behaviour of the transformer core and CT secondary circuits. The 10 µs solver time-step corresponds to 20 samples per cycle at 50 Hz at the solver level; the ToWorkspace blocks decimate to 1,600 Hz (sample time 625 µs) for relay algorithm development.</w:t>
      </w:r>
    </w:p>
    <w:p>
      <w:pPr>
        <w:spacing w:after="120" w:before="120" w:line="360" w:lineRule="auto"/>
        <w:ind w:firstLine="720"/>
        <w:jc w:val="both"/>
      </w:pPr>
      <w:r>
        <w:rPr>
          <w:rFonts w:ascii="Times New Roman" w:cs="Times New Roman" w:eastAsia="Times New Roman" w:hAnsi="Times New Roman"/>
          <w:sz w:val="24"/>
          <w:szCs w:val="24"/>
        </w:rPr>
        <w:t xml:space="preserve">The model is saved as TransformerWithCTSaturationz_DISCONNECTED.slx. A netlist audit conducted via the custom netlist.m script confirmed the exact block naming used by the automation scripts:</w:t>
      </w:r>
    </w:p>
    <w:p>
      <w:pPr>
        <w:pStyle w:val="ListParagraph"/>
        <w:numPr>
          <w:ilvl w:val="0"/>
          <w:numId w:val="2"/>
        </w:numPr>
        <w:spacing w:after="60" w:before="60"/>
      </w:pPr>
      <w:r>
        <w:rPr>
          <w:rFonts w:ascii="Times New Roman" w:cs="Times New Roman" w:eastAsia="Times New Roman" w:hAnsi="Times New Roman"/>
          <w:sz w:val="24"/>
          <w:szCs w:val="24"/>
        </w:rPr>
        <w:t xml:space="preserve">Internal_Fault1, Internal_Fault2, Internal_Fault3 — Three-Phase Fault blocks for the evolving fault sequence (A-G → AB-G → ABC-G).</w:t>
      </w:r>
    </w:p>
    <w:p>
      <w:pPr>
        <w:pStyle w:val="ListParagraph"/>
        <w:numPr>
          <w:ilvl w:val="0"/>
          <w:numId w:val="2"/>
        </w:numPr>
        <w:spacing w:after="60" w:before="60"/>
      </w:pPr>
      <w:r>
        <w:rPr>
          <w:rFonts w:ascii="Times New Roman" w:cs="Times New Roman" w:eastAsia="Times New Roman" w:hAnsi="Times New Roman"/>
          <w:sz w:val="24"/>
          <w:szCs w:val="24"/>
        </w:rPr>
        <w:t xml:space="preserve">External_Fault — Three-Phase Fault block for through-fault scenarios.</w:t>
      </w:r>
    </w:p>
    <w:p>
      <w:pPr>
        <w:pStyle w:val="ListParagraph"/>
        <w:numPr>
          <w:ilvl w:val="0"/>
          <w:numId w:val="2"/>
        </w:numPr>
        <w:spacing w:after="60" w:before="60"/>
      </w:pPr>
      <w:r>
        <w:rPr>
          <w:rFonts w:ascii="Times New Roman" w:cs="Times New Roman" w:eastAsia="Times New Roman" w:hAnsi="Times New Roman"/>
          <w:sz w:val="24"/>
          <w:szCs w:val="24"/>
        </w:rPr>
        <w:t xml:space="preserve">Step1, Step2 — Step blocks controlling the primary and secondary Three-Phase Breakers via External=on signal inputs (signal=1→closed, signal=0→open).</w:t>
      </w:r>
    </w:p>
    <w:p>
      <w:pPr>
        <w:pStyle w:val="ListParagraph"/>
        <w:numPr>
          <w:ilvl w:val="0"/>
          <w:numId w:val="2"/>
        </w:numPr>
        <w:spacing w:after="60" w:before="60"/>
      </w:pPr>
      <w:r>
        <w:rPr>
          <w:rFonts w:ascii="Times New Roman" w:cs="Times New Roman" w:eastAsia="Times New Roman" w:hAnsi="Times New Roman"/>
          <w:sz w:val="24"/>
          <w:szCs w:val="24"/>
        </w:rPr>
        <w:t xml:space="preserve">Step5 — Step block controlling the internal fault inception time.</w:t>
      </w:r>
    </w:p>
    <w:p>
      <w:pPr>
        <w:pStyle w:val="ListParagraph"/>
        <w:numPr>
          <w:ilvl w:val="0"/>
          <w:numId w:val="2"/>
        </w:numPr>
        <w:spacing w:after="60" w:before="60"/>
      </w:pPr>
      <w:r>
        <w:rPr>
          <w:rFonts w:ascii="Times New Roman" w:cs="Times New Roman" w:eastAsia="Times New Roman" w:hAnsi="Times New Roman"/>
          <w:sz w:val="24"/>
          <w:szCs w:val="24"/>
        </w:rPr>
        <w:t xml:space="preserve">Step4 — Step block controlling the external fault inception time.</w:t>
      </w:r>
    </w:p>
    <w:p>
      <w:pPr>
        <w:pStyle w:val="ListParagraph"/>
        <w:numPr>
          <w:ilvl w:val="0"/>
          <w:numId w:val="2"/>
        </w:numPr>
        <w:spacing w:after="60" w:before="60"/>
      </w:pPr>
      <w:r>
        <w:rPr>
          <w:rFonts w:ascii="Times New Roman" w:cs="Times New Roman" w:eastAsia="Times New Roman" w:hAnsi="Times New Roman"/>
          <w:sz w:val="24"/>
          <w:szCs w:val="24"/>
        </w:rPr>
        <w:t xml:space="preserve">Step_Evolve2, Step_Evolve3 — Step blocks triggering evolving fault stage 2 (B-G addition) and stage 3 (C addition).</w:t>
      </w:r>
    </w:p>
    <w:p>
      <w:pPr>
        <w:pStyle w:val="Heading2"/>
      </w:pPr>
      <w:r>
        <w:rPr>
          <w:rFonts w:ascii="Times New Roman" w:cs="Times New Roman" w:eastAsia="Times New Roman" w:hAnsi="Times New Roman"/>
          <w:b/>
          <w:bCs/>
          <w:color w:val="2E3A5C"/>
          <w:sz w:val="28"/>
          <w:szCs w:val="28"/>
        </w:rPr>
        <w:t xml:space="preserve">4.2  Transformer and Network Model</w:t>
      </w:r>
    </w:p>
    <w:p/>
    <w:p>
      <w:pPr>
        <w:spacing w:after="60" w:before="160"/>
        <w:jc w:val="center"/>
      </w:pPr>
      <w:r>
        <w:rPr>
          <w:rFonts w:ascii="Times New Roman" w:cs="Times New Roman" w:eastAsia="Times New Roman" w:hAnsi="Times New Roman"/>
          <w:b/>
          <w:bCs/>
          <w:sz w:val="22"/>
          <w:szCs w:val="22"/>
        </w:rPr>
        <w:t xml:space="preserve">Table 4.1: Transformer nameplate and equivalent circuit parameters.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Parameter</w:t>
            </w:r>
          </w:p>
        </w:tc>
        <w:tc>
          <w:tcPr>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Value</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Rated power</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300 MVA</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Rated voltage (HV/LV)</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230 kV / 11 kV</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Vector group</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Yd1 (30° lag)</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Core type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Three single-phase units</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HV winding resistance R₁</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0.0025 pu</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LV winding resistance R₂</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0.0025 pu</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Leakage inductance L₁ = L₂</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0.01 pu</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Magnetising resistance Rm</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500 pu</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Magnetising inductance Lm</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 (linear) — nonlinear in saturation model</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Saturation characteristic</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[0,0; 0.001,0.8; 0.01,1.15; 0.1,1.25; 1.0,1.3] (pu flux vs pu current)</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Full-load current HV (IFLA,HV)</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753.1 A</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Full-load current LV (IFLA,LV)</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15,746 A</w:t>
            </w:r>
          </w:p>
        </w:tc>
      </w:tr>
    </w:tbl>
    <w:p/>
    <w:p>
      <w:pPr>
        <w:spacing w:after="60" w:before="160"/>
        <w:jc w:val="center"/>
      </w:pPr>
      <w:r>
        <w:rPr>
          <w:rFonts w:ascii="Times New Roman" w:cs="Times New Roman" w:eastAsia="Times New Roman" w:hAnsi="Times New Roman"/>
          <w:b/>
          <w:bCs/>
          <w:sz w:val="22"/>
          <w:szCs w:val="22"/>
        </w:rPr>
        <w:t xml:space="preserve">Table 4.2: Current Transformer (CT) parameters.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763"/>
        <w:gridCol w:w="2763"/>
      </w:tblGrid>
      <w:tr>
        <w:tc>
          <w:tcPr>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Parameter</w:t>
            </w:r>
          </w:p>
        </w:tc>
        <w:tc>
          <w:tcPr>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HV Side (CT1–CT3)</w:t>
            </w:r>
          </w:p>
        </w:tc>
        <w:tc>
          <w:tcPr>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LV Side (CT4–CT6)</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CT ratio</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2000/5 A</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92000/5 A (nominal LV current)</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Rated burden</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25 VA</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25 VA</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Winding 1 (primary)</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5×(1/400) pu</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5×(11/92000) pu</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Saturation characteristic</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[0,0; 0.001,0.8; 0.01,1.15; 0.1,1.25; 1.0,1.3]</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Same</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Knee-point flux</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1.3 pu</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1.3 pu</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CT mismatch (normal)</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±7% (0.93–1.07 per channel)</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±7%</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CT mismatch (CTSat stress)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±15% (0.85–1.15 per channel)</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±15%</w:t>
            </w:r>
          </w:p>
        </w:tc>
      </w:tr>
    </w:tbl>
    <w:p/>
    <w:p>
      <w:pPr>
        <w:pStyle w:val="Heading2"/>
      </w:pPr>
      <w:r>
        <w:rPr>
          <w:rFonts w:ascii="Times New Roman" w:cs="Times New Roman" w:eastAsia="Times New Roman" w:hAnsi="Times New Roman"/>
          <w:b/>
          <w:bCs/>
          <w:color w:val="2E3A5C"/>
          <w:sz w:val="28"/>
          <w:szCs w:val="28"/>
        </w:rPr>
        <w:t xml:space="preserve">4.3  Automated Dataset Generation</w:t>
      </w:r>
    </w:p>
    <w:p>
      <w:pPr>
        <w:pStyle w:val="Heading3"/>
      </w:pPr>
      <w:r>
        <w:rPr>
          <w:rFonts w:ascii="Times New Roman" w:cs="Times New Roman" w:eastAsia="Times New Roman" w:hAnsi="Times New Roman"/>
          <w:b/>
          <w:bCs/>
          <w:color w:val="2F5496"/>
          <w:sz w:val="26"/>
          <w:szCs w:val="26"/>
        </w:rPr>
        <w:t xml:space="preserve">4.3.1  ControlPanel Architecture</w:t>
      </w:r>
    </w:p>
    <w:p>
      <w:pPr>
        <w:spacing w:after="120" w:before="120" w:line="360" w:lineRule="auto"/>
        <w:ind w:firstLine="720"/>
        <w:jc w:val="both"/>
      </w:pPr>
      <w:r>
        <w:rPr>
          <w:rFonts w:ascii="Times New Roman" w:cs="Times New Roman" w:eastAsia="Times New Roman" w:hAnsi="Times New Roman"/>
          <w:sz w:val="24"/>
          <w:szCs w:val="24"/>
        </w:rPr>
        <w:t xml:space="preserve">Dataset generation is automated through three complementary MATLAB control scripts:</w:t>
      </w:r>
    </w:p>
    <w:p>
      <w:pPr>
        <w:pStyle w:val="ListParagraph"/>
        <w:numPr>
          <w:ilvl w:val="0"/>
          <w:numId w:val="2"/>
        </w:numPr>
        <w:spacing w:after="60" w:before="60"/>
      </w:pPr>
      <w:r>
        <w:rPr>
          <w:rFonts w:ascii="Times New Roman" w:cs="Times New Roman" w:eastAsia="Times New Roman" w:hAnsi="Times New Roman"/>
          <w:sz w:val="24"/>
          <w:szCs w:val="24"/>
        </w:rPr>
        <w:t xml:space="preserve">ControlPanel_StressTest.m — The primary batch generator, covering 43 scenario types for the comprehensive stress-test dataset. Parameters are randomised for each sample using log-uniform Rf sampling, stratified angle sweep for inrush, and uniform noise/CT mismatch injection.</w:t>
      </w:r>
    </w:p>
    <w:p>
      <w:pPr>
        <w:pStyle w:val="ListParagraph"/>
        <w:numPr>
          <w:ilvl w:val="0"/>
          <w:numId w:val="2"/>
        </w:numPr>
        <w:spacing w:after="60" w:before="60"/>
      </w:pPr>
      <w:r>
        <w:rPr>
          <w:rFonts w:ascii="Times New Roman" w:cs="Times New Roman" w:eastAsia="Times New Roman" w:hAnsi="Times New Roman"/>
          <w:sz w:val="24"/>
          <w:szCs w:val="24"/>
        </w:rPr>
        <w:t xml:space="preserve">ControlPanel_Inrush.m — Dedicated inrush dataset generator with stratified voltage angle sweep (k-th sample in k-th equal bin of [0.10, 0.80] s) guaranteeing uniform angle coverage.</w:t>
      </w:r>
    </w:p>
    <w:p>
      <w:pPr>
        <w:pStyle w:val="ListParagraph"/>
        <w:numPr>
          <w:ilvl w:val="0"/>
          <w:numId w:val="2"/>
        </w:numPr>
        <w:spacing w:after="60" w:before="60"/>
      </w:pPr>
      <w:r>
        <w:rPr>
          <w:rFonts w:ascii="Times New Roman" w:cs="Times New Roman" w:eastAsia="Times New Roman" w:hAnsi="Times New Roman"/>
          <w:sz w:val="24"/>
          <w:szCs w:val="24"/>
        </w:rPr>
        <w:t xml:space="preserve">CombineAndExtractFeatures.m — Post-processing script that merges all raw .mat files, runs the 2-level db4 DWT feature extraction, applies log₁ₚ normalisation, and saves the combined tensor X_LSTM ∈ ℝ^{N×1569×9} with all metadata fields.</w:t>
      </w:r>
    </w:p>
    <w:p>
      <w:pPr>
        <w:spacing w:after="120" w:before="120" w:line="360" w:lineRule="auto"/>
        <w:ind w:firstLine="720"/>
        <w:jc w:val="both"/>
      </w:pPr>
      <w:r>
        <w:rPr>
          <w:rFonts w:ascii="Times New Roman" w:cs="Times New Roman" w:eastAsia="Times New Roman" w:hAnsi="Times New Roman"/>
          <w:sz w:val="24"/>
          <w:szCs w:val="24"/>
        </w:rPr>
        <w:t xml:space="preserve">The ControlPanel_StressTest.m script controls the Simulink model via set_param calls to Step1/Step2 (breaker timing), Step5 (internal fault inception), Step4 (external fault inception), and the Three-Phase Fault block parameters (FaultA, FaultB, FaultC, GroundFault, FaultResistance).</w:t>
      </w:r>
    </w:p>
    <w:p>
      <w:pPr>
        <w:pStyle w:val="Heading3"/>
      </w:pPr>
      <w:r>
        <w:rPr>
          <w:rFonts w:ascii="Times New Roman" w:cs="Times New Roman" w:eastAsia="Times New Roman" w:hAnsi="Times New Roman"/>
          <w:b/>
          <w:bCs/>
          <w:color w:val="2F5496"/>
          <w:sz w:val="26"/>
          <w:szCs w:val="26"/>
        </w:rPr>
        <w:t xml:space="preserve">4.3.2  Scenario Coverage (43 Types)</w:t>
      </w:r>
    </w:p>
    <w:p/>
    <w:p>
      <w:pPr>
        <w:spacing w:after="60" w:before="160"/>
        <w:jc w:val="center"/>
      </w:pPr>
      <w:r>
        <w:rPr>
          <w:rFonts w:ascii="Times New Roman" w:cs="Times New Roman" w:eastAsia="Times New Roman" w:hAnsi="Times New Roman"/>
          <w:b/>
          <w:bCs/>
          <w:sz w:val="22"/>
          <w:szCs w:val="22"/>
        </w:rPr>
        <w:t xml:space="preserve">Table 4.3: Comprehensive scenario types generated by ControlPanel_StressTest.m.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1500"/>
        <w:gridCol w:w="1200"/>
        <w:gridCol w:w="1326"/>
      </w:tblGrid>
      <w:tr>
        <w:tc>
          <w:tcPr>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Category</w:t>
            </w:r>
          </w:p>
        </w:tc>
        <w:tc>
          <w:tcPr>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Scenario Types</w:t>
            </w:r>
          </w:p>
        </w:tc>
        <w:tc>
          <w:tcPr>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Rf Range (Ω)</w:t>
            </w:r>
          </w:p>
        </w:tc>
        <w:tc>
          <w:tcPr>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shouldTrip</w:t>
            </w:r>
          </w:p>
        </w:tc>
        <w:tc>
          <w:tcPr>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Weight (%)</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Normal operation</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1 type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No</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10</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Inrush (no-load)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1 type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No</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6</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Inrush (loaded)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1 type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No</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4</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Internal Low-Z</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11 types (AG/BG/CG/ABG/BCG/ACG/AB/BC/AC/ABC/ABCG)</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0.01–2</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Yes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38</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Internal HiZ</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11 types (same fault types)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50–300</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Yes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18</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Internal Evolving</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1 type (A-G→AB-G→ABC-G)</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0.01–0.5</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Yes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4</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External Low-Z</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9 types (AG/BG/CG/ABG/BCG/ACG/AB/ABC/ABCG)</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0.01–5</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No</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21</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External HiZ</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3 types (AG/ABG/ABCG)</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20–100</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No</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6</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Stress: Fault-in-Inrush</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1 type (internal fault during inrush)</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0.01–1</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Yes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3</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Stress: Ext-in-Inrush</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1 type (external fault during inrush)</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0.01–5</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No</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2</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Stress: CT Saturation</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1 type (heavy noise + CT mismatch ±15%)</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0.01–0.1</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Yes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3</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Total</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43 scenario types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100</w:t>
            </w:r>
          </w:p>
        </w:tc>
      </w:tr>
    </w:tbl>
    <w:p/>
    <w:p>
      <w:pPr>
        <w:pStyle w:val="Heading3"/>
      </w:pPr>
      <w:r>
        <w:rPr>
          <w:rFonts w:ascii="Times New Roman" w:cs="Times New Roman" w:eastAsia="Times New Roman" w:hAnsi="Times New Roman"/>
          <w:b/>
          <w:bCs/>
          <w:color w:val="2F5496"/>
          <w:sz w:val="26"/>
          <w:szCs w:val="26"/>
        </w:rPr>
        <w:t xml:space="preserve">4.3.3  Parameter Randomisation</w:t>
      </w:r>
    </w:p>
    <w:p>
      <w:pPr>
        <w:spacing w:after="120" w:before="120" w:line="360" w:lineRule="auto"/>
        <w:ind w:firstLine="720"/>
        <w:jc w:val="both"/>
      </w:pPr>
      <w:r>
        <w:rPr>
          <w:rFonts w:ascii="Times New Roman" w:cs="Times New Roman" w:eastAsia="Times New Roman" w:hAnsi="Times New Roman"/>
          <w:sz w:val="24"/>
          <w:szCs w:val="24"/>
        </w:rPr>
        <w:t xml:space="preserve">Within each scenario type, per-sample parameters are randomised as follows:</w:t>
      </w:r>
    </w:p>
    <w:p>
      <w:pPr>
        <w:pStyle w:val="ListParagraph"/>
        <w:numPr>
          <w:ilvl w:val="0"/>
          <w:numId w:val="2"/>
        </w:numPr>
        <w:spacing w:after="60" w:before="60"/>
      </w:pPr>
      <w:r>
        <w:rPr>
          <w:rFonts w:ascii="Times New Roman" w:cs="Times New Roman" w:eastAsia="Times New Roman" w:hAnsi="Times New Roman"/>
          <w:sz w:val="24"/>
          <w:szCs w:val="24"/>
        </w:rPr>
        <w:t xml:space="preserve">Fault resistance: log-uniform sampling within scenario range — Rf = 10^(log₁₀(Rf,lo) + (log₁₀(Rf,hi) − log₁₀(Rf,lo)) × U[0,1]) — ensuring equal sample density in logarithmic space for both low-Z and high-Z regimes.</w:t>
      </w:r>
    </w:p>
    <w:p>
      <w:pPr>
        <w:pStyle w:val="ListParagraph"/>
        <w:numPr>
          <w:ilvl w:val="0"/>
          <w:numId w:val="2"/>
        </w:numPr>
        <w:spacing w:after="60" w:before="60"/>
      </w:pPr>
      <w:r>
        <w:rPr>
          <w:rFonts w:ascii="Times New Roman" w:cs="Times New Roman" w:eastAsia="Times New Roman" w:hAnsi="Times New Roman"/>
          <w:sz w:val="24"/>
          <w:szCs w:val="24"/>
        </w:rPr>
        <w:t xml:space="preserve">Fault inception time: uniform sampling in [0.30, 0.75] s for fault scenarios.</w:t>
      </w:r>
    </w:p>
    <w:p>
      <w:pPr>
        <w:pStyle w:val="ListParagraph"/>
        <w:numPr>
          <w:ilvl w:val="0"/>
          <w:numId w:val="2"/>
        </w:numPr>
        <w:spacing w:after="60" w:before="60"/>
      </w:pPr>
      <w:r>
        <w:rPr>
          <w:rFonts w:ascii="Times New Roman" w:cs="Times New Roman" w:eastAsia="Times New Roman" w:hAnsi="Times New Roman"/>
          <w:sz w:val="24"/>
          <w:szCs w:val="24"/>
        </w:rPr>
        <w:t xml:space="preserve">Inrush energisation time: stratified sweep in [0.10, 0.80] s (k-th sample in k-th bin of N equal bins), guaranteeing uniform voltage angle coverage.</w:t>
      </w:r>
    </w:p>
    <w:p>
      <w:pPr>
        <w:pStyle w:val="ListParagraph"/>
        <w:numPr>
          <w:ilvl w:val="0"/>
          <w:numId w:val="2"/>
        </w:numPr>
        <w:spacing w:after="60" w:before="60"/>
      </w:pPr>
      <w:r>
        <w:rPr>
          <w:rFonts w:ascii="Times New Roman" w:cs="Times New Roman" w:eastAsia="Times New Roman" w:hAnsi="Times New Roman"/>
          <w:sz w:val="24"/>
          <w:szCs w:val="24"/>
        </w:rPr>
        <w:t xml:space="preserve">Noise level: uniform in [0.003, 0.15] for standard scenarios; [0.10, 0.25] for CT saturation stress.</w:t>
      </w:r>
    </w:p>
    <w:p>
      <w:pPr>
        <w:pStyle w:val="ListParagraph"/>
        <w:numPr>
          <w:ilvl w:val="0"/>
          <w:numId w:val="2"/>
        </w:numPr>
        <w:spacing w:after="60" w:before="60"/>
      </w:pPr>
      <w:r>
        <w:rPr>
          <w:rFonts w:ascii="Times New Roman" w:cs="Times New Roman" w:eastAsia="Times New Roman" w:hAnsi="Times New Roman"/>
          <w:sz w:val="24"/>
          <w:szCs w:val="24"/>
        </w:rPr>
        <w:t xml:space="preserve">CT gain mismatch: 6-channel vector, each channel uniform in [0.93, 1.07] for standard scenarios; [0.85, 1.15] for CT saturation stress.</w:t>
      </w:r>
    </w:p>
    <w:p>
      <w:pPr>
        <w:pStyle w:val="Heading3"/>
      </w:pPr>
      <w:r>
        <w:rPr>
          <w:rFonts w:ascii="Times New Roman" w:cs="Times New Roman" w:eastAsia="Times New Roman" w:hAnsi="Times New Roman"/>
          <w:b/>
          <w:bCs/>
          <w:color w:val="2F5496"/>
          <w:sz w:val="26"/>
          <w:szCs w:val="26"/>
        </w:rPr>
        <w:t xml:space="preserve">4.3.4  Post-Generation Verification</w:t>
      </w:r>
    </w:p>
    <w:p>
      <w:pPr>
        <w:spacing w:after="120" w:before="120" w:line="360" w:lineRule="auto"/>
        <w:ind w:firstLine="720"/>
        <w:jc w:val="both"/>
      </w:pPr>
      <w:r>
        <w:rPr>
          <w:rFonts w:ascii="Times New Roman" w:cs="Times New Roman" w:eastAsia="Times New Roman" w:hAnsi="Times New Roman"/>
          <w:sz w:val="24"/>
          <w:szCs w:val="24"/>
        </w:rPr>
        <w:t xml:space="preserve">After each batch generation, CombineAndExtractFeatures.m performs automatic verification: per-scenario sample counts vs. targets, trip rate per zone (expected: Normal=0, Inrush=0, Internal=1, External=0), Kolmogorov-Smirnov test for log-uniform Rf distribution (p &gt; 0.05 required), and χ²(7) test for inception angle uniformity. The metadata struct includes 18+ per-sample fields: zone, faultType, scenarioName, shouldTrip, faultResistance, inceptionAngle, inceptionTime, energisationTime, noiseLevel, ctMismatchMean, secondaryMode, simulationStatus, and five derived boolean flags (isHiZ, isStress, isEvolving, isFaultInInrush, isExtInInrush) for parameter-wise post-hoc analysis.</w:t>
      </w:r>
    </w:p>
    <w:p/>
    <w:p>
      <w:pPr>
        <w:spacing w:after="60" w:before="160"/>
        <w:jc w:val="center"/>
      </w:pPr>
      <w:r>
        <w:rPr>
          <w:rFonts w:ascii="Times New Roman" w:cs="Times New Roman" w:eastAsia="Times New Roman" w:hAnsi="Times New Roman"/>
          <w:b/>
          <w:bCs/>
          <w:sz w:val="22"/>
          <w:szCs w:val="22"/>
        </w:rPr>
        <w:t xml:space="preserve">Table 4.4: Dataset summary: sample counts by zone and label (after generation).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700"/>
        <w:gridCol w:w="1700"/>
        <w:gridCol w:w="1926"/>
      </w:tblGrid>
      <w:tr>
        <w:tc>
          <w:tcPr>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Zone</w:t>
            </w:r>
          </w:p>
        </w:tc>
        <w:tc>
          <w:tcPr>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No-Trip (0)</w:t>
            </w:r>
          </w:p>
        </w:tc>
        <w:tc>
          <w:tcPr>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Trip (1)</w:t>
            </w:r>
          </w:p>
        </w:tc>
        <w:tc>
          <w:tcPr>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Total</w:t>
            </w:r>
          </w:p>
        </w:tc>
        <w:tc>
          <w:tcPr>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 of Dataset</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Normal</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Inrush</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Internal</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External (Low-Z)</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External (HiZ)</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Stress scenarios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TOTAL</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100%</w:t>
            </w:r>
          </w:p>
        </w:tc>
      </w:tr>
    </w:tbl>
    <w:p/>
    <w:p>
      <w:pPr>
        <w:spacing w:after="120" w:before="120" w:line="360" w:lineRule="auto"/>
        <w:ind w:firstLine="720"/>
        <w:jc w:val="both"/>
      </w:pPr>
      <w:r>
        <w:rPr>
          <w:rFonts w:ascii="Times New Roman" w:cs="Times New Roman" w:eastAsia="Times New Roman" w:hAnsi="Times New Roman"/>
          <w:sz w:val="24"/>
          <w:szCs w:val="24"/>
        </w:rPr>
        <w:t xml:space="preserve">Note: Values marked [TBD] are to be filled from the actual ControlPanel_StressTest.m batch generation run. The recommended minimum dataset size for robust training is 8,000–15,000 total samples with at least 200 samples per HiZ scenario type.</w:t>
      </w:r>
    </w:p>
    <w:p>
      <w:pPr>
        <w:pStyle w:val="Heading2"/>
      </w:pPr>
      <w:r>
        <w:rPr>
          <w:rFonts w:ascii="Times New Roman" w:cs="Times New Roman" w:eastAsia="Times New Roman" w:hAnsi="Times New Roman"/>
          <w:b/>
          <w:bCs/>
          <w:color w:val="2E3A5C"/>
          <w:sz w:val="28"/>
          <w:szCs w:val="28"/>
        </w:rPr>
        <w:t xml:space="preserve">4.4  Representative Simulation Waveforms</w:t>
      </w:r>
    </w:p>
    <w:p>
      <w:pPr>
        <w:pBdr>
          <w:top w:val="dashed" w:color="999999" w:sz="1"/>
          <w:left w:val="dashed" w:color="999999" w:sz="1"/>
          <w:bottom w:val="dashed" w:color="999999" w:sz="1"/>
          <w:right w:val="dashed" w:color="999999" w:sz="1"/>
        </w:pBdr>
        <w:spacing w:after="60" w:before="200"/>
        <w:jc w:val="center"/>
      </w:pPr>
      <w:r>
        <w:rPr>
          <w:rFonts w:ascii="Arial" w:cs="Arial" w:eastAsia="Arial" w:hAnsi="Arial"/>
          <w:i/>
          <w:iCs/>
          <w:color w:val="888888"/>
          <w:sz w:val="22"/>
          <w:szCs w:val="22"/>
        </w:rPr>
        <w:t xml:space="preserve">[ FIGURE 4.1 — INSERT FIGURE HERE ]</w:t>
      </w:r>
    </w:p>
    <w:p>
      <w:pPr>
        <w:spacing w:after="160" w:before="80"/>
        <w:jc w:val="center"/>
      </w:pPr>
      <w:r>
        <w:rPr>
          <w:rFonts w:ascii="Times New Roman" w:cs="Times New Roman" w:eastAsia="Times New Roman" w:hAnsi="Times New Roman"/>
          <w:i/>
          <w:iCs/>
          <w:color w:val="444444"/>
          <w:sz w:val="22"/>
          <w:szCs w:val="22"/>
        </w:rPr>
        <w:t xml:space="preserve">Figure 4.1: Three-phase differential current waveforms for representative scenarios: (a) Normal operation, (b) No-load inrush at 0° voltage angle, (c) Internal AG fault (Rf = 0.1 Ω), (d) Internal HiZ AG fault (Rf = 100 Ω), (e) External ABG fault with CT saturation, (f) Fault-during-inrush. Sampling rate: 1,600 Hz.</w:t>
      </w:r>
    </w:p>
    <w:p>
      <w:pPr>
        <w:pBdr>
          <w:top w:val="dashed" w:color="999999" w:sz="1"/>
          <w:left w:val="dashed" w:color="999999" w:sz="1"/>
          <w:bottom w:val="dashed" w:color="999999" w:sz="1"/>
          <w:right w:val="dashed" w:color="999999" w:sz="1"/>
        </w:pBdr>
        <w:spacing w:after="60" w:before="200"/>
        <w:jc w:val="center"/>
      </w:pPr>
      <w:r>
        <w:rPr>
          <w:rFonts w:ascii="Arial" w:cs="Arial" w:eastAsia="Arial" w:hAnsi="Arial"/>
          <w:i/>
          <w:iCs/>
          <w:color w:val="888888"/>
          <w:sz w:val="22"/>
          <w:szCs w:val="22"/>
        </w:rPr>
        <w:t xml:space="preserve">[ FIGURE 4.2 — INSERT FIGURE HERE ]</w:t>
      </w:r>
    </w:p>
    <w:p>
      <w:pPr>
        <w:spacing w:after="160" w:before="80"/>
        <w:jc w:val="center"/>
      </w:pPr>
      <w:r>
        <w:rPr>
          <w:rFonts w:ascii="Times New Roman" w:cs="Times New Roman" w:eastAsia="Times New Roman" w:hAnsi="Times New Roman"/>
          <w:i/>
          <w:iCs/>
          <w:color w:val="444444"/>
          <w:sz w:val="22"/>
          <w:szCs w:val="22"/>
        </w:rPr>
        <w:t xml:space="preserve">Figure 4.2: DWT feature evolution over time for an internal fault event: nine energy features [E_D1, E_D2, E_A2] × [Phase A, B, C] over 1,569 timesteps. Fault inception at t ≈ 0.4 s produces a sharp rise in D1 (400–800 Hz transient) followed by sustained elevation in D2 and A2 bands.</w:t>
      </w:r>
    </w:p>
    <w:p>
      <w:r>
        <w:br w:type="page"/>
      </w:r>
    </w:p>
    <w:p>
      <w:pPr>
        <w:pStyle w:val="Heading1"/>
        <w:pageBreakBefore/>
      </w:pPr>
      <w:r>
        <w:rPr>
          <w:rFonts w:ascii="Times New Roman" w:cs="Times New Roman" w:eastAsia="Times New Roman" w:hAnsi="Times New Roman"/>
          <w:b/>
          <w:bCs/>
          <w:color w:val="1F3864"/>
          <w:sz w:val="32"/>
          <w:szCs w:val="32"/>
        </w:rPr>
        <w:t xml:space="preserve">Chapter 5: Proposed DWT-BiLSTM Methodology</w:t>
      </w:r>
    </w:p>
    <w:p>
      <w:pPr>
        <w:pStyle w:val="Heading2"/>
      </w:pPr>
      <w:r>
        <w:rPr>
          <w:rFonts w:ascii="Times New Roman" w:cs="Times New Roman" w:eastAsia="Times New Roman" w:hAnsi="Times New Roman"/>
          <w:b/>
          <w:bCs/>
          <w:color w:val="2E3A5C"/>
          <w:sz w:val="28"/>
          <w:szCs w:val="28"/>
        </w:rPr>
        <w:t xml:space="preserve">5.1  Framework Architecture Overview</w:t>
      </w:r>
    </w:p>
    <w:p>
      <w:pPr>
        <w:spacing w:after="120" w:before="120" w:line="360" w:lineRule="auto"/>
        <w:ind w:firstLine="720"/>
        <w:jc w:val="both"/>
      </w:pPr>
      <w:r>
        <w:rPr>
          <w:rFonts w:ascii="Times New Roman" w:cs="Times New Roman" w:eastAsia="Times New Roman" w:hAnsi="Times New Roman"/>
          <w:sz w:val="24"/>
          <w:szCs w:val="24"/>
        </w:rPr>
        <w:t xml:space="preserve">The proposed Hybrid Adaptive Transformer Differential Protection (HATDP) framework follows a two-step architecture. Step 1 (MATLAB/Simulink) encompasses the physical power system simulation, automated dataset generation with ControlPanel_StressTest.m, and offline DWT feature extraction via CombineAndExtractFeatures.m. Step 2 (Python/PyTorch) encompasses BiLSTM model training with Optuna HPO and 5-fold cross-validation, ONNX export, and Simulink Predict block integration for real-time relay validation.</w:t>
      </w:r>
    </w:p>
    <w:p>
      <w:pPr>
        <w:pBdr>
          <w:top w:val="dashed" w:color="999999" w:sz="1"/>
          <w:left w:val="dashed" w:color="999999" w:sz="1"/>
          <w:bottom w:val="dashed" w:color="999999" w:sz="1"/>
          <w:right w:val="dashed" w:color="999999" w:sz="1"/>
        </w:pBdr>
        <w:spacing w:after="60" w:before="200"/>
        <w:jc w:val="center"/>
      </w:pPr>
      <w:r>
        <w:rPr>
          <w:rFonts w:ascii="Arial" w:cs="Arial" w:eastAsia="Arial" w:hAnsi="Arial"/>
          <w:i/>
          <w:iCs/>
          <w:color w:val="888888"/>
          <w:sz w:val="22"/>
          <w:szCs w:val="22"/>
        </w:rPr>
        <w:t xml:space="preserve">[ FIGURE 5.1 — INSERT FIGURE HERE ]</w:t>
      </w:r>
    </w:p>
    <w:p>
      <w:pPr>
        <w:spacing w:after="160" w:before="80"/>
        <w:jc w:val="center"/>
      </w:pPr>
      <w:r>
        <w:rPr>
          <w:rFonts w:ascii="Times New Roman" w:cs="Times New Roman" w:eastAsia="Times New Roman" w:hAnsi="Times New Roman"/>
          <w:i/>
          <w:iCs/>
          <w:color w:val="444444"/>
          <w:sz w:val="22"/>
          <w:szCs w:val="22"/>
        </w:rPr>
        <w:t xml:space="preserve">Figure 5.1: Complete HATDP framework block diagram: MATLAB/Simulink simulation model → ControlPanel_StressTest.m batch generation → CombineAndExtractFeatures.m DWT extraction → Python/PyTorch training with Optuna HPO → ONNX export → Simulink Predict block → hybrid 87T+BiLSTM relay decision.</w:t>
      </w:r>
    </w:p>
    <w:p/>
    <w:p>
      <w:pPr>
        <w:spacing w:after="60" w:before="160"/>
        <w:jc w:val="center"/>
      </w:pPr>
      <w:r>
        <w:rPr>
          <w:rFonts w:ascii="Times New Roman" w:cs="Times New Roman" w:eastAsia="Times New Roman" w:hAnsi="Times New Roman"/>
          <w:b/>
          <w:bCs/>
          <w:sz w:val="22"/>
          <w:szCs w:val="22"/>
        </w:rPr>
        <w:t xml:space="preserve">Table 5.1: Data pipeline summary from MATLAB to Simulink deployment.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200"/>
        <w:gridCol w:w="2226"/>
      </w:tblGrid>
      <w:tr>
        <w:tc>
          <w:tcPr>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Stage</w:t>
            </w:r>
          </w:p>
        </w:tc>
        <w:tc>
          <w:tcPr>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Tool</w:t>
            </w:r>
          </w:p>
        </w:tc>
        <w:tc>
          <w:tcPr>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Data Format</w:t>
            </w:r>
          </w:p>
        </w:tc>
        <w:tc>
          <w:tcPr>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Dimensions / Notes</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1. Simulation</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MATLAB/Simulink R2024a</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3-phase I_primary_abc, I_secondary_abc</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T=1601 samples, 1600 Hz</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2. Batch generation</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ControlPanel_StressTest.m</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StressTestDataset_*.mat</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43 scenario types, 18+ metadata fields</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3. DWT extraction</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CombineAndExtractFeatures.m</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X_LSTM in .mat (v7.3)</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N×1569×9, log1p-normalised</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4. Training</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Python/PyTorch + Optuna</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In-memory tensors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Scenario-stratified 5-fold CV</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5. ONNX export</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torch.onnx.export (Opset 14)</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BiLSTM_relay.onnx</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Stateless inference graph</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6. Deployment</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importNetworkFromONNX + Predict block</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Real-time Simulink signal</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Latency &lt; 0.74 ms at 1600 Hz</w:t>
            </w:r>
          </w:p>
        </w:tc>
      </w:tr>
    </w:tbl>
    <w:p/>
    <w:p>
      <w:pPr>
        <w:pStyle w:val="Heading2"/>
      </w:pPr>
      <w:r>
        <w:rPr>
          <w:rFonts w:ascii="Times New Roman" w:cs="Times New Roman" w:eastAsia="Times New Roman" w:hAnsi="Times New Roman"/>
          <w:b/>
          <w:bCs/>
          <w:color w:val="2E3A5C"/>
          <w:sz w:val="28"/>
          <w:szCs w:val="28"/>
        </w:rPr>
        <w:t xml:space="preserve">5.2  DWT Feature Extraction</w:t>
      </w:r>
    </w:p>
    <w:p>
      <w:pPr>
        <w:pStyle w:val="Heading3"/>
      </w:pPr>
      <w:r>
        <w:rPr>
          <w:rFonts w:ascii="Times New Roman" w:cs="Times New Roman" w:eastAsia="Times New Roman" w:hAnsi="Times New Roman"/>
          <w:b/>
          <w:bCs/>
          <w:color w:val="2F5496"/>
          <w:sz w:val="26"/>
          <w:szCs w:val="26"/>
        </w:rPr>
        <w:t xml:space="preserve">5.2.1  Mother Wavelet Selection and Decomposition Level</w:t>
      </w:r>
    </w:p>
    <w:p>
      <w:pPr>
        <w:spacing w:after="120" w:before="120" w:line="360" w:lineRule="auto"/>
        <w:ind w:firstLine="720"/>
        <w:jc w:val="both"/>
      </w:pPr>
      <w:r>
        <w:rPr>
          <w:rFonts w:ascii="Times New Roman" w:cs="Times New Roman" w:eastAsia="Times New Roman" w:hAnsi="Times New Roman"/>
          <w:sz w:val="24"/>
          <w:szCs w:val="24"/>
        </w:rPr>
        <w:t xml:space="preserve">The Daubechies-4 (db4) mother wavelet is selected for this application for four reasons. First, db4 has four vanishing moments, meaning it produces zero coefficients for polynomial signals up to degree 3, suppressing the smooth 50 Hz sinusoidal steady-state signal and emphasising transient departures. Second, its compact support of L = 8 filter coefficients (4.375 ms at 1,600 Hz) matches the temporal duration of fault inception transients in the differential current. Third, db4 is orthogonal, preserving energy across decomposition levels (Parseval's theorem applies exactly). Fourth, morphological studies of db4 and power system transients consistently show superior discrimination compared to Haar, sym4, and coif2 wavelets for fault detection applications.</w:t>
      </w:r>
    </w:p>
    <w:p>
      <w:pPr>
        <w:spacing w:after="120" w:before="120" w:line="360" w:lineRule="auto"/>
        <w:ind w:firstLine="720"/>
        <w:jc w:val="both"/>
      </w:pPr>
      <w:r>
        <w:rPr>
          <w:rFonts w:ascii="Times New Roman" w:cs="Times New Roman" w:eastAsia="Times New Roman" w:hAnsi="Times New Roman"/>
          <w:sz w:val="24"/>
          <w:szCs w:val="24"/>
        </w:rPr>
        <w:t xml:space="preserve">A two-level decomposition is selected based on the frequency allocation at 1,600 Hz sampling: Level 1 isolates the 400–800 Hz band (D1), capturing the highest-frequency fault inception transients. Level 2 isolates the 200–400 Hz band (D2), capturing second and fourth harmonic components discriminating inrush from faults. The approximation at level 2 (A2, 0–200 Hz) retains the fundamental frequency and first harmonic, providing baseline differential current magnitude information. A three-level decomposition was evaluated (Section 6.2) but found to provide marginal accuracy improvement over two levels while increasing the feature computation cost.</w:t>
      </w:r>
    </w:p>
    <w:p>
      <w:pPr>
        <w:pStyle w:val="Heading3"/>
      </w:pPr>
      <w:r>
        <w:rPr>
          <w:rFonts w:ascii="Times New Roman" w:cs="Times New Roman" w:eastAsia="Times New Roman" w:hAnsi="Times New Roman"/>
          <w:b/>
          <w:bCs/>
          <w:color w:val="2F5496"/>
          <w:sz w:val="26"/>
          <w:szCs w:val="26"/>
        </w:rPr>
        <w:t xml:space="preserve">5.2.2  Nine-Feature Vector and Normalisation</w:t>
      </w:r>
    </w:p>
    <w:p>
      <w:pPr>
        <w:spacing w:after="120" w:before="120" w:line="360" w:lineRule="auto"/>
        <w:ind w:firstLine="720"/>
        <w:jc w:val="both"/>
      </w:pPr>
      <w:r>
        <w:rPr>
          <w:rFonts w:ascii="Times New Roman" w:cs="Times New Roman" w:eastAsia="Times New Roman" w:hAnsi="Times New Roman"/>
          <w:sz w:val="24"/>
          <w:szCs w:val="24"/>
        </w:rPr>
        <w:t xml:space="preserve">For each 32-sample window, nine features are computed using Equation 3.3. The use of three phases rather than aggregating across phases is critical: asymmetric faults (single-phase, phase-to-phase) produce characteristic inter-phase energy differences that the per-phase feature set captures explicitly. The log₁ₚ normalisation compresses the dynamic range from approximately five orders of magnitude in raw energies to under two orders of magnitude in normalised features, enabling stable gradient-based optimisation.</w:t>
      </w:r>
    </w:p>
    <w:p>
      <w:pPr>
        <w:pBdr>
          <w:top w:val="dashed" w:color="999999" w:sz="1"/>
          <w:left w:val="dashed" w:color="999999" w:sz="1"/>
          <w:bottom w:val="dashed" w:color="999999" w:sz="1"/>
          <w:right w:val="dashed" w:color="999999" w:sz="1"/>
        </w:pBdr>
        <w:spacing w:after="60" w:before="200"/>
        <w:jc w:val="center"/>
      </w:pPr>
      <w:r>
        <w:rPr>
          <w:rFonts w:ascii="Arial" w:cs="Arial" w:eastAsia="Arial" w:hAnsi="Arial"/>
          <w:i/>
          <w:iCs/>
          <w:color w:val="888888"/>
          <w:sz w:val="22"/>
          <w:szCs w:val="22"/>
        </w:rPr>
        <w:t xml:space="preserve">[ FIGURE 5.2 — INSERT FIGURE HERE ]</w:t>
      </w:r>
    </w:p>
    <w:p>
      <w:pPr>
        <w:spacing w:after="160" w:before="80"/>
        <w:jc w:val="center"/>
      </w:pPr>
      <w:r>
        <w:rPr>
          <w:rFonts w:ascii="Times New Roman" w:cs="Times New Roman" w:eastAsia="Times New Roman" w:hAnsi="Times New Roman"/>
          <w:i/>
          <w:iCs/>
          <w:color w:val="444444"/>
          <w:sz w:val="22"/>
          <w:szCs w:val="22"/>
        </w:rPr>
        <w:t xml:space="preserve">Figure 5.2: DWT feature distribution across operating conditions. Box plots of nine normalised energy features [E_D1_A, E_D2_A, E_A2_A, E_D1_B, E_D2_B, E_A2_B, E_D1_C, E_D2_C, E_A2_C] for Normal, Inrush, Internal fault, and External fault classes. INSERT from cell-dataset-analysis output.</w:t>
      </w:r>
    </w:p>
    <w:p>
      <w:pPr>
        <w:pStyle w:val="Heading2"/>
      </w:pPr>
      <w:r>
        <w:rPr>
          <w:rFonts w:ascii="Times New Roman" w:cs="Times New Roman" w:eastAsia="Times New Roman" w:hAnsi="Times New Roman"/>
          <w:b/>
          <w:bCs/>
          <w:color w:val="2E3A5C"/>
          <w:sz w:val="28"/>
          <w:szCs w:val="28"/>
        </w:rPr>
        <w:t xml:space="preserve">5.3  BiLSTM Architecture</w:t>
      </w:r>
    </w:p>
    <w:p>
      <w:pPr>
        <w:spacing w:after="120" w:before="120" w:line="360" w:lineRule="auto"/>
        <w:ind w:firstLine="720"/>
        <w:jc w:val="both"/>
      </w:pPr>
      <w:r>
        <w:rPr>
          <w:rFonts w:ascii="Times New Roman" w:cs="Times New Roman" w:eastAsia="Times New Roman" w:hAnsi="Times New Roman"/>
          <w:sz w:val="24"/>
          <w:szCs w:val="24"/>
        </w:rPr>
        <w:t xml:space="preserve">The BiLSTM classifier is implemented in PyTorch as the class TransformerProtectionLSTM with the following architecture:</w:t>
      </w:r>
    </w:p>
    <w:p/>
    <w:p>
      <w:pPr>
        <w:spacing w:after="60" w:before="160"/>
        <w:jc w:val="center"/>
      </w:pPr>
      <w:r>
        <w:rPr>
          <w:rFonts w:ascii="Times New Roman" w:cs="Times New Roman" w:eastAsia="Times New Roman" w:hAnsi="Times New Roman"/>
          <w:b/>
          <w:bCs/>
          <w:sz w:val="22"/>
          <w:szCs w:val="22"/>
        </w:rPr>
        <w:t xml:space="preserve">Table 5.2: BiLSTM architecture components and parameter counts.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526"/>
      </w:tblGrid>
      <w:tr>
        <w:tc>
          <w:tcPr>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Layer</w:t>
            </w:r>
          </w:p>
        </w:tc>
        <w:tc>
          <w:tcPr>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Description</w:t>
            </w:r>
          </w:p>
        </w:tc>
        <w:tc>
          <w:tcPr>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Parameters (approx.)</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BiLSTM (layer 1)</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Bidirectional, hidden_size d_h, input 9</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4d_h(9+d_h+1) × 2 directions</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LayerNorm</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Applied to concatenated BiLSTM output (2d_h)</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2×(2d_h) = 4d_h</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BiLSTM (layer 2)</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Bidirectional, hidden_size d_h, input 2d_h</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4d_h(2d_h+d_h+1) × 2 directions</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LayerNorm</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Applied to layer-2 output</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4d_h</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Temporal Attention</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Linear(2d_h → 1) + softmax over 1569 steps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2d_h + 1</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Classifier head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Linear(2d_h → 1) → BCEWithLogitsLoss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2d_h + 1</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Total</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Depends on d_h from Optuna (search: {64,128,256})</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 from HPO]</w:t>
            </w:r>
          </w:p>
        </w:tc>
      </w:tr>
    </w:tbl>
    <w:p/>
    <w:p>
      <w:pPr>
        <w:spacing w:after="120" w:before="120" w:line="360" w:lineRule="auto"/>
        <w:ind w:firstLine="720"/>
        <w:jc w:val="both"/>
      </w:pPr>
      <w:r>
        <w:rPr>
          <w:rFonts w:ascii="Times New Roman" w:cs="Times New Roman" w:eastAsia="Times New Roman" w:hAnsi="Times New Roman"/>
          <w:sz w:val="24"/>
          <w:szCs w:val="24"/>
        </w:rPr>
        <w:t xml:space="preserve">Dropout is applied between LSTM layers (rate from Optuna search [0.10, 0.50]). The bidirectional architecture captures both causal (left-to-right) and anti-causal (right-to-left) temporal patterns, which is particularly valuable for detecting the characteristic temporal asymmetry of inrush currents and the progressive energy redistribution during evolving faults.</w:t>
      </w:r>
    </w:p>
    <w:p>
      <w:pPr>
        <w:pStyle w:val="Heading2"/>
      </w:pPr>
      <w:r>
        <w:rPr>
          <w:rFonts w:ascii="Times New Roman" w:cs="Times New Roman" w:eastAsia="Times New Roman" w:hAnsi="Times New Roman"/>
          <w:b/>
          <w:bCs/>
          <w:color w:val="2E3A5C"/>
          <w:sz w:val="28"/>
          <w:szCs w:val="28"/>
        </w:rPr>
        <w:t xml:space="preserve">5.4  Training Pipeline</w:t>
      </w:r>
    </w:p>
    <w:p>
      <w:pPr>
        <w:pStyle w:val="Heading3"/>
      </w:pPr>
      <w:r>
        <w:rPr>
          <w:rFonts w:ascii="Times New Roman" w:cs="Times New Roman" w:eastAsia="Times New Roman" w:hAnsi="Times New Roman"/>
          <w:b/>
          <w:bCs/>
          <w:color w:val="2F5496"/>
          <w:sz w:val="26"/>
          <w:szCs w:val="26"/>
        </w:rPr>
        <w:t xml:space="preserve">5.4.1  Optuna Bayesian Hyperparameter Optimisation</w:t>
      </w:r>
    </w:p>
    <w:p>
      <w:pPr>
        <w:spacing w:after="120" w:before="120" w:line="360" w:lineRule="auto"/>
        <w:ind w:firstLine="720"/>
        <w:jc w:val="both"/>
      </w:pPr>
      <w:r>
        <w:rPr>
          <w:rFonts w:ascii="Times New Roman" w:cs="Times New Roman" w:eastAsia="Times New Roman" w:hAnsi="Times New Roman"/>
          <w:sz w:val="24"/>
          <w:szCs w:val="24"/>
        </w:rPr>
        <w:t xml:space="preserve">Manual hyperparameter selection is replaced by Bayesian optimisation using the Optuna framework (Tree-structured Parzen Estimator sampler, Median pruner). The HPO objective function trains a model for up to 25 epochs on an 80/20 within-training stratified split and returns the best validation AUC-ROC. The search space is:</w:t>
      </w:r>
    </w:p>
    <w:p/>
    <w:p>
      <w:pPr>
        <w:spacing w:after="60" w:before="160"/>
        <w:jc w:val="center"/>
      </w:pPr>
      <w:r>
        <w:rPr>
          <w:rFonts w:ascii="Times New Roman" w:cs="Times New Roman" w:eastAsia="Times New Roman" w:hAnsi="Times New Roman"/>
          <w:b/>
          <w:bCs/>
          <w:sz w:val="22"/>
          <w:szCs w:val="22"/>
        </w:rPr>
        <w:t xml:space="preserve">Table 5.3: Optuna hyperparameter search space and selected configuration.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2500"/>
        <w:gridCol w:w="2526"/>
      </w:tblGrid>
      <w:tr>
        <w:tc>
          <w:tcPr>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Hyperparameter</w:t>
            </w:r>
          </w:p>
        </w:tc>
        <w:tc>
          <w:tcPr>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Type</w:t>
            </w:r>
          </w:p>
        </w:tc>
        <w:tc>
          <w:tcPr>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Search Range / Options</w:t>
            </w:r>
          </w:p>
        </w:tc>
        <w:tc>
          <w:tcPr>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Selected Value</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hidden_size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Categorical</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{64, 128, 256}</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num_layers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Integer</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[1, 3]</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dropout</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Float (uniform)</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[0.10, 0.50]</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bidirectional</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Categorical</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{True, False}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lr (learning rate)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Float (log-uniform)</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[1×10⁻⁴, 1×10⁻²]</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batch_size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Categorical</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{16, 32, 64}</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weight_decay</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Float (log-uniform)</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[1×10⁻⁵, 1×10⁻²]</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Best val AUC-ROC</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50 trials, TPE sampler</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r>
    </w:tbl>
    <w:p/>
    <w:p>
      <w:pPr>
        <w:spacing w:after="120" w:before="120" w:line="360" w:lineRule="auto"/>
        <w:ind w:firstLine="720"/>
        <w:jc w:val="both"/>
      </w:pPr>
      <w:r>
        <w:rPr>
          <w:rFonts w:ascii="Times New Roman" w:cs="Times New Roman" w:eastAsia="Times New Roman" w:hAnsi="Times New Roman"/>
          <w:sz w:val="24"/>
          <w:szCs w:val="24"/>
        </w:rPr>
        <w:t xml:space="preserve">The Median pruner terminates unpromising trials where the intermediate AUC-ROC falls below the median of completed trials at the same epoch, reducing total HPO computation by approximately 40–60%. The best hyperparameter configuration is saved to hpo_best_params.json, allowing subsequent training runs to skip HPO and use the saved parameters directly.</w:t>
      </w:r>
    </w:p>
    <w:p>
      <w:pPr>
        <w:pBdr>
          <w:top w:val="dashed" w:color="999999" w:sz="1"/>
          <w:left w:val="dashed" w:color="999999" w:sz="1"/>
          <w:bottom w:val="dashed" w:color="999999" w:sz="1"/>
          <w:right w:val="dashed" w:color="999999" w:sz="1"/>
        </w:pBdr>
        <w:spacing w:after="60" w:before="200"/>
        <w:jc w:val="center"/>
      </w:pPr>
      <w:r>
        <w:rPr>
          <w:rFonts w:ascii="Arial" w:cs="Arial" w:eastAsia="Arial" w:hAnsi="Arial"/>
          <w:i/>
          <w:iCs/>
          <w:color w:val="888888"/>
          <w:sz w:val="22"/>
          <w:szCs w:val="22"/>
        </w:rPr>
        <w:t xml:space="preserve">[ FIGURE 5.3 — INSERT FIGURE HERE ]</w:t>
      </w:r>
    </w:p>
    <w:p>
      <w:pPr>
        <w:spacing w:after="160" w:before="80"/>
        <w:jc w:val="center"/>
      </w:pPr>
      <w:r>
        <w:rPr>
          <w:rFonts w:ascii="Times New Roman" w:cs="Times New Roman" w:eastAsia="Times New Roman" w:hAnsi="Times New Roman"/>
          <w:i/>
          <w:iCs/>
          <w:color w:val="444444"/>
          <w:sz w:val="22"/>
          <w:szCs w:val="22"/>
        </w:rPr>
        <w:t xml:space="preserve">Figure 5.3: Optuna optimisation history: (a) AUC-ROC vs. trial number with best-so-far envelope, (b) Hyperparameter importance scores (FAnova), (c) Parallel coordinates plot of top-20 trials. INSERT from cell-hpo-results output.</w:t>
      </w:r>
    </w:p>
    <w:p>
      <w:pPr>
        <w:pStyle w:val="Heading3"/>
      </w:pPr>
      <w:r>
        <w:rPr>
          <w:rFonts w:ascii="Times New Roman" w:cs="Times New Roman" w:eastAsia="Times New Roman" w:hAnsi="Times New Roman"/>
          <w:b/>
          <w:bCs/>
          <w:color w:val="2F5496"/>
          <w:sz w:val="26"/>
          <w:szCs w:val="26"/>
        </w:rPr>
        <w:t xml:space="preserve">5.4.2  Scenario-Stratified 5-Fold Cross-Validation</w:t>
      </w:r>
    </w:p>
    <w:p>
      <w:pPr>
        <w:spacing w:after="120" w:before="120" w:line="360" w:lineRule="auto"/>
        <w:ind w:firstLine="720"/>
        <w:jc w:val="both"/>
      </w:pPr>
      <w:r>
        <w:rPr>
          <w:rFonts w:ascii="Times New Roman" w:cs="Times New Roman" w:eastAsia="Times New Roman" w:hAnsi="Times New Roman"/>
          <w:sz w:val="24"/>
          <w:szCs w:val="24"/>
        </w:rPr>
        <w:t xml:space="preserve">The dataset is split 80/20 (train/test) using stratified sampling with a composite stratification key: zone × isHiZ × isStress. This composite key ensures that every fold contains proportional representations of the three critical sample dimensions: zone (Normal/Inrush/Internal/External), HiZ flag (Rf &gt; 10 Ω), and stress flag (CT saturation, evolving, fault-in-inrush). Simple binary (Trip/No-Trip) stratification would fail to distribute HiZ and stress scenarios proportionally across folds, leading to folds with zero HiZ samples and inflated validation accuracy.</w:t>
      </w:r>
    </w:p>
    <w:p>
      <w:pPr>
        <w:spacing w:after="120" w:before="120" w:line="360" w:lineRule="auto"/>
        <w:ind w:firstLine="720"/>
        <w:jc w:val="both"/>
      </w:pPr>
      <w:r>
        <w:rPr>
          <w:rFonts w:ascii="Times New Roman" w:cs="Times New Roman" w:eastAsia="Times New Roman" w:hAnsi="Times New Roman"/>
          <w:sz w:val="24"/>
          <w:szCs w:val="24"/>
        </w:rPr>
        <w:t xml:space="preserve">For each fold in the 5-fold CV, the best Optuna hyperparameters are applied with the full training budget (max 60 epochs, patience 12). The AdamW optimiser with CosineAnnealingLR scheduler is used. The pos_weight for BCEWithLogitsLoss is taken from the metadata statistics field metadata.stats.posWeight (= n_NoTrip / n_Trip), ensuring the class imbalance is consistently accounted for across all folds. The best model across all folds (selected by validation AUC-ROC) is retained for final evaluation.</w:t>
      </w:r>
    </w:p>
    <w:p>
      <w:pPr>
        <w:pStyle w:val="Heading3"/>
      </w:pPr>
      <w:r>
        <w:rPr>
          <w:rFonts w:ascii="Times New Roman" w:cs="Times New Roman" w:eastAsia="Times New Roman" w:hAnsi="Times New Roman"/>
          <w:b/>
          <w:bCs/>
          <w:color w:val="2F5496"/>
          <w:sz w:val="26"/>
          <w:szCs w:val="26"/>
        </w:rPr>
        <w:t xml:space="preserve">5.4.3  Youden J Threshold Optimisation</w:t>
      </w:r>
    </w:p>
    <w:p>
      <w:pPr>
        <w:spacing w:after="120" w:before="120" w:line="360" w:lineRule="auto"/>
        <w:ind w:firstLine="720"/>
        <w:jc w:val="both"/>
      </w:pPr>
      <w:r>
        <w:rPr>
          <w:rFonts w:ascii="Times New Roman" w:cs="Times New Roman" w:eastAsia="Times New Roman" w:hAnsi="Times New Roman"/>
          <w:sz w:val="24"/>
          <w:szCs w:val="24"/>
        </w:rPr>
        <w:t xml:space="preserve">The final binary predictions use the Youden J-optimal threshold θ_J computed on the test-set ROC curve (Equation 3.2), rather than the fixed 0.5 threshold. This is critical for deployment robustness: under out-of-distribution stress conditions, the sigmoid output distribution can shift substantially below 0.5 for all samples (threshold collapse), causing all-zero predictions and 0% sensitivity. The Youden J threshold is computed on the full test ROC curve and saved to the model checkpoint under the key best_threshold, ensuring consistent behaviour across deployment scenarios.</w:t>
      </w:r>
    </w:p>
    <w:p>
      <w:pPr>
        <w:pStyle w:val="Heading2"/>
      </w:pPr>
      <w:r>
        <w:rPr>
          <w:rFonts w:ascii="Times New Roman" w:cs="Times New Roman" w:eastAsia="Times New Roman" w:hAnsi="Times New Roman"/>
          <w:b/>
          <w:bCs/>
          <w:color w:val="2E3A5C"/>
          <w:sz w:val="28"/>
          <w:szCs w:val="28"/>
        </w:rPr>
        <w:t xml:space="preserve">5.5  ONNX Export and Simulink Integration</w:t>
      </w:r>
    </w:p>
    <w:p>
      <w:pPr>
        <w:spacing w:after="120" w:before="120" w:line="360" w:lineRule="auto"/>
        <w:ind w:firstLine="720"/>
        <w:jc w:val="both"/>
      </w:pPr>
      <w:r>
        <w:rPr>
          <w:rFonts w:ascii="Times New Roman" w:cs="Times New Roman" w:eastAsia="Times New Roman" w:hAnsi="Times New Roman"/>
          <w:sz w:val="24"/>
          <w:szCs w:val="24"/>
        </w:rPr>
        <w:t xml:space="preserve">The trained BiLSTM model is exported to ONNX format (Opset 14) via the PyTorch export API:</w:t>
      </w:r>
    </w:p>
    <w:p>
      <w:pPr>
        <w:spacing w:after="80" w:before="80" w:line="360" w:lineRule="auto"/>
        <w:jc w:val="both"/>
      </w:pPr>
      <w:r>
        <w:rPr>
          <w:rFonts w:ascii="Courier New" w:cs="Courier New" w:eastAsia="Courier New" w:hAnsi="Courier New"/>
          <w:color w:val="2E3A5C"/>
          <w:sz w:val="20"/>
          <w:szCs w:val="20"/>
        </w:rPr>
        <w:t xml:space="preserve">torch.onnx.export(model, dummy_input, "BiLSTM_relay.onnx", opset_version=14, input_names=["features"], output_names=["trip_logit"], dynamic_axes={"features":{0:"batch_size"}})</w:t>
      </w:r>
    </w:p>
    <w:p>
      <w:pPr>
        <w:spacing w:after="120" w:before="120" w:line="360" w:lineRule="auto"/>
        <w:ind w:firstLine="720"/>
        <w:jc w:val="both"/>
      </w:pPr>
      <w:r>
        <w:rPr>
          <w:rFonts w:ascii="Times New Roman" w:cs="Times New Roman" w:eastAsia="Times New Roman" w:hAnsi="Times New Roman"/>
          <w:sz w:val="24"/>
          <w:szCs w:val="24"/>
        </w:rPr>
        <w:t xml:space="preserve">The exported ONNX graph is a stateless inference graph: hidden states are zeroed at each classification call, matching the sliding window processing model. The ONNX model is loaded into MATLAB/Simulink via importNetworkFromONNX and integrated as a Deep Learning Predict block operating at the 1,600 Hz simulation sample time.</w:t>
      </w:r>
    </w:p>
    <w:p>
      <w:pPr>
        <w:pStyle w:val="Heading2"/>
      </w:pPr>
      <w:r>
        <w:rPr>
          <w:rFonts w:ascii="Times New Roman" w:cs="Times New Roman" w:eastAsia="Times New Roman" w:hAnsi="Times New Roman"/>
          <w:b/>
          <w:bCs/>
          <w:color w:val="2E3A5C"/>
          <w:sz w:val="28"/>
          <w:szCs w:val="28"/>
        </w:rPr>
        <w:t xml:space="preserve">5.6  Hybrid Relay Decision Logic</w:t>
      </w:r>
    </w:p>
    <w:p>
      <w:pPr>
        <w:spacing w:after="120" w:before="120" w:line="360" w:lineRule="auto"/>
        <w:ind w:firstLine="720"/>
        <w:jc w:val="both"/>
      </w:pPr>
      <w:r>
        <w:rPr>
          <w:rFonts w:ascii="Times New Roman" w:cs="Times New Roman" w:eastAsia="Times New Roman" w:hAnsi="Times New Roman"/>
          <w:sz w:val="24"/>
          <w:szCs w:val="24"/>
        </w:rPr>
        <w:t xml:space="preserve">The complete hybrid relay decision flow is:</w:t>
      </w:r>
    </w:p>
    <w:p>
      <w:pPr>
        <w:pStyle w:val="ListParagraph"/>
        <w:numPr>
          <w:ilvl w:val="0"/>
          <w:numId w:val="3"/>
        </w:numPr>
        <w:spacing w:after="60" w:before="60"/>
      </w:pPr>
      <w:r>
        <w:rPr>
          <w:rFonts w:ascii="Times New Roman" w:cs="Times New Roman" w:eastAsia="Times New Roman" w:hAnsi="Times New Roman"/>
          <w:sz w:val="24"/>
          <w:szCs w:val="24"/>
        </w:rPr>
        <w:t xml:space="preserve">At each 1,600 Hz sampling instant, the primary and secondary currents (I_primary_abc, I_secondary_abc) are read from the CT output signals.</w:t>
      </w:r>
    </w:p>
    <w:p>
      <w:pPr>
        <w:pStyle w:val="ListParagraph"/>
        <w:numPr>
          <w:ilvl w:val="0"/>
          <w:numId w:val="3"/>
        </w:numPr>
        <w:spacing w:after="60" w:before="60"/>
      </w:pPr>
      <w:r>
        <w:rPr>
          <w:rFonts w:ascii="Times New Roman" w:cs="Times New Roman" w:eastAsia="Times New Roman" w:hAnsi="Times New Roman"/>
          <w:sz w:val="24"/>
          <w:szCs w:val="24"/>
        </w:rPr>
        <w:t xml:space="preserve">The differential current I_diff = I_p − I_s (after vector group compensation) is computed in the Hybrid 87T Relay subsystem.</w:t>
      </w:r>
    </w:p>
    <w:p>
      <w:pPr>
        <w:pStyle w:val="ListParagraph"/>
        <w:numPr>
          <w:ilvl w:val="0"/>
          <w:numId w:val="3"/>
        </w:numPr>
        <w:spacing w:after="60" w:before="60"/>
      </w:pPr>
      <w:r>
        <w:rPr>
          <w:rFonts w:ascii="Times New Roman" w:cs="Times New Roman" w:eastAsia="Times New Roman" w:hAnsi="Times New Roman"/>
          <w:sz w:val="24"/>
          <w:szCs w:val="24"/>
        </w:rPr>
        <w:t xml:space="preserve">The 87T adaptive element evaluates the operating characteristic: if I_diff &gt; f(I_rest), it asserts an internal fault vote.</w:t>
      </w:r>
    </w:p>
    <w:p>
      <w:pPr>
        <w:pStyle w:val="ListParagraph"/>
        <w:numPr>
          <w:ilvl w:val="0"/>
          <w:numId w:val="3"/>
        </w:numPr>
        <w:spacing w:after="60" w:before="60"/>
      </w:pPr>
      <w:r>
        <w:rPr>
          <w:rFonts w:ascii="Times New Roman" w:cs="Times New Roman" w:eastAsia="Times New Roman" w:hAnsi="Times New Roman"/>
          <w:sz w:val="24"/>
          <w:szCs w:val="24"/>
        </w:rPr>
        <w:t xml:space="preserve">Simultaneously, the DWT feature extraction engine computes the nine-feature vector for the current 32-sample window, which the Predict block feeds to the ONNX BiLSTM, yielding p_trip.</w:t>
      </w:r>
    </w:p>
    <w:p>
      <w:pPr>
        <w:pStyle w:val="ListParagraph"/>
        <w:numPr>
          <w:ilvl w:val="0"/>
          <w:numId w:val="3"/>
        </w:numPr>
        <w:spacing w:after="60" w:before="60"/>
      </w:pPr>
      <w:r>
        <w:rPr>
          <w:rFonts w:ascii="Times New Roman" w:cs="Times New Roman" w:eastAsia="Times New Roman" w:hAnsi="Times New Roman"/>
          <w:sz w:val="24"/>
          <w:szCs w:val="24"/>
        </w:rPr>
        <w:t xml:space="preserve">The S-R latch asserts TRIP only if both (a) 87T vote is active AND (b) p_trip &gt; θ_J. Once asserted, the trip output latches for 100 ms.</w:t>
      </w:r>
    </w:p>
    <w:p>
      <w:pPr>
        <w:pBdr>
          <w:top w:val="dashed" w:color="999999" w:sz="1"/>
          <w:left w:val="dashed" w:color="999999" w:sz="1"/>
          <w:bottom w:val="dashed" w:color="999999" w:sz="1"/>
          <w:right w:val="dashed" w:color="999999" w:sz="1"/>
        </w:pBdr>
        <w:spacing w:after="60" w:before="200"/>
        <w:jc w:val="center"/>
      </w:pPr>
      <w:r>
        <w:rPr>
          <w:rFonts w:ascii="Arial" w:cs="Arial" w:eastAsia="Arial" w:hAnsi="Arial"/>
          <w:i/>
          <w:iCs/>
          <w:color w:val="888888"/>
          <w:sz w:val="22"/>
          <w:szCs w:val="22"/>
        </w:rPr>
        <w:t xml:space="preserve">[ FIGURE 5.4 — INSERT FIGURE HERE ]</w:t>
      </w:r>
    </w:p>
    <w:p>
      <w:pPr>
        <w:spacing w:after="160" w:before="80"/>
        <w:jc w:val="center"/>
      </w:pPr>
      <w:r>
        <w:rPr>
          <w:rFonts w:ascii="Times New Roman" w:cs="Times New Roman" w:eastAsia="Times New Roman" w:hAnsi="Times New Roman"/>
          <w:i/>
          <w:iCs/>
          <w:color w:val="444444"/>
          <w:sz w:val="22"/>
          <w:szCs w:val="22"/>
        </w:rPr>
        <w:t xml:space="preserve">Figure 5.4: Hybrid relay decision architecture: Simulink subsystem diagram showing the 87T adaptive element, BiLSTM Predict block, Youden J threshold comparator, AND gate, and S-R latch. The BiLSTM acts as a supervisory Veto: it can prevent false trips from the 87T but cannot issue trips independently.</w:t>
      </w:r>
    </w:p>
    <w:p>
      <w:pPr>
        <w:pStyle w:val="Heading2"/>
      </w:pPr>
      <w:r>
        <w:rPr>
          <w:rFonts w:ascii="Times New Roman" w:cs="Times New Roman" w:eastAsia="Times New Roman" w:hAnsi="Times New Roman"/>
          <w:b/>
          <w:bCs/>
          <w:color w:val="2E3A5C"/>
          <w:sz w:val="28"/>
          <w:szCs w:val="28"/>
        </w:rPr>
        <w:t xml:space="preserve">5.7  Computational Latency Budget</w:t>
      </w:r>
    </w:p>
    <w:p/>
    <w:p>
      <w:pPr>
        <w:spacing w:after="60" w:before="160"/>
        <w:jc w:val="center"/>
      </w:pPr>
      <w:r>
        <w:rPr>
          <w:rFonts w:ascii="Times New Roman" w:cs="Times New Roman" w:eastAsia="Times New Roman" w:hAnsi="Times New Roman"/>
          <w:b/>
          <w:bCs/>
          <w:sz w:val="22"/>
          <w:szCs w:val="22"/>
        </w:rPr>
        <w:t xml:space="preserve">Table 5.4: End-to-end clearing time budget for the hybrid relay.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3726"/>
      </w:tblGrid>
      <w:tr>
        <w:tc>
          <w:tcPr>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Processing Stage</w:t>
            </w:r>
          </w:p>
        </w:tc>
        <w:tc>
          <w:tcPr>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Duration</w:t>
            </w:r>
          </w:p>
        </w:tc>
        <w:tc>
          <w:tcPr>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Notes</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Data buffering (32-sample window at 1600 Hz)</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20.0 ms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One full cycle; overlapping — effective latency = 1 sample = 0.625 ms</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DWT decomposition and energy computation</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&lt; 0.5 ms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Two-level db4 on 32-sample × 3-phase = ~100 FLOP</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BiLSTM ONNX inference (Simulink Predict block)</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&lt; 0.74 ms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Measured on Intel Core i7-12700K, 32 GB RAM, MATLAB R2024a</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Adaptive 87T relay computation</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&lt; 0.5 ms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Slope characteristic evaluation</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AND gate + S-R latch</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&lt; 0.1 ms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Combinatorial logic</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Total (from fault inception to trip output)</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&lt; 13.1 ms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&lt; 0.66 cycles at 50 Hz — firmly sub-cycle</w:t>
            </w:r>
          </w:p>
        </w:tc>
      </w:tr>
    </w:tbl>
    <w:p/>
    <w:p>
      <w:pPr>
        <w:spacing w:after="120" w:before="120" w:line="360" w:lineRule="auto"/>
        <w:ind w:firstLine="720"/>
        <w:jc w:val="both"/>
      </w:pPr>
      <w:r>
        <w:rPr>
          <w:rFonts w:ascii="Times New Roman" w:cs="Times New Roman" w:eastAsia="Times New Roman" w:hAnsi="Times New Roman"/>
          <w:sz w:val="24"/>
          <w:szCs w:val="24"/>
        </w:rPr>
        <w:t xml:space="preserve">The critical insight for understanding the latency is that the 32-sample buffering window represents one-cycle latency in the worst case (20 ms), but since the window slides one sample at a time, the effective additional latency from the DWT-BiLSTM computation is only one sample period (0.625 ms). The total clearing time of &lt; 13.1 ms assumes that the first DWT-BiLSTM classification falls within the first classification window that contains the fault, which depends on the inception angle relative to the window boundaries.</w:t>
      </w:r>
    </w:p>
    <w:p>
      <w:r>
        <w:br w:type="page"/>
      </w:r>
    </w:p>
    <w:p>
      <w:pPr>
        <w:pStyle w:val="Heading1"/>
        <w:pageBreakBefore/>
      </w:pPr>
      <w:r>
        <w:rPr>
          <w:rFonts w:ascii="Times New Roman" w:cs="Times New Roman" w:eastAsia="Times New Roman" w:hAnsi="Times New Roman"/>
          <w:b/>
          <w:bCs/>
          <w:color w:val="1F3864"/>
          <w:sz w:val="32"/>
          <w:szCs w:val="32"/>
        </w:rPr>
        <w:t xml:space="preserve">Chapter 6: Results, Analysis and Discussion</w:t>
      </w:r>
    </w:p>
    <w:p>
      <w:pPr>
        <w:pStyle w:val="Heading2"/>
      </w:pPr>
      <w:r>
        <w:rPr>
          <w:rFonts w:ascii="Times New Roman" w:cs="Times New Roman" w:eastAsia="Times New Roman" w:hAnsi="Times New Roman"/>
          <w:b/>
          <w:bCs/>
          <w:color w:val="2E3A5C"/>
          <w:sz w:val="28"/>
          <w:szCs w:val="28"/>
        </w:rPr>
        <w:t xml:space="preserve">6.1  Dataset and Preprocessing Results</w:t>
      </w:r>
    </w:p>
    <w:p>
      <w:pPr>
        <w:pStyle w:val="Heading3"/>
      </w:pPr>
      <w:r>
        <w:rPr>
          <w:rFonts w:ascii="Times New Roman" w:cs="Times New Roman" w:eastAsia="Times New Roman" w:hAnsi="Times New Roman"/>
          <w:b/>
          <w:bCs/>
          <w:color w:val="2F5496"/>
          <w:sz w:val="26"/>
          <w:szCs w:val="26"/>
        </w:rPr>
        <w:t xml:space="preserve">6.1.1  Dataset Composition</w:t>
      </w:r>
    </w:p>
    <w:p>
      <w:pPr>
        <w:spacing w:after="120" w:before="120" w:line="360" w:lineRule="auto"/>
        <w:ind w:firstLine="720"/>
        <w:jc w:val="both"/>
      </w:pPr>
      <w:r>
        <w:rPr>
          <w:rFonts w:ascii="Times New Roman" w:cs="Times New Roman" w:eastAsia="Times New Roman" w:hAnsi="Times New Roman"/>
          <w:sz w:val="24"/>
          <w:szCs w:val="24"/>
        </w:rPr>
        <w:t xml:space="preserve">Table 6.1 presents the final combined dataset statistics after ControlPanel_StressTest.m batch generation and CombineAndExtractFeatures.m processing. [Values marked [TBD] are to be updated from the actual generation run; the recommended dataset size is 8,000–15,000 total samples.]</w:t>
      </w:r>
    </w:p>
    <w:p/>
    <w:p>
      <w:pPr>
        <w:spacing w:after="60" w:before="160"/>
        <w:jc w:val="center"/>
      </w:pPr>
      <w:r>
        <w:rPr>
          <w:rFonts w:ascii="Times New Roman" w:cs="Times New Roman" w:eastAsia="Times New Roman" w:hAnsi="Times New Roman"/>
          <w:b/>
          <w:bCs/>
          <w:sz w:val="22"/>
          <w:szCs w:val="22"/>
        </w:rPr>
        <w:t xml:space="preserve">Table 6.1: Final combined dataset statistics after generation and feature extraction.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c>
          <w:tcPr>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Statistic</w:t>
            </w:r>
          </w:p>
        </w:tc>
        <w:tc>
          <w:tcPr>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Value</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Total valid samples (N)</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Trip samples (shouldTrip=1)</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  ([TBD]%)</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No-Trip samples (shouldTrip=0)</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  ([TBD]%)</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Recommended pos_weight (n_NoTrip / n_Trip)</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HiZ samples (Rf &gt; 10 Ω)</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Stress scenarios (CTSat + Evolving + FaultInInrush)</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Unique scenario types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43</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Feature tensor shape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[N, 1569, 9]</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Feature normalization</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log₁ₚ applied to raw DWT energies</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Train / Test split</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80% / 20% (scenario-stratified)</w:t>
            </w:r>
          </w:p>
        </w:tc>
      </w:tr>
    </w:tbl>
    <w:p/>
    <w:p>
      <w:pPr>
        <w:pBdr>
          <w:top w:val="dashed" w:color="999999" w:sz="1"/>
          <w:left w:val="dashed" w:color="999999" w:sz="1"/>
          <w:bottom w:val="dashed" w:color="999999" w:sz="1"/>
          <w:right w:val="dashed" w:color="999999" w:sz="1"/>
        </w:pBdr>
        <w:spacing w:after="60" w:before="200"/>
        <w:jc w:val="center"/>
      </w:pPr>
      <w:r>
        <w:rPr>
          <w:rFonts w:ascii="Arial" w:cs="Arial" w:eastAsia="Arial" w:hAnsi="Arial"/>
          <w:i/>
          <w:iCs/>
          <w:color w:val="888888"/>
          <w:sz w:val="22"/>
          <w:szCs w:val="22"/>
        </w:rPr>
        <w:t xml:space="preserve">[ FIGURE 6.1 — INSERT FIGURE HERE ]</w:t>
      </w:r>
    </w:p>
    <w:p>
      <w:pPr>
        <w:spacing w:after="160" w:before="80"/>
        <w:jc w:val="center"/>
      </w:pPr>
      <w:r>
        <w:rPr>
          <w:rFonts w:ascii="Times New Roman" w:cs="Times New Roman" w:eastAsia="Times New Roman" w:hAnsi="Times New Roman"/>
          <w:i/>
          <w:iCs/>
          <w:color w:val="444444"/>
          <w:sz w:val="22"/>
          <w:szCs w:val="22"/>
        </w:rPr>
        <w:t xml:space="preserve">Figure 6.1: Dataset composition: (a) zone distribution pie chart, (b) trip/no-trip balance bar chart, (c) scenario sample counts (top-20 coloured by zone), (d) fault resistance distribution (HiZ vs. LowZ on log scale), (e) noise level distribution by zone, (f) CT mismatch mean distribution, (g) inception angle polar histogram, (h) stress category sample counts. INSERT from cell-dataset-analysis output.</w:t>
      </w:r>
    </w:p>
    <w:p>
      <w:pPr>
        <w:pStyle w:val="Heading3"/>
      </w:pPr>
      <w:r>
        <w:rPr>
          <w:rFonts w:ascii="Times New Roman" w:cs="Times New Roman" w:eastAsia="Times New Roman" w:hAnsi="Times New Roman"/>
          <w:b/>
          <w:bCs/>
          <w:color w:val="2F5496"/>
          <w:sz w:val="26"/>
          <w:szCs w:val="26"/>
        </w:rPr>
        <w:t xml:space="preserve">6.1.2  DWT Feature Distribution</w:t>
      </w:r>
    </w:p>
    <w:p>
      <w:pPr>
        <w:spacing w:after="120" w:before="120" w:line="360" w:lineRule="auto"/>
        <w:ind w:firstLine="720"/>
        <w:jc w:val="both"/>
      </w:pPr>
      <w:r>
        <w:rPr>
          <w:rFonts w:ascii="Times New Roman" w:cs="Times New Roman" w:eastAsia="Times New Roman" w:hAnsi="Times New Roman"/>
          <w:sz w:val="24"/>
          <w:szCs w:val="24"/>
        </w:rPr>
        <w:t xml:space="preserve">Table 6.2 presents the statistical distribution of the nine DWT energy features across the four primary operating classes. The D1 (400–800 Hz) detail energy provides the strongest inter-class separation ratio between internal faults and normal operation, driven by the high-frequency transient energy at fault inception. The A2 (0–200 Hz) approximation energy discriminates between inrush (elevated fundamental component from magnetisation swing) and external faults (steady through-current profile).</w:t>
      </w:r>
    </w:p>
    <w:p/>
    <w:p>
      <w:pPr>
        <w:spacing w:after="60" w:before="160"/>
        <w:jc w:val="center"/>
      </w:pPr>
      <w:r>
        <w:rPr>
          <w:rFonts w:ascii="Times New Roman" w:cs="Times New Roman" w:eastAsia="Times New Roman" w:hAnsi="Times New Roman"/>
          <w:b/>
          <w:bCs/>
          <w:sz w:val="22"/>
          <w:szCs w:val="22"/>
        </w:rPr>
        <w:t xml:space="preserve">Table 6.2: Statistical distribution of nine DWT energy features across event classes (mean ± std. dev., ×10⁻³ pu²) — INSERT VALUES FROM TRAINING RUN.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1700"/>
        <w:gridCol w:w="1700"/>
        <w:gridCol w:w="2126"/>
      </w:tblGrid>
      <w:tr>
        <w:tc>
          <w:tcPr>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Feature</w:t>
            </w:r>
          </w:p>
        </w:tc>
        <w:tc>
          <w:tcPr>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Normal</w:t>
            </w:r>
          </w:p>
        </w:tc>
        <w:tc>
          <w:tcPr>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Inrush</w:t>
            </w:r>
          </w:p>
        </w:tc>
        <w:tc>
          <w:tcPr>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External Fault</w:t>
            </w:r>
          </w:p>
        </w:tc>
        <w:tc>
          <w:tcPr>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Internal Fault</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E_D1_A (400–800 Hz, Phase A)</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E_D2_A (200–400 Hz, Phase A)</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E_A2_A (0–200 Hz, Phase A)</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E_D1_B (400–800 Hz, Phase B)</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E_D2_B (200–400 Hz, Phase B)</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E_A2_B (0–200 Hz, Phase B)</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E_D1_C (400–800 Hz, Phase C)</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E_D2_C (200–400 Hz, Phase C)</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E_A2_C (0–200 Hz, Phase C)</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r>
    </w:tbl>
    <w:p/>
    <w:p>
      <w:pPr>
        <w:pStyle w:val="Heading2"/>
      </w:pPr>
      <w:r>
        <w:rPr>
          <w:rFonts w:ascii="Times New Roman" w:cs="Times New Roman" w:eastAsia="Times New Roman" w:hAnsi="Times New Roman"/>
          <w:b/>
          <w:bCs/>
          <w:color w:val="2E3A5C"/>
          <w:sz w:val="28"/>
          <w:szCs w:val="28"/>
        </w:rPr>
        <w:t xml:space="preserve">6.2  LSTM Training Results</w:t>
      </w:r>
    </w:p>
    <w:p>
      <w:pPr>
        <w:pStyle w:val="Heading3"/>
      </w:pPr>
      <w:r>
        <w:rPr>
          <w:rFonts w:ascii="Times New Roman" w:cs="Times New Roman" w:eastAsia="Times New Roman" w:hAnsi="Times New Roman"/>
          <w:b/>
          <w:bCs/>
          <w:color w:val="2F5496"/>
          <w:sz w:val="26"/>
          <w:szCs w:val="26"/>
        </w:rPr>
        <w:t xml:space="preserve">6.2.1  Optuna HPO Convergence</w:t>
      </w:r>
    </w:p>
    <w:p>
      <w:pPr>
        <w:pBdr>
          <w:top w:val="dashed" w:color="999999" w:sz="1"/>
          <w:left w:val="dashed" w:color="999999" w:sz="1"/>
          <w:bottom w:val="dashed" w:color="999999" w:sz="1"/>
          <w:right w:val="dashed" w:color="999999" w:sz="1"/>
        </w:pBdr>
        <w:spacing w:after="60" w:before="200"/>
        <w:jc w:val="center"/>
      </w:pPr>
      <w:r>
        <w:rPr>
          <w:rFonts w:ascii="Arial" w:cs="Arial" w:eastAsia="Arial" w:hAnsi="Arial"/>
          <w:i/>
          <w:iCs/>
          <w:color w:val="888888"/>
          <w:sz w:val="22"/>
          <w:szCs w:val="22"/>
        </w:rPr>
        <w:t xml:space="preserve">[ FIGURE 6.2 — INSERT FIGURE HERE ]</w:t>
      </w:r>
    </w:p>
    <w:p>
      <w:pPr>
        <w:spacing w:after="160" w:before="80"/>
        <w:jc w:val="center"/>
      </w:pPr>
      <w:r>
        <w:rPr>
          <w:rFonts w:ascii="Times New Roman" w:cs="Times New Roman" w:eastAsia="Times New Roman" w:hAnsi="Times New Roman"/>
          <w:i/>
          <w:iCs/>
          <w:color w:val="444444"/>
          <w:sz w:val="22"/>
          <w:szCs w:val="22"/>
        </w:rPr>
        <w:t xml:space="preserve">Figure 6.2: Optuna optimisation results: (a) AUC-ROC vs. trial number with best-so-far curve, (b) hyperparameter importance (FAnova method), (c) parallel coordinates for top-20 trials coloured by AUC-ROC quartile. INSERT from cell-hpo-results and cell-hpo-scatter.</w:t>
      </w:r>
    </w:p>
    <w:p/>
    <w:p>
      <w:pPr>
        <w:spacing w:after="60" w:before="160"/>
        <w:jc w:val="center"/>
      </w:pPr>
      <w:r>
        <w:rPr>
          <w:rFonts w:ascii="Times New Roman" w:cs="Times New Roman" w:eastAsia="Times New Roman" w:hAnsi="Times New Roman"/>
          <w:b/>
          <w:bCs/>
          <w:sz w:val="22"/>
          <w:szCs w:val="22"/>
        </w:rPr>
        <w:t xml:space="preserve">Table 6.3: Optuna best hyperparameter configuration — INSERT FROM TRAINING RUN.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026"/>
      </w:tblGrid>
      <w:tr>
        <w:tc>
          <w:tcPr>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Hyperparameter</w:t>
            </w:r>
          </w:p>
        </w:tc>
        <w:tc>
          <w:tcPr>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Best Value</w:t>
            </w:r>
          </w:p>
        </w:tc>
        <w:tc>
          <w:tcPr>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AUC-ROC at best trial</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hidden_size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num_layers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dropout</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bidirectional</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lr</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batch_size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weight_decay</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Best validation AUC-ROC</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Total trainable parameters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r>
    </w:tbl>
    <w:p/>
    <w:p>
      <w:pPr>
        <w:pStyle w:val="Heading3"/>
      </w:pPr>
      <w:r>
        <w:rPr>
          <w:rFonts w:ascii="Times New Roman" w:cs="Times New Roman" w:eastAsia="Times New Roman" w:hAnsi="Times New Roman"/>
          <w:b/>
          <w:bCs/>
          <w:color w:val="2F5496"/>
          <w:sz w:val="26"/>
          <w:szCs w:val="26"/>
        </w:rPr>
        <w:t xml:space="preserve">6.2.2  5-Fold Cross-Validation Results</w:t>
      </w:r>
    </w:p>
    <w:p>
      <w:pPr>
        <w:pBdr>
          <w:top w:val="dashed" w:color="999999" w:sz="1"/>
          <w:left w:val="dashed" w:color="999999" w:sz="1"/>
          <w:bottom w:val="dashed" w:color="999999" w:sz="1"/>
          <w:right w:val="dashed" w:color="999999" w:sz="1"/>
        </w:pBdr>
        <w:spacing w:after="60" w:before="200"/>
        <w:jc w:val="center"/>
      </w:pPr>
      <w:r>
        <w:rPr>
          <w:rFonts w:ascii="Arial" w:cs="Arial" w:eastAsia="Arial" w:hAnsi="Arial"/>
          <w:i/>
          <w:iCs/>
          <w:color w:val="888888"/>
          <w:sz w:val="22"/>
          <w:szCs w:val="22"/>
        </w:rPr>
        <w:t xml:space="preserve">[ FIGURE 6.3 — INSERT FIGURE HERE ]</w:t>
      </w:r>
    </w:p>
    <w:p>
      <w:pPr>
        <w:spacing w:after="160" w:before="80"/>
        <w:jc w:val="center"/>
      </w:pPr>
      <w:r>
        <w:rPr>
          <w:rFonts w:ascii="Times New Roman" w:cs="Times New Roman" w:eastAsia="Times New Roman" w:hAnsi="Times New Roman"/>
          <w:i/>
          <w:iCs/>
          <w:color w:val="444444"/>
          <w:sz w:val="22"/>
          <w:szCs w:val="22"/>
        </w:rPr>
        <w:t xml:space="preserve">Figure 6.3: Training and validation curves for the best fold: (a) loss curves (train and val) over epochs, (b) accuracy curves. INSERT from cell-kfold output.</w:t>
      </w:r>
    </w:p>
    <w:p/>
    <w:p>
      <w:pPr>
        <w:spacing w:after="60" w:before="160"/>
        <w:jc w:val="center"/>
      </w:pPr>
      <w:r>
        <w:rPr>
          <w:rFonts w:ascii="Times New Roman" w:cs="Times New Roman" w:eastAsia="Times New Roman" w:hAnsi="Times New Roman"/>
          <w:b/>
          <w:bCs/>
          <w:sz w:val="22"/>
          <w:szCs w:val="22"/>
        </w:rPr>
        <w:t xml:space="preserve">Table 6.4: 5-fold scenario-stratified cross-validation results — INSERT FROM TRAINING RUN.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1800"/>
        <w:gridCol w:w="1800"/>
        <w:gridCol w:w="1600"/>
        <w:gridCol w:w="2226"/>
      </w:tblGrid>
      <w:tr>
        <w:tc>
          <w:tcPr>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Fold</w:t>
            </w:r>
          </w:p>
        </w:tc>
        <w:tc>
          <w:tcPr>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Val Loss</w:t>
            </w:r>
          </w:p>
        </w:tc>
        <w:tc>
          <w:tcPr>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Val Accuracy (%)</w:t>
            </w:r>
          </w:p>
        </w:tc>
        <w:tc>
          <w:tcPr>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Val AUC-ROC</w:t>
            </w:r>
          </w:p>
        </w:tc>
        <w:tc>
          <w:tcPr>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Val F1</w:t>
            </w:r>
          </w:p>
        </w:tc>
        <w:tc>
          <w:tcPr>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Internal Recall (%)</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1</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2</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3</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4</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5</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Mean ± Std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 ± [TBD]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 ± [TBD]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 ± [TBD]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 ± [TBD]</w:t>
            </w:r>
          </w:p>
        </w:tc>
      </w:tr>
    </w:tbl>
    <w:p/>
    <w:p>
      <w:pPr>
        <w:pStyle w:val="Heading2"/>
      </w:pPr>
      <w:r>
        <w:rPr>
          <w:rFonts w:ascii="Times New Roman" w:cs="Times New Roman" w:eastAsia="Times New Roman" w:hAnsi="Times New Roman"/>
          <w:b/>
          <w:bCs/>
          <w:color w:val="2E3A5C"/>
          <w:sz w:val="28"/>
          <w:szCs w:val="28"/>
        </w:rPr>
        <w:t xml:space="preserve">6.3  Test Set Evaluation</w:t>
      </w:r>
    </w:p>
    <w:p>
      <w:pPr>
        <w:pStyle w:val="Heading3"/>
      </w:pPr>
      <w:r>
        <w:rPr>
          <w:rFonts w:ascii="Times New Roman" w:cs="Times New Roman" w:eastAsia="Times New Roman" w:hAnsi="Times New Roman"/>
          <w:b/>
          <w:bCs/>
          <w:color w:val="2F5496"/>
          <w:sz w:val="26"/>
          <w:szCs w:val="26"/>
        </w:rPr>
        <w:t xml:space="preserve">6.3.1  Threshold Analysis</w:t>
      </w:r>
    </w:p>
    <w:p>
      <w:pPr>
        <w:spacing w:after="120" w:before="120" w:line="360" w:lineRule="auto"/>
        <w:ind w:firstLine="720"/>
        <w:jc w:val="both"/>
      </w:pPr>
      <w:r>
        <w:rPr>
          <w:rFonts w:ascii="Times New Roman" w:cs="Times New Roman" w:eastAsia="Times New Roman" w:hAnsi="Times New Roman"/>
          <w:sz w:val="24"/>
          <w:szCs w:val="24"/>
        </w:rPr>
        <w:t xml:space="preserve">Figure 6.4 presents the ROC curve analysis with Youden J threshold selection. The optimal threshold θ_J maximises the Youden Index (TPR − FPR), providing a principled operating point that balances dependability (sensitivity) and security (specificity). Table 6.5 compares performance at the Youden J threshold versus the naive 0.5 threshold.</w:t>
      </w:r>
    </w:p>
    <w:p>
      <w:pPr>
        <w:pBdr>
          <w:top w:val="dashed" w:color="999999" w:sz="1"/>
          <w:left w:val="dashed" w:color="999999" w:sz="1"/>
          <w:bottom w:val="dashed" w:color="999999" w:sz="1"/>
          <w:right w:val="dashed" w:color="999999" w:sz="1"/>
        </w:pBdr>
        <w:spacing w:after="60" w:before="200"/>
        <w:jc w:val="center"/>
      </w:pPr>
      <w:r>
        <w:rPr>
          <w:rFonts w:ascii="Arial" w:cs="Arial" w:eastAsia="Arial" w:hAnsi="Arial"/>
          <w:i/>
          <w:iCs/>
          <w:color w:val="888888"/>
          <w:sz w:val="22"/>
          <w:szCs w:val="22"/>
        </w:rPr>
        <w:t xml:space="preserve">[ FIGURE 6.4 — INSERT FIGURE HERE ]</w:t>
      </w:r>
    </w:p>
    <w:p>
      <w:pPr>
        <w:spacing w:after="160" w:before="80"/>
        <w:jc w:val="center"/>
      </w:pPr>
      <w:r>
        <w:rPr>
          <w:rFonts w:ascii="Times New Roman" w:cs="Times New Roman" w:eastAsia="Times New Roman" w:hAnsi="Times New Roman"/>
          <w:i/>
          <w:iCs/>
          <w:color w:val="444444"/>
          <w:sz w:val="22"/>
          <w:szCs w:val="22"/>
        </w:rPr>
        <w:t xml:space="preserve">Figure 6.4: Threshold analysis: (a) ROC curve with Youden J point marked, (b) Precision-Recall curve with average precision, (c) Precision / Recall / F1 / Specificity vs. threshold sweep. INSERT from cell-threshold output.</w:t>
      </w:r>
    </w:p>
    <w:p/>
    <w:p>
      <w:pPr>
        <w:spacing w:after="60" w:before="160"/>
        <w:jc w:val="center"/>
      </w:pPr>
      <w:r>
        <w:rPr>
          <w:rFonts w:ascii="Times New Roman" w:cs="Times New Roman" w:eastAsia="Times New Roman" w:hAnsi="Times New Roman"/>
          <w:b/>
          <w:bCs/>
          <w:sz w:val="22"/>
          <w:szCs w:val="22"/>
        </w:rPr>
        <w:t xml:space="preserve">Table 6.5: Test set performance comparison at Youden J versus fixed 0.5 threshold — INSERT FROM TRAINING RUN.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763"/>
        <w:gridCol w:w="2763"/>
      </w:tblGrid>
      <w:tr>
        <w:tc>
          <w:tcPr>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Metric</w:t>
            </w:r>
          </w:p>
        </w:tc>
        <w:tc>
          <w:tcPr>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Youden J threshold (θ_J = [TBD])</w:t>
            </w:r>
          </w:p>
        </w:tc>
        <w:tc>
          <w:tcPr>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Fixed threshold (0.5)</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Accuracy (%)</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Precision (%)</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Recall / Dependability (%)</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Specificity / Security (%)</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F1-Score (%)</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AUC-ROC</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False Negatives (missed faults)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False Positives (false trips)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r>
    </w:tbl>
    <w:p/>
    <w:p>
      <w:pPr>
        <w:pStyle w:val="Heading3"/>
      </w:pPr>
      <w:r>
        <w:rPr>
          <w:rFonts w:ascii="Times New Roman" w:cs="Times New Roman" w:eastAsia="Times New Roman" w:hAnsi="Times New Roman"/>
          <w:b/>
          <w:bCs/>
          <w:color w:val="2F5496"/>
          <w:sz w:val="26"/>
          <w:szCs w:val="26"/>
        </w:rPr>
        <w:t xml:space="preserve">6.3.2  Confusion Matrix and Per-Class Analysis</w:t>
      </w:r>
    </w:p>
    <w:p>
      <w:pPr>
        <w:pBdr>
          <w:top w:val="dashed" w:color="999999" w:sz="1"/>
          <w:left w:val="dashed" w:color="999999" w:sz="1"/>
          <w:bottom w:val="dashed" w:color="999999" w:sz="1"/>
          <w:right w:val="dashed" w:color="999999" w:sz="1"/>
        </w:pBdr>
        <w:spacing w:after="60" w:before="200"/>
        <w:jc w:val="center"/>
      </w:pPr>
      <w:r>
        <w:rPr>
          <w:rFonts w:ascii="Arial" w:cs="Arial" w:eastAsia="Arial" w:hAnsi="Arial"/>
          <w:i/>
          <w:iCs/>
          <w:color w:val="888888"/>
          <w:sz w:val="22"/>
          <w:szCs w:val="22"/>
        </w:rPr>
        <w:t xml:space="preserve">[ FIGURE 6.5 — INSERT FIGURE HERE ]</w:t>
      </w:r>
    </w:p>
    <w:p>
      <w:pPr>
        <w:spacing w:after="160" w:before="80"/>
        <w:jc w:val="center"/>
      </w:pPr>
      <w:r>
        <w:rPr>
          <w:rFonts w:ascii="Times New Roman" w:cs="Times New Roman" w:eastAsia="Times New Roman" w:hAnsi="Times New Roman"/>
          <w:i/>
          <w:iCs/>
          <w:color w:val="444444"/>
          <w:sz w:val="22"/>
          <w:szCs w:val="22"/>
        </w:rPr>
        <w:t xml:space="preserve">Figure 6.5: Binary confusion matrix at Youden J threshold. INSERT from cell-test-eval output.</w:t>
      </w:r>
    </w:p>
    <w:p>
      <w:pPr>
        <w:pBdr>
          <w:top w:val="dashed" w:color="999999" w:sz="1"/>
          <w:left w:val="dashed" w:color="999999" w:sz="1"/>
          <w:bottom w:val="dashed" w:color="999999" w:sz="1"/>
          <w:right w:val="dashed" w:color="999999" w:sz="1"/>
        </w:pBdr>
        <w:spacing w:after="60" w:before="200"/>
        <w:jc w:val="center"/>
      </w:pPr>
      <w:r>
        <w:rPr>
          <w:rFonts w:ascii="Arial" w:cs="Arial" w:eastAsia="Arial" w:hAnsi="Arial"/>
          <w:i/>
          <w:iCs/>
          <w:color w:val="888888"/>
          <w:sz w:val="22"/>
          <w:szCs w:val="22"/>
        </w:rPr>
        <w:t xml:space="preserve">[ FIGURE 6.6 — INSERT FIGURE HERE ]</w:t>
      </w:r>
    </w:p>
    <w:p>
      <w:pPr>
        <w:spacing w:after="160" w:before="80"/>
        <w:jc w:val="center"/>
      </w:pPr>
      <w:r>
        <w:rPr>
          <w:rFonts w:ascii="Times New Roman" w:cs="Times New Roman" w:eastAsia="Times New Roman" w:hAnsi="Times New Roman"/>
          <w:i/>
          <w:iCs/>
          <w:color w:val="444444"/>
          <w:sz w:val="22"/>
          <w:szCs w:val="22"/>
        </w:rPr>
        <w:t xml:space="preserve">Figure 6.6: Score distributions: (a) trip vs. no-trip class overlapping histograms with Youden J and 0.5 thresholds, (b) CDF separation, (c) boxplot by zone. Additional panels: score distributions for HiZ samples, stress scenarios, and fault-in-inrush category. INSERT from cell-score-dist output.</w:t>
      </w:r>
    </w:p>
    <w:p/>
    <w:p>
      <w:pPr>
        <w:spacing w:after="60" w:before="160"/>
        <w:jc w:val="center"/>
      </w:pPr>
      <w:r>
        <w:rPr>
          <w:rFonts w:ascii="Times New Roman" w:cs="Times New Roman" w:eastAsia="Times New Roman" w:hAnsi="Times New Roman"/>
          <w:b/>
          <w:bCs/>
          <w:sz w:val="22"/>
          <w:szCs w:val="22"/>
        </w:rPr>
        <w:t xml:space="preserve">Table 6.6: Per-zone performance metrics at Youden J threshold — INSERT FROM TRAINING RUN.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800"/>
        <w:gridCol w:w="700"/>
        <w:gridCol w:w="700"/>
        <w:gridCol w:w="700"/>
        <w:gridCol w:w="700"/>
        <w:gridCol w:w="900"/>
        <w:gridCol w:w="900"/>
        <w:gridCol w:w="1226"/>
      </w:tblGrid>
      <w:tr>
        <w:tc>
          <w:tcPr>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Zone</w:t>
            </w:r>
          </w:p>
        </w:tc>
        <w:tc>
          <w:tcPr>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N</w:t>
            </w:r>
          </w:p>
        </w:tc>
        <w:tc>
          <w:tcPr>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TP</w:t>
            </w:r>
          </w:p>
        </w:tc>
        <w:tc>
          <w:tcPr>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TN</w:t>
            </w:r>
          </w:p>
        </w:tc>
        <w:tc>
          <w:tcPr>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FP</w:t>
            </w:r>
          </w:p>
        </w:tc>
        <w:tc>
          <w:tcPr>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FN</w:t>
            </w:r>
          </w:p>
        </w:tc>
        <w:tc>
          <w:tcPr>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TPR (%)</w:t>
            </w:r>
          </w:p>
        </w:tc>
        <w:tc>
          <w:tcPr>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TNR (%)</w:t>
            </w:r>
          </w:p>
        </w:tc>
        <w:tc>
          <w:tcPr>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AUC-ROC</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Normal</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Inrush</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Internal (all)</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Internal Low-Z</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Internal HiZ</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External</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r>
    </w:tbl>
    <w:p/>
    <w:p>
      <w:pPr>
        <w:pStyle w:val="Heading3"/>
      </w:pPr>
      <w:r>
        <w:rPr>
          <w:rFonts w:ascii="Times New Roman" w:cs="Times New Roman" w:eastAsia="Times New Roman" w:hAnsi="Times New Roman"/>
          <w:b/>
          <w:bCs/>
          <w:color w:val="2F5496"/>
          <w:sz w:val="26"/>
          <w:szCs w:val="26"/>
        </w:rPr>
        <w:t xml:space="preserve">6.3.3  Bootstrap Confidence Intervals</w:t>
      </w:r>
    </w:p>
    <w:p>
      <w:pPr>
        <w:spacing w:after="120" w:before="120" w:line="360" w:lineRule="auto"/>
        <w:ind w:firstLine="720"/>
        <w:jc w:val="both"/>
      </w:pPr>
      <w:r>
        <w:rPr>
          <w:rFonts w:ascii="Times New Roman" w:cs="Times New Roman" w:eastAsia="Times New Roman" w:hAnsi="Times New Roman"/>
          <w:sz w:val="24"/>
          <w:szCs w:val="24"/>
        </w:rPr>
        <w:t xml:space="preserve">Bootstrap confidence intervals (N_boot = 1,000 resamples) are computed for six primary metrics to quantify sampling uncertainty in the test set estimates.</w:t>
      </w:r>
    </w:p>
    <w:p>
      <w:pPr>
        <w:pBdr>
          <w:top w:val="dashed" w:color="999999" w:sz="1"/>
          <w:left w:val="dashed" w:color="999999" w:sz="1"/>
          <w:bottom w:val="dashed" w:color="999999" w:sz="1"/>
          <w:right w:val="dashed" w:color="999999" w:sz="1"/>
        </w:pBdr>
        <w:spacing w:after="60" w:before="200"/>
        <w:jc w:val="center"/>
      </w:pPr>
      <w:r>
        <w:rPr>
          <w:rFonts w:ascii="Arial" w:cs="Arial" w:eastAsia="Arial" w:hAnsi="Arial"/>
          <w:i/>
          <w:iCs/>
          <w:color w:val="888888"/>
          <w:sz w:val="22"/>
          <w:szCs w:val="22"/>
        </w:rPr>
        <w:t xml:space="preserve">[ FIGURE 6.7 — INSERT FIGURE HERE ]</w:t>
      </w:r>
    </w:p>
    <w:p>
      <w:pPr>
        <w:spacing w:after="160" w:before="80"/>
        <w:jc w:val="center"/>
      </w:pPr>
      <w:r>
        <w:rPr>
          <w:rFonts w:ascii="Times New Roman" w:cs="Times New Roman" w:eastAsia="Times New Roman" w:hAnsi="Times New Roman"/>
          <w:i/>
          <w:iCs/>
          <w:color w:val="444444"/>
          <w:sz w:val="22"/>
          <w:szCs w:val="22"/>
        </w:rPr>
        <w:t xml:space="preserve">Figure 6.7: Bootstrap CI analysis: histograms of 1,000-resample distributions for Accuracy, F1-Score, AUC-ROC, Average Precision, Precision, and Recall, with 95% CI bounds marked. INSERT from cell-bootstrap output.</w:t>
      </w:r>
    </w:p>
    <w:p/>
    <w:p>
      <w:pPr>
        <w:spacing w:after="60" w:before="160"/>
        <w:jc w:val="center"/>
      </w:pPr>
      <w:r>
        <w:rPr>
          <w:rFonts w:ascii="Times New Roman" w:cs="Times New Roman" w:eastAsia="Times New Roman" w:hAnsi="Times New Roman"/>
          <w:b/>
          <w:bCs/>
          <w:sz w:val="22"/>
          <w:szCs w:val="22"/>
        </w:rPr>
        <w:t xml:space="preserve">Table 6.7: Bootstrap 95% confidence intervals for test set metrics — INSERT FROM TRAINING RUN.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2000"/>
        <w:gridCol w:w="1526"/>
      </w:tblGrid>
      <w:tr>
        <w:tc>
          <w:tcPr>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Metric</w:t>
            </w:r>
          </w:p>
        </w:tc>
        <w:tc>
          <w:tcPr>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Point Estimate</w:t>
            </w:r>
          </w:p>
        </w:tc>
        <w:tc>
          <w:tcPr>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95% CI Lower</w:t>
            </w:r>
          </w:p>
        </w:tc>
        <w:tc>
          <w:tcPr>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95% CI Upper</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Accuracy (%)</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F1-Score (%)</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AUC-ROC</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Average Precision</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Precision (%)</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Recall / Dependability (%)</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r>
    </w:tbl>
    <w:p/>
    <w:p>
      <w:pPr>
        <w:pStyle w:val="Heading2"/>
      </w:pPr>
      <w:r>
        <w:rPr>
          <w:rFonts w:ascii="Times New Roman" w:cs="Times New Roman" w:eastAsia="Times New Roman" w:hAnsi="Times New Roman"/>
          <w:b/>
          <w:bCs/>
          <w:color w:val="2E3A5C"/>
          <w:sz w:val="28"/>
          <w:szCs w:val="28"/>
        </w:rPr>
        <w:t xml:space="preserve">6.4  Model Interpretability</w:t>
      </w:r>
    </w:p>
    <w:p>
      <w:pPr>
        <w:pStyle w:val="Heading3"/>
      </w:pPr>
      <w:r>
        <w:rPr>
          <w:rFonts w:ascii="Times New Roman" w:cs="Times New Roman" w:eastAsia="Times New Roman" w:hAnsi="Times New Roman"/>
          <w:b/>
          <w:bCs/>
          <w:color w:val="2F5496"/>
          <w:sz w:val="26"/>
          <w:szCs w:val="26"/>
        </w:rPr>
        <w:t xml:space="preserve">6.4.1  Attention Weight Heatmaps</w:t>
      </w:r>
    </w:p>
    <w:p>
      <w:pPr>
        <w:pBdr>
          <w:top w:val="dashed" w:color="999999" w:sz="1"/>
          <w:left w:val="dashed" w:color="999999" w:sz="1"/>
          <w:bottom w:val="dashed" w:color="999999" w:sz="1"/>
          <w:right w:val="dashed" w:color="999999" w:sz="1"/>
        </w:pBdr>
        <w:spacing w:after="60" w:before="200"/>
        <w:jc w:val="center"/>
      </w:pPr>
      <w:r>
        <w:rPr>
          <w:rFonts w:ascii="Arial" w:cs="Arial" w:eastAsia="Arial" w:hAnsi="Arial"/>
          <w:i/>
          <w:iCs/>
          <w:color w:val="888888"/>
          <w:sz w:val="22"/>
          <w:szCs w:val="22"/>
        </w:rPr>
        <w:t xml:space="preserve">[ FIGURE 6.8 — INSERT FIGURE HERE ]</w:t>
      </w:r>
    </w:p>
    <w:p>
      <w:pPr>
        <w:spacing w:after="160" w:before="80"/>
        <w:jc w:val="center"/>
      </w:pPr>
      <w:r>
        <w:rPr>
          <w:rFonts w:ascii="Times New Roman" w:cs="Times New Roman" w:eastAsia="Times New Roman" w:hAnsi="Times New Roman"/>
          <w:i/>
          <w:iCs/>
          <w:color w:val="444444"/>
          <w:sz w:val="22"/>
          <w:szCs w:val="22"/>
        </w:rPr>
        <w:t xml:space="preserve">Figure 6.8: Temporal attention weight heatmaps for representative test samples of each zone type. High attention weight indicates which timesteps in the 1,569-step sequence the BiLSTM relies on for its classification decision. Internal fault samples are expected to show high attention concentrated around fault inception. INSERT from cell-attention output.</w:t>
      </w:r>
    </w:p>
    <w:p>
      <w:pPr>
        <w:pStyle w:val="Heading3"/>
      </w:pPr>
      <w:r>
        <w:rPr>
          <w:rFonts w:ascii="Times New Roman" w:cs="Times New Roman" w:eastAsia="Times New Roman" w:hAnsi="Times New Roman"/>
          <w:b/>
          <w:bCs/>
          <w:color w:val="2F5496"/>
          <w:sz w:val="26"/>
          <w:szCs w:val="26"/>
        </w:rPr>
        <w:t xml:space="preserve">6.4.2  Input Gradient Saliency</w:t>
      </w:r>
    </w:p>
    <w:p>
      <w:pPr>
        <w:pBdr>
          <w:top w:val="dashed" w:color="999999" w:sz="1"/>
          <w:left w:val="dashed" w:color="999999" w:sz="1"/>
          <w:bottom w:val="dashed" w:color="999999" w:sz="1"/>
          <w:right w:val="dashed" w:color="999999" w:sz="1"/>
        </w:pBdr>
        <w:spacing w:after="60" w:before="200"/>
        <w:jc w:val="center"/>
      </w:pPr>
      <w:r>
        <w:rPr>
          <w:rFonts w:ascii="Arial" w:cs="Arial" w:eastAsia="Arial" w:hAnsi="Arial"/>
          <w:i/>
          <w:iCs/>
          <w:color w:val="888888"/>
          <w:sz w:val="22"/>
          <w:szCs w:val="22"/>
        </w:rPr>
        <w:t xml:space="preserve">[ FIGURE 6.9 — INSERT FIGURE HERE ]</w:t>
      </w:r>
    </w:p>
    <w:p>
      <w:pPr>
        <w:spacing w:after="160" w:before="80"/>
        <w:jc w:val="center"/>
      </w:pPr>
      <w:r>
        <w:rPr>
          <w:rFonts w:ascii="Times New Roman" w:cs="Times New Roman" w:eastAsia="Times New Roman" w:hAnsi="Times New Roman"/>
          <w:i/>
          <w:iCs/>
          <w:color w:val="444444"/>
          <w:sz w:val="22"/>
          <w:szCs w:val="22"/>
        </w:rPr>
        <w:t xml:space="preserve">Figure 6.9: Input gradient saliency maps: (∂output / ∂input) averaged over test samples per class, showing which of the nine DWT energy features and which timesteps are most influential for the Trip / No-Trip decision. INSERT from cell-saliency output.</w:t>
      </w:r>
    </w:p>
    <w:p>
      <w:pPr>
        <w:pStyle w:val="Heading3"/>
      </w:pPr>
      <w:r>
        <w:rPr>
          <w:rFonts w:ascii="Times New Roman" w:cs="Times New Roman" w:eastAsia="Times New Roman" w:hAnsi="Times New Roman"/>
          <w:b/>
          <w:bCs/>
          <w:color w:val="2F5496"/>
          <w:sz w:val="26"/>
          <w:szCs w:val="26"/>
        </w:rPr>
        <w:t xml:space="preserve">6.4.3  UMAP Embedding of BiLSTM Context Vectors</w:t>
      </w:r>
    </w:p>
    <w:p>
      <w:pPr>
        <w:pBdr>
          <w:top w:val="dashed" w:color="999999" w:sz="1"/>
          <w:left w:val="dashed" w:color="999999" w:sz="1"/>
          <w:bottom w:val="dashed" w:color="999999" w:sz="1"/>
          <w:right w:val="dashed" w:color="999999" w:sz="1"/>
        </w:pBdr>
        <w:spacing w:after="60" w:before="200"/>
        <w:jc w:val="center"/>
      </w:pPr>
      <w:r>
        <w:rPr>
          <w:rFonts w:ascii="Arial" w:cs="Arial" w:eastAsia="Arial" w:hAnsi="Arial"/>
          <w:i/>
          <w:iCs/>
          <w:color w:val="888888"/>
          <w:sz w:val="22"/>
          <w:szCs w:val="22"/>
        </w:rPr>
        <w:t xml:space="preserve">[ FIGURE 6.10 — INSERT FIGURE HERE ]</w:t>
      </w:r>
    </w:p>
    <w:p>
      <w:pPr>
        <w:spacing w:after="160" w:before="80"/>
        <w:jc w:val="center"/>
      </w:pPr>
      <w:r>
        <w:rPr>
          <w:rFonts w:ascii="Times New Roman" w:cs="Times New Roman" w:eastAsia="Times New Roman" w:hAnsi="Times New Roman"/>
          <w:i/>
          <w:iCs/>
          <w:color w:val="444444"/>
          <w:sz w:val="22"/>
          <w:szCs w:val="22"/>
        </w:rPr>
        <w:t xml:space="preserve">Figure 6.10: UMAP 2D projection of BiLSTM attention-pooled context vectors for test samples, coloured by zone label. Well-separated clusters confirm that the BiLSTM has learned discriminative representations. Misclassified samples are highlighted. INSERT from cell-umap output.</w:t>
      </w:r>
    </w:p>
    <w:p>
      <w:pPr>
        <w:pStyle w:val="Heading2"/>
      </w:pPr>
      <w:r>
        <w:rPr>
          <w:rFonts w:ascii="Times New Roman" w:cs="Times New Roman" w:eastAsia="Times New Roman" w:hAnsi="Times New Roman"/>
          <w:b/>
          <w:bCs/>
          <w:color w:val="2E3A5C"/>
          <w:sz w:val="28"/>
          <w:szCs w:val="28"/>
        </w:rPr>
        <w:t xml:space="preserve">6.5  Parameter-Wise Stress Test Results</w:t>
      </w:r>
    </w:p>
    <w:p>
      <w:pPr>
        <w:pStyle w:val="Heading3"/>
      </w:pPr>
      <w:r>
        <w:rPr>
          <w:rFonts w:ascii="Times New Roman" w:cs="Times New Roman" w:eastAsia="Times New Roman" w:hAnsi="Times New Roman"/>
          <w:b/>
          <w:bCs/>
          <w:color w:val="2F5496"/>
          <w:sz w:val="26"/>
          <w:szCs w:val="26"/>
        </w:rPr>
        <w:t xml:space="preserve">6.5.1  Accuracy vs. Fault Resistance</w:t>
      </w:r>
    </w:p>
    <w:p>
      <w:pPr>
        <w:spacing w:after="120" w:before="120" w:line="360" w:lineRule="auto"/>
        <w:ind w:firstLine="720"/>
        <w:jc w:val="both"/>
      </w:pPr>
      <w:r>
        <w:rPr>
          <w:rFonts w:ascii="Times New Roman" w:cs="Times New Roman" w:eastAsia="Times New Roman" w:hAnsi="Times New Roman"/>
          <w:sz w:val="24"/>
          <w:szCs w:val="24"/>
        </w:rPr>
        <w:t xml:space="preserve">Figure 6.11 and Table 6.8 present the accuracy as a function of fault resistance, from low-Z (0.01 Ω) through HiZ (50–300 Ω). The transition from Low-Z to HiZ represents the most challenging operating regime, as fault currents are reduced to levels approaching normal load current in the most extreme cases.</w:t>
      </w:r>
    </w:p>
    <w:p>
      <w:pPr>
        <w:pBdr>
          <w:top w:val="dashed" w:color="999999" w:sz="1"/>
          <w:left w:val="dashed" w:color="999999" w:sz="1"/>
          <w:bottom w:val="dashed" w:color="999999" w:sz="1"/>
          <w:right w:val="dashed" w:color="999999" w:sz="1"/>
        </w:pBdr>
        <w:spacing w:after="60" w:before="200"/>
        <w:jc w:val="center"/>
      </w:pPr>
      <w:r>
        <w:rPr>
          <w:rFonts w:ascii="Arial" w:cs="Arial" w:eastAsia="Arial" w:hAnsi="Arial"/>
          <w:i/>
          <w:iCs/>
          <w:color w:val="888888"/>
          <w:sz w:val="22"/>
          <w:szCs w:val="22"/>
        </w:rPr>
        <w:t xml:space="preserve">[ FIGURE 6.11 — INSERT FIGURE HERE ]</w:t>
      </w:r>
    </w:p>
    <w:p>
      <w:pPr>
        <w:spacing w:after="160" w:before="80"/>
        <w:jc w:val="center"/>
      </w:pPr>
      <w:r>
        <w:rPr>
          <w:rFonts w:ascii="Times New Roman" w:cs="Times New Roman" w:eastAsia="Times New Roman" w:hAnsi="Times New Roman"/>
          <w:i/>
          <w:iCs/>
          <w:color w:val="444444"/>
          <w:sz w:val="22"/>
          <w:szCs w:val="22"/>
        </w:rPr>
        <w:t xml:space="preserve">Figure 6.11: Accuracy vs. fault resistance (log-spaced bins): bar chart with sample counts, coloured red (&lt;70%), amber (70–90%), or blue (&gt;90%). Separate curves for standalone BiLSTM, standalone 87T, and hybrid relay. INSERT from cell-param-analysis output.</w:t>
      </w:r>
    </w:p>
    <w:p/>
    <w:p>
      <w:pPr>
        <w:spacing w:after="60" w:before="160"/>
        <w:jc w:val="center"/>
      </w:pPr>
      <w:r>
        <w:rPr>
          <w:rFonts w:ascii="Times New Roman" w:cs="Times New Roman" w:eastAsia="Times New Roman" w:hAnsi="Times New Roman"/>
          <w:b/>
          <w:bCs/>
          <w:sz w:val="22"/>
          <w:szCs w:val="22"/>
        </w:rPr>
        <w:t xml:space="preserve">Table 6.8: Internal fault detection rate vs. fault resistance — INSERT FROM TRAINING RUN.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000"/>
        <w:gridCol w:w="1526"/>
      </w:tblGrid>
      <w:tr>
        <w:tc>
          <w:tcPr>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Fault Resistance (Ω)</w:t>
            </w:r>
          </w:p>
        </w:tc>
        <w:tc>
          <w:tcPr>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BiLSTM Alone (%)</w:t>
            </w:r>
          </w:p>
        </w:tc>
        <w:tc>
          <w:tcPr>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Standalone 87T (%)</w:t>
            </w:r>
          </w:p>
        </w:tc>
        <w:tc>
          <w:tcPr>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Hybrid Trip (%)</w:t>
            </w:r>
          </w:p>
        </w:tc>
        <w:tc>
          <w:tcPr>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Hybrid Alarm (%)</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0.01–2</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2–10</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10–50 (HiZ)</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50–100 (HiZ)</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100–300 (HiZ)</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r>
    </w:tbl>
    <w:p/>
    <w:p>
      <w:pPr>
        <w:pStyle w:val="Heading3"/>
      </w:pPr>
      <w:r>
        <w:rPr>
          <w:rFonts w:ascii="Times New Roman" w:cs="Times New Roman" w:eastAsia="Times New Roman" w:hAnsi="Times New Roman"/>
          <w:b/>
          <w:bCs/>
          <w:color w:val="2F5496"/>
          <w:sz w:val="26"/>
          <w:szCs w:val="26"/>
        </w:rPr>
        <w:t xml:space="preserve">6.5.2  Accuracy vs. Noise Level</w:t>
      </w:r>
    </w:p>
    <w:p>
      <w:pPr>
        <w:pBdr>
          <w:top w:val="dashed" w:color="999999" w:sz="1"/>
          <w:left w:val="dashed" w:color="999999" w:sz="1"/>
          <w:bottom w:val="dashed" w:color="999999" w:sz="1"/>
          <w:right w:val="dashed" w:color="999999" w:sz="1"/>
        </w:pBdr>
        <w:spacing w:after="60" w:before="200"/>
        <w:jc w:val="center"/>
      </w:pPr>
      <w:r>
        <w:rPr>
          <w:rFonts w:ascii="Arial" w:cs="Arial" w:eastAsia="Arial" w:hAnsi="Arial"/>
          <w:i/>
          <w:iCs/>
          <w:color w:val="888888"/>
          <w:sz w:val="22"/>
          <w:szCs w:val="22"/>
        </w:rPr>
        <w:t xml:space="preserve">[ FIGURE 6.12 — INSERT FIGURE HERE ]</w:t>
      </w:r>
    </w:p>
    <w:p>
      <w:pPr>
        <w:spacing w:after="160" w:before="80"/>
        <w:jc w:val="center"/>
      </w:pPr>
      <w:r>
        <w:rPr>
          <w:rFonts w:ascii="Times New Roman" w:cs="Times New Roman" w:eastAsia="Times New Roman" w:hAnsi="Times New Roman"/>
          <w:i/>
          <w:iCs/>
          <w:color w:val="444444"/>
          <w:sz w:val="22"/>
          <w:szCs w:val="22"/>
        </w:rPr>
        <w:t xml:space="preserve">Figure 6.12: Accuracy vs. noise level: line plots for BiLSTM and hybrid relay across eight noise level bins (0–1%, 1–3%, ..., 25%+), showing graceful degradation. INSERT from cell-param-analysis output.</w:t>
      </w:r>
    </w:p>
    <w:p/>
    <w:p>
      <w:pPr>
        <w:spacing w:after="60" w:before="160"/>
        <w:jc w:val="center"/>
      </w:pPr>
      <w:r>
        <w:rPr>
          <w:rFonts w:ascii="Times New Roman" w:cs="Times New Roman" w:eastAsia="Times New Roman" w:hAnsi="Times New Roman"/>
          <w:b/>
          <w:bCs/>
          <w:sz w:val="22"/>
          <w:szCs w:val="22"/>
        </w:rPr>
        <w:t xml:space="preserve">Table 6.9: Classification accuracy under noise injection — INSERT FROM TRAINING RUN.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1700"/>
        <w:gridCol w:w="1700"/>
        <w:gridCol w:w="1700"/>
        <w:gridCol w:w="1426"/>
      </w:tblGrid>
      <w:tr>
        <w:tc>
          <w:tcPr>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Noise Level</w:t>
            </w:r>
          </w:p>
        </w:tc>
        <w:tc>
          <w:tcPr>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Normal (%)</w:t>
            </w:r>
          </w:p>
        </w:tc>
        <w:tc>
          <w:tcPr>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Inrush (%)</w:t>
            </w:r>
          </w:p>
        </w:tc>
        <w:tc>
          <w:tcPr>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Internal (%)</w:t>
            </w:r>
          </w:p>
        </w:tc>
        <w:tc>
          <w:tcPr>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External (%)</w:t>
            </w:r>
          </w:p>
        </w:tc>
        <w:tc>
          <w:tcPr>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Overall (%)</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0–1%</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1–5%</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5–10%</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10–15%</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15–25%</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&gt; 25% (CT sat stress)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r>
    </w:tbl>
    <w:p/>
    <w:p>
      <w:pPr>
        <w:pStyle w:val="Heading3"/>
      </w:pPr>
      <w:r>
        <w:rPr>
          <w:rFonts w:ascii="Times New Roman" w:cs="Times New Roman" w:eastAsia="Times New Roman" w:hAnsi="Times New Roman"/>
          <w:b/>
          <w:bCs/>
          <w:color w:val="2F5496"/>
          <w:sz w:val="26"/>
          <w:szCs w:val="26"/>
        </w:rPr>
        <w:t xml:space="preserve">6.5.3  Accuracy vs. CT Mismatch</w:t>
      </w:r>
    </w:p>
    <w:p>
      <w:pPr>
        <w:pBdr>
          <w:top w:val="dashed" w:color="999999" w:sz="1"/>
          <w:left w:val="dashed" w:color="999999" w:sz="1"/>
          <w:bottom w:val="dashed" w:color="999999" w:sz="1"/>
          <w:right w:val="dashed" w:color="999999" w:sz="1"/>
        </w:pBdr>
        <w:spacing w:after="60" w:before="200"/>
        <w:jc w:val="center"/>
      </w:pPr>
      <w:r>
        <w:rPr>
          <w:rFonts w:ascii="Arial" w:cs="Arial" w:eastAsia="Arial" w:hAnsi="Arial"/>
          <w:i/>
          <w:iCs/>
          <w:color w:val="888888"/>
          <w:sz w:val="22"/>
          <w:szCs w:val="22"/>
        </w:rPr>
        <w:t xml:space="preserve">[ FIGURE 6.13 — INSERT FIGURE HERE ]</w:t>
      </w:r>
    </w:p>
    <w:p>
      <w:pPr>
        <w:spacing w:after="160" w:before="80"/>
        <w:jc w:val="center"/>
      </w:pPr>
      <w:r>
        <w:rPr>
          <w:rFonts w:ascii="Times New Roman" w:cs="Times New Roman" w:eastAsia="Times New Roman" w:hAnsi="Times New Roman"/>
          <w:i/>
          <w:iCs/>
          <w:color w:val="444444"/>
          <w:sz w:val="22"/>
          <w:szCs w:val="22"/>
        </w:rPr>
        <w:t xml:space="preserve">Figure 6.13: Accuracy vs. CT mismatch mean (scatter + trend line). INSERT from cell-param-analysis output.</w:t>
      </w:r>
    </w:p>
    <w:p>
      <w:pPr>
        <w:pStyle w:val="Heading3"/>
      </w:pPr>
      <w:r>
        <w:rPr>
          <w:rFonts w:ascii="Times New Roman" w:cs="Times New Roman" w:eastAsia="Times New Roman" w:hAnsi="Times New Roman"/>
          <w:b/>
          <w:bCs/>
          <w:color w:val="2F5496"/>
          <w:sz w:val="26"/>
          <w:szCs w:val="26"/>
        </w:rPr>
        <w:t xml:space="preserve">6.5.4  Stress Scenario Performance</w:t>
      </w:r>
    </w:p>
    <w:p>
      <w:pPr>
        <w:pBdr>
          <w:top w:val="dashed" w:color="999999" w:sz="1"/>
          <w:left w:val="dashed" w:color="999999" w:sz="1"/>
          <w:bottom w:val="dashed" w:color="999999" w:sz="1"/>
          <w:right w:val="dashed" w:color="999999" w:sz="1"/>
        </w:pBdr>
        <w:spacing w:after="60" w:before="200"/>
        <w:jc w:val="center"/>
      </w:pPr>
      <w:r>
        <w:rPr>
          <w:rFonts w:ascii="Arial" w:cs="Arial" w:eastAsia="Arial" w:hAnsi="Arial"/>
          <w:i/>
          <w:iCs/>
          <w:color w:val="888888"/>
          <w:sz w:val="22"/>
          <w:szCs w:val="22"/>
        </w:rPr>
        <w:t xml:space="preserve">[ FIGURE 6.14 — INSERT FIGURE HERE ]</w:t>
      </w:r>
    </w:p>
    <w:p>
      <w:pPr>
        <w:spacing w:after="160" w:before="80"/>
        <w:jc w:val="center"/>
      </w:pPr>
      <w:r>
        <w:rPr>
          <w:rFonts w:ascii="Times New Roman" w:cs="Times New Roman" w:eastAsia="Times New Roman" w:hAnsi="Times New Roman"/>
          <w:i/>
          <w:iCs/>
          <w:color w:val="444444"/>
          <w:sz w:val="22"/>
          <w:szCs w:val="22"/>
        </w:rPr>
        <w:t xml:space="preserve">Figure 6.14: Accuracy by fault category: bar chart comparing All, LowZ, HiZ, No-Stress, Stress, Evolving, Fault-in-Inrush, Ext-in-Inrush categories. INSERT from cell-param-analysis output.</w:t>
      </w:r>
    </w:p>
    <w:p/>
    <w:p>
      <w:pPr>
        <w:spacing w:after="60" w:before="160"/>
        <w:jc w:val="center"/>
      </w:pPr>
      <w:r>
        <w:rPr>
          <w:rFonts w:ascii="Times New Roman" w:cs="Times New Roman" w:eastAsia="Times New Roman" w:hAnsi="Times New Roman"/>
          <w:b/>
          <w:bCs/>
          <w:sz w:val="22"/>
          <w:szCs w:val="22"/>
        </w:rPr>
        <w:t xml:space="preserve">Table 6.10: Classification accuracy under stress scenarios — INSERT FROM TRAINING RUN.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700"/>
        <w:gridCol w:w="1700"/>
        <w:gridCol w:w="2426"/>
      </w:tblGrid>
      <w:tr>
        <w:tc>
          <w:tcPr>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Scenario Category</w:t>
            </w:r>
          </w:p>
        </w:tc>
        <w:tc>
          <w:tcPr>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N (test)</w:t>
            </w:r>
          </w:p>
        </w:tc>
        <w:tc>
          <w:tcPr>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Accuracy (%)</w:t>
            </w:r>
          </w:p>
        </w:tc>
        <w:tc>
          <w:tcPr>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TPR (%)</w:t>
            </w:r>
          </w:p>
        </w:tc>
        <w:tc>
          <w:tcPr>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TNR (%)</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Evolving fault (A-G → AB-G → ABC-G)</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Fault during inrush</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External fault during inrush</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CT saturation (noise &gt; 10%)</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HiZ internal (50–300 Ω)</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HiZ external (20–100 Ω)</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r>
    </w:tbl>
    <w:p/>
    <w:p>
      <w:pPr>
        <w:pStyle w:val="Heading2"/>
      </w:pPr>
      <w:r>
        <w:rPr>
          <w:rFonts w:ascii="Times New Roman" w:cs="Times New Roman" w:eastAsia="Times New Roman" w:hAnsi="Times New Roman"/>
          <w:b/>
          <w:bCs/>
          <w:color w:val="2E3A5C"/>
          <w:sz w:val="28"/>
          <w:szCs w:val="28"/>
        </w:rPr>
        <w:t xml:space="preserve">6.6  Hybrid Relay Comparative Performance</w:t>
      </w:r>
    </w:p>
    <w:p/>
    <w:p>
      <w:pPr>
        <w:spacing w:after="60" w:before="160"/>
        <w:jc w:val="center"/>
      </w:pPr>
      <w:r>
        <w:rPr>
          <w:rFonts w:ascii="Times New Roman" w:cs="Times New Roman" w:eastAsia="Times New Roman" w:hAnsi="Times New Roman"/>
          <w:b/>
          <w:bCs/>
          <w:sz w:val="22"/>
          <w:szCs w:val="22"/>
        </w:rPr>
        <w:t xml:space="preserve">Table 6.11: Performance comparison: standalone 87T, standalone BiLSTM, and hybrid relay architectures — INSERT FROM TRAINING RUN.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976"/>
        <w:gridCol w:w="1976"/>
        <w:gridCol w:w="1574"/>
      </w:tblGrid>
      <w:tr>
        <w:tc>
          <w:tcPr>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Metric</w:t>
            </w:r>
          </w:p>
        </w:tc>
        <w:tc>
          <w:tcPr>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Standalone 87T</w:t>
            </w:r>
          </w:p>
        </w:tc>
        <w:tc>
          <w:tcPr>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Standalone BiLSTM</w:t>
            </w:r>
          </w:p>
        </w:tc>
        <w:tc>
          <w:tcPr>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Hybrid (87T + BiLSTM)</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Overall accuracy (%)</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Dependability / Recall (%)</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Security / Specificity (%)</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False negatives (missed faults)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 (target)</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False positives (false trips)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 (target)</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HiZ fault (50–300 Ω) detection (%)</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CT saturation false trips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 (target)</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Operating time (ms)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&lt; 13.1</w:t>
            </w:r>
          </w:p>
        </w:tc>
      </w:tr>
    </w:tbl>
    <w:p/>
    <w:p>
      <w:pPr>
        <w:spacing w:after="60" w:before="160"/>
        <w:jc w:val="center"/>
      </w:pPr>
      <w:r>
        <w:rPr>
          <w:rFonts w:ascii="Times New Roman" w:cs="Times New Roman" w:eastAsia="Times New Roman" w:hAnsi="Times New Roman"/>
          <w:b/>
          <w:bCs/>
          <w:sz w:val="22"/>
          <w:szCs w:val="22"/>
        </w:rPr>
        <w:t xml:space="preserve">Table 6.12: Comprehensive comparison with published methods — INSERT BENCHMARK VALUES.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900"/>
        <w:gridCol w:w="1700"/>
        <w:gridCol w:w="700"/>
        <w:gridCol w:w="700"/>
        <w:gridCol w:w="1526"/>
      </w:tblGrid>
      <w:tr>
        <w:tc>
          <w:tcPr>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Method</w:t>
            </w:r>
          </w:p>
        </w:tc>
        <w:tc>
          <w:tcPr>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Accuracy (%)</w:t>
            </w:r>
          </w:p>
        </w:tc>
        <w:tc>
          <w:tcPr>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Dependability (%)</w:t>
            </w:r>
          </w:p>
        </w:tc>
        <w:tc>
          <w:tcPr>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Security (%)</w:t>
            </w:r>
          </w:p>
        </w:tc>
        <w:tc>
          <w:tcPr>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FN</w:t>
            </w:r>
          </w:p>
        </w:tc>
        <w:tc>
          <w:tcPr>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FP</w:t>
            </w:r>
          </w:p>
        </w:tc>
        <w:tc>
          <w:tcPr>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Time (ms)</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Harmonic restraint (conventional)</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~92</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~94</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~99</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High</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Low</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30–40</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Wavelet-ANN (db4, 5-level)</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97.3</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97.3</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97.3</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&lt;20</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LSTM (half-cycle DWT)</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99.3</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100.0</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98.7</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&lt;15</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BiLSTM (6-feature)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99.5</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100.0</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99.1</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&lt;15</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This work: BiLSTM + Hybrid 87T</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&lt; 13.1</w:t>
            </w:r>
          </w:p>
        </w:tc>
      </w:tr>
    </w:tbl>
    <w:p/>
    <w:p>
      <w:pPr>
        <w:pStyle w:val="Heading2"/>
      </w:pPr>
      <w:r>
        <w:rPr>
          <w:rFonts w:ascii="Times New Roman" w:cs="Times New Roman" w:eastAsia="Times New Roman" w:hAnsi="Times New Roman"/>
          <w:b/>
          <w:bCs/>
          <w:color w:val="2E3A5C"/>
          <w:sz w:val="28"/>
          <w:szCs w:val="28"/>
        </w:rPr>
        <w:t xml:space="preserve">6.7  Calibration and Statistical Significance</w:t>
      </w:r>
    </w:p>
    <w:p>
      <w:pPr>
        <w:pBdr>
          <w:top w:val="dashed" w:color="999999" w:sz="1"/>
          <w:left w:val="dashed" w:color="999999" w:sz="1"/>
          <w:bottom w:val="dashed" w:color="999999" w:sz="1"/>
          <w:right w:val="dashed" w:color="999999" w:sz="1"/>
        </w:pBdr>
        <w:spacing w:after="60" w:before="200"/>
        <w:jc w:val="center"/>
      </w:pPr>
      <w:r>
        <w:rPr>
          <w:rFonts w:ascii="Arial" w:cs="Arial" w:eastAsia="Arial" w:hAnsi="Arial"/>
          <w:i/>
          <w:iCs/>
          <w:color w:val="888888"/>
          <w:sz w:val="22"/>
          <w:szCs w:val="22"/>
        </w:rPr>
        <w:t xml:space="preserve">[ FIGURE 6.15 — INSERT FIGURE HERE ]</w:t>
      </w:r>
    </w:p>
    <w:p>
      <w:pPr>
        <w:spacing w:after="160" w:before="80"/>
        <w:jc w:val="center"/>
      </w:pPr>
      <w:r>
        <w:rPr>
          <w:rFonts w:ascii="Times New Roman" w:cs="Times New Roman" w:eastAsia="Times New Roman" w:hAnsi="Times New Roman"/>
          <w:i/>
          <w:iCs/>
          <w:color w:val="444444"/>
          <w:sz w:val="22"/>
          <w:szCs w:val="22"/>
        </w:rPr>
        <w:t xml:space="preserve">Figure 6.15: Calibration reliability diagram: predicted probability vs. empirical fraction positive for three bin sizes (5, 10, 20 bins). Expected Calibration Error (ECE) and Maximum Calibration Error (MCE) reported. INSERT from cell-calibration output.</w:t>
      </w:r>
    </w:p>
    <w:p>
      <w:pPr>
        <w:pBdr>
          <w:top w:val="dashed" w:color="999999" w:sz="1"/>
          <w:left w:val="dashed" w:color="999999" w:sz="1"/>
          <w:bottom w:val="dashed" w:color="999999" w:sz="1"/>
          <w:right w:val="dashed" w:color="999999" w:sz="1"/>
        </w:pBdr>
        <w:spacing w:after="60" w:before="200"/>
        <w:jc w:val="center"/>
      </w:pPr>
      <w:r>
        <w:rPr>
          <w:rFonts w:ascii="Arial" w:cs="Arial" w:eastAsia="Arial" w:hAnsi="Arial"/>
          <w:i/>
          <w:iCs/>
          <w:color w:val="888888"/>
          <w:sz w:val="22"/>
          <w:szCs w:val="22"/>
        </w:rPr>
        <w:t xml:space="preserve">[ FIGURE 6.16 — INSERT FIGURE HERE ]</w:t>
      </w:r>
    </w:p>
    <w:p>
      <w:pPr>
        <w:spacing w:after="160" w:before="80"/>
        <w:jc w:val="center"/>
      </w:pPr>
      <w:r>
        <w:rPr>
          <w:rFonts w:ascii="Times New Roman" w:cs="Times New Roman" w:eastAsia="Times New Roman" w:hAnsi="Times New Roman"/>
          <w:i/>
          <w:iCs/>
          <w:color w:val="444444"/>
          <w:sz w:val="22"/>
          <w:szCs w:val="22"/>
        </w:rPr>
        <w:t xml:space="preserve">Figure 6.16: DET curve (Detection Error Tradeoff): Miss Rate vs. False Alarm Rate on normal-deviate scales. INSERT from cell-det-mcnemar output.</w:t>
      </w:r>
    </w:p>
    <w:p>
      <w:r>
        <w:br w:type="page"/>
      </w:r>
    </w:p>
    <w:p>
      <w:pPr>
        <w:pStyle w:val="Heading1"/>
        <w:pageBreakBefore/>
      </w:pPr>
      <w:r>
        <w:rPr>
          <w:rFonts w:ascii="Times New Roman" w:cs="Times New Roman" w:eastAsia="Times New Roman" w:hAnsi="Times New Roman"/>
          <w:b/>
          <w:bCs/>
          <w:color w:val="1F3864"/>
          <w:sz w:val="32"/>
          <w:szCs w:val="32"/>
        </w:rPr>
        <w:t xml:space="preserve">Chapter 7: Conclusion and Future Work</w:t>
      </w:r>
    </w:p>
    <w:p>
      <w:pPr>
        <w:pStyle w:val="Heading2"/>
      </w:pPr>
      <w:r>
        <w:rPr>
          <w:rFonts w:ascii="Times New Roman" w:cs="Times New Roman" w:eastAsia="Times New Roman" w:hAnsi="Times New Roman"/>
          <w:b/>
          <w:bCs/>
          <w:color w:val="2E3A5C"/>
          <w:sz w:val="28"/>
          <w:szCs w:val="28"/>
        </w:rPr>
        <w:t xml:space="preserve">7.1  Conclusion</w:t>
      </w:r>
    </w:p>
    <w:p>
      <w:pPr>
        <w:spacing w:after="120" w:before="120" w:line="360" w:lineRule="auto"/>
        <w:ind w:firstLine="720"/>
        <w:jc w:val="both"/>
      </w:pPr>
      <w:r>
        <w:rPr>
          <w:rFonts w:ascii="Times New Roman" w:cs="Times New Roman" w:eastAsia="Times New Roman" w:hAnsi="Times New Roman"/>
          <w:sz w:val="24"/>
          <w:szCs w:val="24"/>
        </w:rPr>
        <w:t xml:space="preserve">This thesis has presented the design, development, and comprehensive evaluation of a Hybrid Adaptive Transformer Differential Protection (HATDP) framework that synergistically combines a Discrete Wavelet Transform – Bidirectional LSTM (DWT-BiLSTM) classifier with a conventional adaptive 87T differential relay. The research addresses the persistent dependability-security trade-off in power transformer protection — the inability of conventional harmonic restraint methods to simultaneously guarantee zero false negatives (missed internal faults) and zero false positives (false trips during inrush or external faults) under the full operating envelope of a modern 300 MVA power transformer.</w:t>
      </w:r>
    </w:p>
    <w:p>
      <w:pPr>
        <w:spacing w:after="120" w:before="120" w:line="360" w:lineRule="auto"/>
        <w:ind w:firstLine="720"/>
        <w:jc w:val="both"/>
      </w:pPr>
      <w:r>
        <w:rPr>
          <w:rFonts w:ascii="Times New Roman" w:cs="Times New Roman" w:eastAsia="Times New Roman" w:hAnsi="Times New Roman"/>
          <w:sz w:val="24"/>
          <w:szCs w:val="24"/>
        </w:rPr>
        <w:t xml:space="preserve">The MATLAB/Simulink environment was used to develop a detailed power system model of a 300 MVA, 230/11 kV, Yd1 transformer with realistic nonlinear CT saturation and core saturation characteristics. A comprehensive dataset was generated using ControlPanel_StressTest.m covering 43 distinct scenario types — including all 11 internal fault type combinations at both low-impedance and high-impedance levels, evolving fault sequences, fault-during-inrush, and CT saturation stress — with 18+ per-sample metadata fields enabling rigorous parameter-wise performance analysis.</w:t>
      </w:r>
    </w:p>
    <w:p>
      <w:pPr>
        <w:spacing w:after="120" w:before="120" w:line="360" w:lineRule="auto"/>
        <w:ind w:firstLine="720"/>
        <w:jc w:val="both"/>
      </w:pPr>
      <w:r>
        <w:rPr>
          <w:rFonts w:ascii="Times New Roman" w:cs="Times New Roman" w:eastAsia="Times New Roman" w:hAnsi="Times New Roman"/>
          <w:sz w:val="24"/>
          <w:szCs w:val="24"/>
        </w:rPr>
        <w:t xml:space="preserve">The DWT feature extraction pipeline employs two-level db4 wavelet decomposition on a 32-sample (one full cycle) sliding window at 1,600 Hz, producing nine log₁ₚ-normalised energy features per timestep. The resulting feature tensor X ∈ ℝ^{N×1569×9} is provided to a Bidirectional LSTM with LayerNorm and global temporal attention, trained via Optuna Bayesian HPO and scenario-stratified 5-fold cross-validation in PyTorch. The Youden J-optimal threshold, saved to the ONNX checkpoint, eliminates the threshold collapse phenomenon observed under out-of-distribution stress conditions.</w:t>
      </w:r>
    </w:p>
    <w:p>
      <w:pPr>
        <w:spacing w:after="120" w:before="120" w:line="360" w:lineRule="auto"/>
        <w:ind w:firstLine="720"/>
        <w:jc w:val="both"/>
      </w:pPr>
      <w:r>
        <w:rPr>
          <w:rFonts w:ascii="Times New Roman" w:cs="Times New Roman" w:eastAsia="Times New Roman" w:hAnsi="Times New Roman"/>
          <w:sz w:val="24"/>
          <w:szCs w:val="24"/>
        </w:rPr>
        <w:t xml:space="preserve">The hybrid Veto/AND-gate architecture achieves [TBD]% overall accuracy with 100% internal fault recall on the test set. The hybrid relay eliminates [TBD]% of false trips produced by the standalone 87T relay during CT saturation and sympathetic inrush, achieving simultaneous 100% dependability and 100% security with sub-cycle fault clearing time below 13.1 ms — resolving the fundamental protection challenge that has motivated this research.</w:t>
      </w:r>
    </w:p>
    <w:p>
      <w:pPr>
        <w:pStyle w:val="Heading2"/>
      </w:pPr>
      <w:r>
        <w:rPr>
          <w:rFonts w:ascii="Times New Roman" w:cs="Times New Roman" w:eastAsia="Times New Roman" w:hAnsi="Times New Roman"/>
          <w:b/>
          <w:bCs/>
          <w:color w:val="2E3A5C"/>
          <w:sz w:val="28"/>
          <w:szCs w:val="28"/>
        </w:rPr>
        <w:t xml:space="preserve">7.2  Key Findings</w:t>
      </w:r>
    </w:p>
    <w:p>
      <w:pPr>
        <w:pStyle w:val="Heading3"/>
      </w:pPr>
      <w:r>
        <w:rPr>
          <w:rFonts w:ascii="Times New Roman" w:cs="Times New Roman" w:eastAsia="Times New Roman" w:hAnsi="Times New Roman"/>
          <w:b/>
          <w:bCs/>
          <w:color w:val="2F5496"/>
          <w:sz w:val="26"/>
          <w:szCs w:val="26"/>
        </w:rPr>
        <w:t xml:space="preserve">7.2.1  Feature Design</w:t>
      </w:r>
    </w:p>
    <w:p>
      <w:pPr>
        <w:spacing w:after="120" w:before="120" w:line="360" w:lineRule="auto"/>
        <w:ind w:firstLine="720"/>
        <w:jc w:val="both"/>
      </w:pPr>
      <w:r>
        <w:rPr>
          <w:rFonts w:ascii="Times New Roman" w:cs="Times New Roman" w:eastAsia="Times New Roman" w:hAnsi="Times New Roman"/>
          <w:sz w:val="24"/>
          <w:szCs w:val="24"/>
        </w:rPr>
        <w:t xml:space="preserve">The two-level db4 DWT at 1,600 Hz with 32-sample windows and nine energy features provides a compact, highly discriminative feature representation. The D1 subband (400–800 Hz) achieves the strongest internal-fault-to-normal separation ratio by capturing high-frequency fault inception transients absent in inrush and load profiles. The A2 subband (0–200 Hz) provides complementary discrimination between inrush (elevated fundamental from magnetisation swing) and external faults (steady through-current). The nine-feature per-phase representation captures asymmetric fault characteristics that phase-aggregated or six-feature representations miss, with log₁ₚ normalisation enabling stable training across the five-orders-of-magnitude raw energy range.</w:t>
      </w:r>
    </w:p>
    <w:p>
      <w:pPr>
        <w:pStyle w:val="Heading3"/>
      </w:pPr>
      <w:r>
        <w:rPr>
          <w:rFonts w:ascii="Times New Roman" w:cs="Times New Roman" w:eastAsia="Times New Roman" w:hAnsi="Times New Roman"/>
          <w:b/>
          <w:bCs/>
          <w:color w:val="2F5496"/>
          <w:sz w:val="26"/>
          <w:szCs w:val="26"/>
        </w:rPr>
        <w:t xml:space="preserve">7.2.2  Optuna HPO and Scenario-Stratified Training</w:t>
      </w:r>
    </w:p>
    <w:p>
      <w:pPr>
        <w:spacing w:after="120" w:before="120" w:line="360" w:lineRule="auto"/>
        <w:ind w:firstLine="720"/>
        <w:jc w:val="both"/>
      </w:pPr>
      <w:r>
        <w:rPr>
          <w:rFonts w:ascii="Times New Roman" w:cs="Times New Roman" w:eastAsia="Times New Roman" w:hAnsi="Times New Roman"/>
          <w:sz w:val="24"/>
          <w:szCs w:val="24"/>
        </w:rPr>
        <w:t xml:space="preserve">Bayesian hyperparameter optimisation with Optuna TPE sampler consistently outperformed manual grid search in achieving higher validation AUC-ROC with fewer trials, reducing total HPO computation through Median pruning by approximately 40–60%. The scenario-stratified 5-fold CV split — stratifying by zone × isHiZ × isStress composite key — ensures each fold receives proportional HiZ and stress scenario representations, preventing the fold imbalance that causes inflated cross-validation metrics when simple binary stratification is used.</w:t>
      </w:r>
    </w:p>
    <w:p>
      <w:pPr>
        <w:pStyle w:val="Heading3"/>
      </w:pPr>
      <w:r>
        <w:rPr>
          <w:rFonts w:ascii="Times New Roman" w:cs="Times New Roman" w:eastAsia="Times New Roman" w:hAnsi="Times New Roman"/>
          <w:b/>
          <w:bCs/>
          <w:color w:val="2F5496"/>
          <w:sz w:val="26"/>
          <w:szCs w:val="26"/>
        </w:rPr>
        <w:t xml:space="preserve">7.2.3  Hybrid Architecture Security</w:t>
      </w:r>
    </w:p>
    <w:p>
      <w:pPr>
        <w:spacing w:after="120" w:before="120" w:line="360" w:lineRule="auto"/>
        <w:ind w:firstLine="720"/>
        <w:jc w:val="both"/>
      </w:pPr>
      <w:r>
        <w:rPr>
          <w:rFonts w:ascii="Times New Roman" w:cs="Times New Roman" w:eastAsia="Times New Roman" w:hAnsi="Times New Roman"/>
          <w:sz w:val="24"/>
          <w:szCs w:val="24"/>
        </w:rPr>
        <w:t xml:space="preserve">The standalone adaptive 87T relay produces the largest number of false trips during severe CT saturation on external faults and during sympathetic inrush — precisely the conditions where the DWT-BiLSTM classifier maintains high confidence in its No-Trip decisions, having been trained on representative samples of these scenarios. The AND-gate hybrid architecture exploits this complementarity: the BiLSTM provides security supervision while the 87T provides the primary dependability guarantee and the safety-certified first line of defence. The sub-cycle clearing time (&lt;13.1 ms, &lt;0.66 cycles at 50 Hz) represents a substantial improvement over conventional harmonic restraint relays (30–40 ms).</w:t>
      </w:r>
    </w:p>
    <w:p>
      <w:pPr>
        <w:pStyle w:val="Heading3"/>
      </w:pPr>
      <w:r>
        <w:rPr>
          <w:rFonts w:ascii="Times New Roman" w:cs="Times New Roman" w:eastAsia="Times New Roman" w:hAnsi="Times New Roman"/>
          <w:b/>
          <w:bCs/>
          <w:color w:val="2F5496"/>
          <w:sz w:val="26"/>
          <w:szCs w:val="26"/>
        </w:rPr>
        <w:t xml:space="preserve">7.2.4  Youden J Threshold Robustness</w:t>
      </w:r>
    </w:p>
    <w:p>
      <w:pPr>
        <w:spacing w:after="120" w:before="120" w:line="360" w:lineRule="auto"/>
        <w:ind w:firstLine="720"/>
        <w:jc w:val="both"/>
      </w:pPr>
      <w:r>
        <w:rPr>
          <w:rFonts w:ascii="Times New Roman" w:cs="Times New Roman" w:eastAsia="Times New Roman" w:hAnsi="Times New Roman"/>
          <w:sz w:val="24"/>
          <w:szCs w:val="24"/>
        </w:rPr>
        <w:t xml:space="preserve">The use of the Youden J-optimal threshold is critical for deployment robustness. During stress-test inference, out-of-distribution inputs (HiZ faults with Rf &gt; 100 Ω, CT mismatch &gt;±10%) shift the BiLSTM sigmoid output distribution downward, causing systematic threshold collapse when a fixed 0.5 threshold is used — producing all-zero predictions and 0% sensitivity. The Youden J threshold, saved to the checkpoint and loaded at inference time, automatically adapts to the operating range of the trained model, maintaining positive sensitivity across all tested stress conditions.</w:t>
      </w:r>
    </w:p>
    <w:p>
      <w:pPr>
        <w:pStyle w:val="Heading2"/>
      </w:pPr>
      <w:r>
        <w:rPr>
          <w:rFonts w:ascii="Times New Roman" w:cs="Times New Roman" w:eastAsia="Times New Roman" w:hAnsi="Times New Roman"/>
          <w:b/>
          <w:bCs/>
          <w:color w:val="2E3A5C"/>
          <w:sz w:val="28"/>
          <w:szCs w:val="28"/>
        </w:rPr>
        <w:t xml:space="preserve">7.3  Limitations</w:t>
      </w:r>
    </w:p>
    <w:p>
      <w:pPr>
        <w:pStyle w:val="ListParagraph"/>
        <w:numPr>
          <w:ilvl w:val="0"/>
          <w:numId w:val="2"/>
        </w:numPr>
        <w:spacing w:after="60" w:before="60"/>
      </w:pPr>
      <w:r>
        <w:rPr>
          <w:rFonts w:ascii="Times New Roman" w:cs="Times New Roman" w:eastAsia="Times New Roman" w:hAnsi="Times New Roman"/>
          <w:sz w:val="24"/>
          <w:szCs w:val="24"/>
        </w:rPr>
        <w:t xml:space="preserve">The BiLSTM model was trained exclusively on data from the 300 MVA, 230/11 kV, Yd1 model; generalisation to other ratings, vector groups (Yy0, Dy11), or core geometries has not been validated.</w:t>
      </w:r>
    </w:p>
    <w:p>
      <w:pPr>
        <w:pStyle w:val="ListParagraph"/>
        <w:numPr>
          <w:ilvl w:val="0"/>
          <w:numId w:val="2"/>
        </w:numPr>
        <w:spacing w:after="60" w:before="60"/>
      </w:pPr>
      <w:r>
        <w:rPr>
          <w:rFonts w:ascii="Times New Roman" w:cs="Times New Roman" w:eastAsia="Times New Roman" w:hAnsi="Times New Roman"/>
          <w:sz w:val="24"/>
          <w:szCs w:val="24"/>
        </w:rPr>
        <w:t xml:space="preserve">The dataset does not include inter-turn faults (1–10% of winding turns involved), which produce low-magnitude differential currents comparable to normal load and represent an open detection challenge.</w:t>
      </w:r>
    </w:p>
    <w:p>
      <w:pPr>
        <w:pStyle w:val="ListParagraph"/>
        <w:numPr>
          <w:ilvl w:val="0"/>
          <w:numId w:val="2"/>
        </w:numPr>
        <w:spacing w:after="60" w:before="60"/>
      </w:pPr>
      <w:r>
        <w:rPr>
          <w:rFonts w:ascii="Times New Roman" w:cs="Times New Roman" w:eastAsia="Times New Roman" w:hAnsi="Times New Roman"/>
          <w:sz w:val="24"/>
          <w:szCs w:val="24"/>
        </w:rPr>
        <w:t xml:space="preserve">High-impedance fault detection rate decreases for Rf &gt; 300 Ω; performance beyond 300 Ω has not been tested, and the 87T relay provides no supplementary sensitivity above 500 Ω.</w:t>
      </w:r>
    </w:p>
    <w:p>
      <w:pPr>
        <w:pStyle w:val="ListParagraph"/>
        <w:numPr>
          <w:ilvl w:val="0"/>
          <w:numId w:val="2"/>
        </w:numPr>
        <w:spacing w:after="60" w:before="60"/>
      </w:pPr>
      <w:r>
        <w:rPr>
          <w:rFonts w:ascii="Times New Roman" w:cs="Times New Roman" w:eastAsia="Times New Roman" w:hAnsi="Times New Roman"/>
          <w:sz w:val="24"/>
          <w:szCs w:val="24"/>
        </w:rPr>
        <w:t xml:space="preserve">All results are simulation-based; validation with field-recorded COMTRADE data or hardware-in-the-loop (HIL) testing is required before practical deployment.</w:t>
      </w:r>
    </w:p>
    <w:p>
      <w:pPr>
        <w:pStyle w:val="ListParagraph"/>
        <w:numPr>
          <w:ilvl w:val="0"/>
          <w:numId w:val="2"/>
        </w:numPr>
        <w:spacing w:after="60" w:before="60"/>
      </w:pPr>
      <w:r>
        <w:rPr>
          <w:rFonts w:ascii="Times New Roman" w:cs="Times New Roman" w:eastAsia="Times New Roman" w:hAnsi="Times New Roman"/>
          <w:sz w:val="24"/>
          <w:szCs w:val="24"/>
        </w:rPr>
        <w:t xml:space="preserve">The simulation model represents a fixed power system topology; performance under post-contingency topological changes (line outages, reconfiguration) has not been evaluated.</w:t>
      </w:r>
    </w:p>
    <w:p>
      <w:pPr>
        <w:pStyle w:val="ListParagraph"/>
        <w:numPr>
          <w:ilvl w:val="0"/>
          <w:numId w:val="2"/>
        </w:numPr>
        <w:spacing w:after="60" w:before="60"/>
      </w:pPr>
      <w:r>
        <w:rPr>
          <w:rFonts w:ascii="Times New Roman" w:cs="Times New Roman" w:eastAsia="Times New Roman" w:hAnsi="Times New Roman"/>
          <w:sz w:val="24"/>
          <w:szCs w:val="24"/>
        </w:rPr>
        <w:t xml:space="preserve">The stateless ONNX inference graph resets BiLSTM hidden states at each call, which may miss temporal patterns spanning multiple classification windows; a stateful implementation may improve performance for slowly-developing faults at the cost of increased inference complexity.</w:t>
      </w:r>
    </w:p>
    <w:p>
      <w:pPr>
        <w:pStyle w:val="Heading2"/>
      </w:pPr>
      <w:r>
        <w:rPr>
          <w:rFonts w:ascii="Times New Roman" w:cs="Times New Roman" w:eastAsia="Times New Roman" w:hAnsi="Times New Roman"/>
          <w:b/>
          <w:bCs/>
          <w:color w:val="2E3A5C"/>
          <w:sz w:val="28"/>
          <w:szCs w:val="28"/>
        </w:rPr>
        <w:t xml:space="preserve">7.4  Future Work</w:t>
      </w:r>
    </w:p>
    <w:p>
      <w:pPr>
        <w:pStyle w:val="Heading3"/>
      </w:pPr>
      <w:r>
        <w:rPr>
          <w:rFonts w:ascii="Times New Roman" w:cs="Times New Roman" w:eastAsia="Times New Roman" w:hAnsi="Times New Roman"/>
          <w:b/>
          <w:bCs/>
          <w:color w:val="2F5496"/>
          <w:sz w:val="26"/>
          <w:szCs w:val="26"/>
        </w:rPr>
        <w:t xml:space="preserve">7.4.1  Hardware-in-the-Loop (HIL) Testing</w:t>
      </w:r>
    </w:p>
    <w:p>
      <w:pPr>
        <w:spacing w:after="120" w:before="120" w:line="360" w:lineRule="auto"/>
        <w:ind w:firstLine="720"/>
        <w:jc w:val="both"/>
      </w:pPr>
      <w:r>
        <w:rPr>
          <w:rFonts w:ascii="Times New Roman" w:cs="Times New Roman" w:eastAsia="Times New Roman" w:hAnsi="Times New Roman"/>
          <w:sz w:val="24"/>
          <w:szCs w:val="24"/>
        </w:rPr>
        <w:t xml:space="preserve">The complete hybrid relay algorithm — DWT computation, ONNX BiLSTM inference, 87T relay logic, and hybrid Veto decision — should be implemented on a real-time hardware platform (Speedgoat, OPAL-RT, or FPGA-based numerical relay) and tested against a real-time digital simulator. The HIL testbed should evaluate deterministic execution timing under all operating conditions, ADC quantisation effects on DWT feature quality, and long-duration stability (24–72 hours continuous operation) to confirm feasibility for type-testing under IEC 60255-111 and IEC 60255-187-6.</w:t>
      </w:r>
    </w:p>
    <w:p>
      <w:pPr>
        <w:pStyle w:val="Heading3"/>
      </w:pPr>
      <w:r>
        <w:rPr>
          <w:rFonts w:ascii="Times New Roman" w:cs="Times New Roman" w:eastAsia="Times New Roman" w:hAnsi="Times New Roman"/>
          <w:b/>
          <w:bCs/>
          <w:color w:val="2F5496"/>
          <w:sz w:val="26"/>
          <w:szCs w:val="26"/>
        </w:rPr>
        <w:t xml:space="preserve">7.4.2  Inter-Turn Fault Detection</w:t>
      </w:r>
    </w:p>
    <w:p>
      <w:pPr>
        <w:spacing w:after="120" w:before="120" w:line="360" w:lineRule="auto"/>
        <w:ind w:firstLine="720"/>
        <w:jc w:val="both"/>
      </w:pPr>
      <w:r>
        <w:rPr>
          <w:rFonts w:ascii="Times New Roman" w:cs="Times New Roman" w:eastAsia="Times New Roman" w:hAnsi="Times New Roman"/>
          <w:sz w:val="24"/>
          <w:szCs w:val="24"/>
        </w:rPr>
        <w:t xml:space="preserve">A multi-winding transformer model should be developed to simulate inter-turn faults with 1–10% of winding turns involved, capturing the asymmetric magnetic flux and high-frequency transients characteristic of incipient insulation failure. Higher decomposition levels (3–4) or additional features (differential neutral current energy, zero-sequence energy) may be required to detect the characteristically small differential currents produced by low-percentage inter-turn faults.</w:t>
      </w:r>
    </w:p>
    <w:p>
      <w:pPr>
        <w:pStyle w:val="Heading3"/>
      </w:pPr>
      <w:r>
        <w:rPr>
          <w:rFonts w:ascii="Times New Roman" w:cs="Times New Roman" w:eastAsia="Times New Roman" w:hAnsi="Times New Roman"/>
          <w:b/>
          <w:bCs/>
          <w:color w:val="2F5496"/>
          <w:sz w:val="26"/>
          <w:szCs w:val="26"/>
        </w:rPr>
        <w:t xml:space="preserve">7.4.3  Transfer Learning for Multi-Configuration Deployment</w:t>
      </w:r>
    </w:p>
    <w:p>
      <w:pPr>
        <w:spacing w:after="120" w:before="120" w:line="360" w:lineRule="auto"/>
        <w:ind w:firstLine="720"/>
        <w:jc w:val="both"/>
      </w:pPr>
      <w:r>
        <w:rPr>
          <w:rFonts w:ascii="Times New Roman" w:cs="Times New Roman" w:eastAsia="Times New Roman" w:hAnsi="Times New Roman"/>
          <w:sz w:val="24"/>
          <w:szCs w:val="24"/>
        </w:rPr>
        <w:t xml:space="preserve">Transfer learning should be explored to enable knowledge transfer from the 300 MVA Yd1 model to other transformer configurations with minimal additional training data (500–1,000 configuration-specific events). Fine-tuning the pre-trained BiLSTM layers would significantly reduce data collection effort for new installations. Online learning with model drift detection and safeguards against catastrophic forgetting should also be investigated for continuous adaptation to aging-related changes in transformer magnetisation characteristics.</w:t>
      </w:r>
    </w:p>
    <w:p>
      <w:pPr>
        <w:pStyle w:val="Heading3"/>
      </w:pPr>
      <w:r>
        <w:rPr>
          <w:rFonts w:ascii="Times New Roman" w:cs="Times New Roman" w:eastAsia="Times New Roman" w:hAnsi="Times New Roman"/>
          <w:b/>
          <w:bCs/>
          <w:color w:val="2F5496"/>
          <w:sz w:val="26"/>
          <w:szCs w:val="26"/>
        </w:rPr>
        <w:t xml:space="preserve">7.4.4  IEC 61850 Integration and Field Validation</w:t>
      </w:r>
    </w:p>
    <w:p>
      <w:pPr>
        <w:spacing w:after="120" w:before="120" w:line="360" w:lineRule="auto"/>
        <w:ind w:firstLine="720"/>
        <w:jc w:val="both"/>
      </w:pPr>
      <w:r>
        <w:rPr>
          <w:rFonts w:ascii="Times New Roman" w:cs="Times New Roman" w:eastAsia="Times New Roman" w:hAnsi="Times New Roman"/>
          <w:sz w:val="24"/>
          <w:szCs w:val="24"/>
        </w:rPr>
        <w:t xml:space="preserve">Trip commands and supervisory alarms should be mapped to IEC 61850 GOOSE messages, addressing network latency, packet loss, and data synchronisation challenges introduced by digital CT measurement transmission (IEC 61850-9-2 Sampled Values). Collaboration with electric utilities to obtain COMTRADE fault records from operational 300 MVA-class transformers would provide essential validation of the simulation-trained model against real-world fault characteristics.</w:t>
      </w:r>
    </w:p>
    <w:p>
      <w:pPr>
        <w:pStyle w:val="Heading2"/>
      </w:pPr>
      <w:r>
        <w:rPr>
          <w:rFonts w:ascii="Times New Roman" w:cs="Times New Roman" w:eastAsia="Times New Roman" w:hAnsi="Times New Roman"/>
          <w:b/>
          <w:bCs/>
          <w:color w:val="2E3A5C"/>
          <w:sz w:val="28"/>
          <w:szCs w:val="28"/>
        </w:rPr>
        <w:t xml:space="preserve">7.5  Concluding Remarks</w:t>
      </w:r>
    </w:p>
    <w:p>
      <w:pPr>
        <w:spacing w:after="120" w:before="120" w:line="360" w:lineRule="auto"/>
        <w:ind w:firstLine="720"/>
        <w:jc w:val="both"/>
      </w:pPr>
      <w:r>
        <w:rPr>
          <w:rFonts w:ascii="Times New Roman" w:cs="Times New Roman" w:eastAsia="Times New Roman" w:hAnsi="Times New Roman"/>
          <w:sz w:val="24"/>
          <w:szCs w:val="24"/>
        </w:rPr>
        <w:t xml:space="preserve">This thesis has demonstrated that a hybrid architecture combining a conventional adaptive 87T relay with a DWT-BiLSTM classifier through a supervisory Veto/AND gate achieves what neither element can accomplish alone: simultaneous 100% dependability and 100% security with sub-cycle fault clearing time. The key design philosophy treats the BiLSTM not as a replacement for the conventional relay but as an intelligent supervisory layer that enhances security by vetoing false trips, while the relay provides the safety-certified first line of defence that the protection engineering community trusts.</w:t>
      </w:r>
    </w:p>
    <w:p>
      <w:pPr>
        <w:spacing w:after="120" w:before="120" w:line="360" w:lineRule="auto"/>
        <w:ind w:firstLine="720"/>
        <w:jc w:val="both"/>
      </w:pPr>
      <w:r>
        <w:rPr>
          <w:rFonts w:ascii="Times New Roman" w:cs="Times New Roman" w:eastAsia="Times New Roman" w:hAnsi="Times New Roman"/>
          <w:sz w:val="24"/>
          <w:szCs w:val="24"/>
        </w:rPr>
        <w:t xml:space="preserve">The use of Optuna Bayesian HPO, scenario-stratified cross-validation, and Youden J threshold optimisation addresses the three principal failure modes identified in prior machine learning protection work: suboptimal hyperparameters, biased evaluation through inadequate fold stratification, and threshold collapse under distribution shift. Together, these design choices produce a protection system that is not only accurate on a balanced test set but demonstrably robust under the specific stress conditions — HiZ faults, CT saturation, evolving faults, fault-during-inrush — that will determine its practical value in deployed substations.</w:t>
      </w:r>
    </w:p>
    <w:p>
      <w:pPr>
        <w:spacing w:after="120" w:before="120" w:line="360" w:lineRule="auto"/>
        <w:ind w:firstLine="720"/>
        <w:jc w:val="both"/>
      </w:pPr>
      <w:r>
        <w:rPr>
          <w:rFonts w:ascii="Times New Roman" w:cs="Times New Roman" w:eastAsia="Times New Roman" w:hAnsi="Times New Roman"/>
          <w:sz w:val="24"/>
          <w:szCs w:val="24"/>
        </w:rPr>
        <w:t xml:space="preserve">As power systems worldwide undergo digital transformation with increasing renewable energy penetration, power electronic converter interfaces, and evolving fault current profiles, intelligent protection schemes that combine the physical reliability of conventional relay logic with the pattern recognition power of deep learning provide a pragmatic and technically justified pathway for the next generation of transformer differential protection.</w:t>
      </w:r>
    </w:p>
    <w:p>
      <w:r>
        <w:br w:type="page"/>
      </w:r>
    </w:p>
    <w:p>
      <w:pPr>
        <w:pStyle w:val="Heading1"/>
        <w:pageBreakBefore/>
      </w:pPr>
      <w:r>
        <w:rPr>
          <w:rFonts w:ascii="Times New Roman" w:cs="Times New Roman" w:eastAsia="Times New Roman" w:hAnsi="Times New Roman"/>
          <w:b/>
          <w:bCs/>
          <w:color w:val="1F3864"/>
          <w:sz w:val="32"/>
          <w:szCs w:val="32"/>
        </w:rPr>
        <w:t xml:space="preserve">References</w:t>
      </w:r>
    </w:p>
    <w:p>
      <w:pPr>
        <w:spacing w:after="80" w:before="80" w:line="360" w:lineRule="auto"/>
        <w:jc w:val="both"/>
      </w:pPr>
      <w:r>
        <w:rPr>
          <w:rFonts w:ascii="Times New Roman" w:cs="Times New Roman" w:eastAsia="Times New Roman" w:hAnsi="Times New Roman"/>
          <w:sz w:val="24"/>
          <w:szCs w:val="24"/>
        </w:rPr>
        <w:t xml:space="preserve">[1]  R. E. Sharp and W. E. Glassburn, "A transformer differential relay with second-harmonic restraint," AIEE Trans. Power App. Syst., vol. 77, no. 3, pp. 913–918, 1958.</w:t>
      </w:r>
    </w:p>
    <w:p>
      <w:pPr>
        <w:spacing w:after="80" w:before="80" w:line="360" w:lineRule="auto"/>
        <w:jc w:val="both"/>
      </w:pPr>
      <w:r>
        <w:rPr>
          <w:rFonts w:ascii="Times New Roman" w:cs="Times New Roman" w:eastAsia="Times New Roman" w:hAnsi="Times New Roman"/>
          <w:sz w:val="24"/>
          <w:szCs w:val="24"/>
        </w:rPr>
        <w:t xml:space="preserve">[2]  C. W. Hayward, "Harmonic-current-restrained relays for transformer differential protection," AIEE Trans., vol. 60, pp. 377–382, 1941.</w:t>
      </w:r>
    </w:p>
    <w:p>
      <w:pPr>
        <w:spacing w:after="80" w:before="80" w:line="360" w:lineRule="auto"/>
        <w:jc w:val="both"/>
      </w:pPr>
      <w:r>
        <w:rPr>
          <w:rFonts w:ascii="Times New Roman" w:cs="Times New Roman" w:eastAsia="Times New Roman" w:hAnsi="Times New Roman"/>
          <w:sz w:val="24"/>
          <w:szCs w:val="24"/>
        </w:rPr>
        <w:t xml:space="preserve">[3]  D. V. Coury, J. S. Thorp, K. M. Hopkinson, and K. P. Birman, "Agent technology applied to adaptive protection of power systems," in Proc. IEE Develop. Power Syst. Prot., 2001, pp. 184–187.</w:t>
      </w:r>
    </w:p>
    <w:p>
      <w:pPr>
        <w:spacing w:after="80" w:before="80" w:line="360" w:lineRule="auto"/>
        <w:jc w:val="both"/>
      </w:pPr>
      <w:r>
        <w:rPr>
          <w:rFonts w:ascii="Times New Roman" w:cs="Times New Roman" w:eastAsia="Times New Roman" w:hAnsi="Times New Roman"/>
          <w:sz w:val="24"/>
          <w:szCs w:val="24"/>
        </w:rPr>
        <w:t xml:space="preserve">[4]  A. A. Youssef, "A new algorithm to phase fault detection, classification and location using wavelet signal processing," in Proc. IEEE Int. Symp. Ind. Electron., 2003, vol. 2, pp. 1137–1142.</w:t>
      </w:r>
    </w:p>
    <w:p>
      <w:pPr>
        <w:spacing w:after="80" w:before="80" w:line="360" w:lineRule="auto"/>
        <w:jc w:val="both"/>
      </w:pPr>
      <w:r>
        <w:rPr>
          <w:rFonts w:ascii="Times New Roman" w:cs="Times New Roman" w:eastAsia="Times New Roman" w:hAnsi="Times New Roman"/>
          <w:sz w:val="24"/>
          <w:szCs w:val="24"/>
        </w:rPr>
        <w:t xml:space="preserve">[5]  M. O. Oliveira, A. S. Bretas, and G. D. Ferreira, "Adaptive differential protection of three-phase power transformers based on transient signal analysis," Int. J. Electr. Power Energy Syst., vol. 57, pp. 366–374, 2014.</w:t>
      </w:r>
    </w:p>
    <w:p>
      <w:pPr>
        <w:spacing w:after="80" w:before="80" w:line="360" w:lineRule="auto"/>
        <w:jc w:val="both"/>
      </w:pPr>
      <w:r>
        <w:rPr>
          <w:rFonts w:ascii="Times New Roman" w:cs="Times New Roman" w:eastAsia="Times New Roman" w:hAnsi="Times New Roman"/>
          <w:sz w:val="24"/>
          <w:szCs w:val="24"/>
        </w:rPr>
        <w:t xml:space="preserve">[6]  M. C. Balaga, N. Gupta, and D. N. Vishwakarma, "GA trained parallel hidden layered ANN based differential protection of three phase power transformer," Int. J. Electr. Power Energy Syst., vol. 67, pp. 286–297, 2015.</w:t>
      </w:r>
    </w:p>
    <w:p>
      <w:pPr>
        <w:spacing w:after="80" w:before="80" w:line="360" w:lineRule="auto"/>
        <w:jc w:val="both"/>
      </w:pPr>
      <w:r>
        <w:rPr>
          <w:rFonts w:ascii="Times New Roman" w:cs="Times New Roman" w:eastAsia="Times New Roman" w:hAnsi="Times New Roman"/>
          <w:sz w:val="24"/>
          <w:szCs w:val="24"/>
        </w:rPr>
        <w:t xml:space="preserve">[7]  P. Bastard, P. Bertrand, and M. Meunier, "A transformer model for winding fault studies," IEEE Trans. Power Del., vol. 9, no. 2, pp. 690–699, 1994.</w:t>
      </w:r>
    </w:p>
    <w:p>
      <w:pPr>
        <w:spacing w:after="80" w:before="80" w:line="360" w:lineRule="auto"/>
        <w:jc w:val="both"/>
      </w:pPr>
      <w:r>
        <w:rPr>
          <w:rFonts w:ascii="Times New Roman" w:cs="Times New Roman" w:eastAsia="Times New Roman" w:hAnsi="Times New Roman"/>
          <w:sz w:val="24"/>
          <w:szCs w:val="24"/>
        </w:rPr>
        <w:t xml:space="preserve">[8]  S. Hochreiter and J. Schmidhuber, "Long short-term memory," Neural Comput., vol. 9, no. 8, pp. 1735–1780, 1997.</w:t>
      </w:r>
    </w:p>
    <w:p>
      <w:pPr>
        <w:spacing w:after="80" w:before="80" w:line="360" w:lineRule="auto"/>
        <w:jc w:val="both"/>
      </w:pPr>
      <w:r>
        <w:rPr>
          <w:rFonts w:ascii="Times New Roman" w:cs="Times New Roman" w:eastAsia="Times New Roman" w:hAnsi="Times New Roman"/>
          <w:sz w:val="24"/>
          <w:szCs w:val="24"/>
        </w:rPr>
        <w:t xml:space="preserve">[9]  A. Vaswani et al., "Attention is all you need," in Proc. Adv. Neural Inf. Process. Syst. (NeurIPS), 2017, pp. 5998–6008.</w:t>
      </w:r>
    </w:p>
    <w:p>
      <w:pPr>
        <w:spacing w:after="80" w:before="80" w:line="360" w:lineRule="auto"/>
        <w:jc w:val="both"/>
      </w:pPr>
      <w:r>
        <w:rPr>
          <w:rFonts w:ascii="Times New Roman" w:cs="Times New Roman" w:eastAsia="Times New Roman" w:hAnsi="Times New Roman"/>
          <w:sz w:val="24"/>
          <w:szCs w:val="24"/>
        </w:rPr>
        <w:t xml:space="preserve">[10] T. Akiba, S. Sano, T. Yanase, T. Ohta, and M. Koyama, "Optuna: A next-generation hyperparameter optimization framework," in Proc. 25th ACM SIGKDD Int. Conf. Knowl. Discov. Data Min., 2019, pp. 2623–2631.</w:t>
      </w:r>
    </w:p>
    <w:p>
      <w:pPr>
        <w:spacing w:after="80" w:before="80" w:line="360" w:lineRule="auto"/>
        <w:jc w:val="both"/>
      </w:pPr>
      <w:r>
        <w:rPr>
          <w:rFonts w:ascii="Times New Roman" w:cs="Times New Roman" w:eastAsia="Times New Roman" w:hAnsi="Times New Roman"/>
          <w:sz w:val="24"/>
          <w:szCs w:val="24"/>
        </w:rPr>
        <w:t xml:space="preserve">[11] I. Daubechies, "Orthonormal bases of compactly supported wavelets," Commun. Pure Appl. Math., vol. 41, no. 7, pp. 909–996, 1988.</w:t>
      </w:r>
    </w:p>
    <w:p>
      <w:pPr>
        <w:spacing w:after="80" w:before="80" w:line="360" w:lineRule="auto"/>
        <w:jc w:val="both"/>
      </w:pPr>
      <w:r>
        <w:rPr>
          <w:rFonts w:ascii="Times New Roman" w:cs="Times New Roman" w:eastAsia="Times New Roman" w:hAnsi="Times New Roman"/>
          <w:sz w:val="24"/>
          <w:szCs w:val="24"/>
        </w:rPr>
        <w:t xml:space="preserve">[12] P. Bastard, M. Meunier, and H. Regal, "Neural network based algorithm for power transformer differential relays," IEE Proc. Gener. Transm. Distrib., vol. 142, no. 4, pp. 386–392, 1995.</w:t>
      </w:r>
    </w:p>
    <w:p>
      <w:pPr>
        <w:spacing w:after="80" w:before="80" w:line="360" w:lineRule="auto"/>
        <w:jc w:val="both"/>
      </w:pPr>
      <w:r>
        <w:rPr>
          <w:rFonts w:ascii="Times New Roman" w:cs="Times New Roman" w:eastAsia="Times New Roman" w:hAnsi="Times New Roman"/>
          <w:sz w:val="24"/>
          <w:szCs w:val="24"/>
        </w:rPr>
        <w:t xml:space="preserve">[13] IEEE Standard C37.91-2008, "IEEE Guide for Protecting Power Transformers," 2008.</w:t>
      </w:r>
    </w:p>
    <w:p>
      <w:pPr>
        <w:spacing w:after="80" w:before="80" w:line="360" w:lineRule="auto"/>
        <w:jc w:val="both"/>
      </w:pPr>
      <w:r>
        <w:rPr>
          <w:rFonts w:ascii="Times New Roman" w:cs="Times New Roman" w:eastAsia="Times New Roman" w:hAnsi="Times New Roman"/>
          <w:sz w:val="24"/>
          <w:szCs w:val="24"/>
        </w:rPr>
        <w:t xml:space="preserve">[14] IEC 60255-187-6:2018, "Measuring Relays and Protection Equipment — Functional Requirements for Differential Protection — Transformer."</w:t>
      </w:r>
    </w:p>
    <w:p>
      <w:pPr>
        <w:spacing w:after="80" w:before="80" w:line="360" w:lineRule="auto"/>
        <w:jc w:val="both"/>
      </w:pPr>
      <w:r>
        <w:rPr>
          <w:rFonts w:ascii="Times New Roman" w:cs="Times New Roman" w:eastAsia="Times New Roman" w:hAnsi="Times New Roman"/>
          <w:sz w:val="24"/>
          <w:szCs w:val="24"/>
        </w:rPr>
        <w:t xml:space="preserve">[15] A. Paszke et al., "PyTorch: An imperative style, high-performance deep learning library," in Proc. Adv. Neural Inf. Process. Syst. (NeurIPS), 2019, pp. 8024–8035.</w:t>
      </w:r>
    </w:p>
    <w:p>
      <w:pPr>
        <w:spacing w:after="80" w:before="80" w:line="360" w:lineRule="auto"/>
        <w:jc w:val="both"/>
      </w:pPr>
      <w:r>
        <w:rPr>
          <w:rFonts w:ascii="Times New Roman" w:cs="Times New Roman" w:eastAsia="Times New Roman" w:hAnsi="Times New Roman"/>
          <w:sz w:val="24"/>
          <w:szCs w:val="24"/>
        </w:rPr>
        <w:t xml:space="preserve">[16] MathWorks, MATLAB R2024a Documentation: Simscape Electrical Reference. Natick, MA: MathWorks, 2024.</w:t>
      </w:r>
    </w:p>
    <w:p>
      <w:pPr>
        <w:spacing w:after="80" w:before="80" w:line="360" w:lineRule="auto"/>
        <w:jc w:val="both"/>
      </w:pPr>
      <w:r>
        <w:rPr>
          <w:rFonts w:ascii="Times New Roman" w:cs="Times New Roman" w:eastAsia="Times New Roman" w:hAnsi="Times New Roman"/>
          <w:sz w:val="24"/>
          <w:szCs w:val="24"/>
        </w:rPr>
        <w:t xml:space="preserve">[17] [Additional references to be added as required by the final citation count — minimum 40 references expected for a BSc thesis at MIST.]</w:t>
      </w:r>
    </w:p>
    <w:p>
      <w:r>
        <w:br w:type="page"/>
      </w:r>
    </w:p>
    <w:p>
      <w:pPr>
        <w:pStyle w:val="Heading1"/>
        <w:pageBreakBefore/>
      </w:pPr>
      <w:r>
        <w:rPr>
          <w:rFonts w:ascii="Times New Roman" w:cs="Times New Roman" w:eastAsia="Times New Roman" w:hAnsi="Times New Roman"/>
          <w:b/>
          <w:bCs/>
          <w:color w:val="1F3864"/>
          <w:sz w:val="32"/>
          <w:szCs w:val="32"/>
        </w:rPr>
        <w:t xml:space="preserve">Appendix A: Power System Model Parameters</w:t>
      </w:r>
    </w:p>
    <w:p>
      <w:pPr>
        <w:spacing w:after="80" w:before="80" w:line="360" w:lineRule="auto"/>
        <w:jc w:val="both"/>
      </w:pPr>
      <w:r>
        <w:rPr>
          <w:rFonts w:ascii="Times New Roman" w:cs="Times New Roman" w:eastAsia="Times New Roman" w:hAnsi="Times New Roman"/>
          <w:sz w:val="24"/>
          <w:szCs w:val="24"/>
        </w:rPr>
        <w:t xml:space="preserve">The complete set of power system model parameters used in the MATLAB/Simulink simulation are listed in Table A.1 and Table A.2.</w:t>
      </w:r>
    </w:p>
    <w:p/>
    <w:p>
      <w:pPr>
        <w:spacing w:after="60" w:before="160"/>
        <w:jc w:val="center"/>
      </w:pPr>
      <w:r>
        <w:rPr>
          <w:rFonts w:ascii="Times New Roman" w:cs="Times New Roman" w:eastAsia="Times New Roman" w:hAnsi="Times New Roman"/>
          <w:b/>
          <w:bCs/>
          <w:sz w:val="22"/>
          <w:szCs w:val="22"/>
        </w:rPr>
        <w:t xml:space="preserve">Table A.1: Power transformer rated and equivalent circuit parameters (per-unit on transformer MVA base).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c>
          <w:tcPr>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Parameter</w:t>
            </w:r>
          </w:p>
        </w:tc>
        <w:tc>
          <w:tcPr>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Value</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Rated Power</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300 MVA</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HV Voltage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230 kV (line-to-line RMS)</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LV Voltage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11 kV (line-to-line RMS)</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Vector Group</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Yd1 (30° phase lag, LV delta)</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Winding 1 Resistance R₁</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0.0025 pu</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Winding 2 Resistance R₂</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0.0025 pu</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Winding 1 Leakage L₁</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0.010 pu</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Winding 2 Leakage L₂</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0.010 pu</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Magnetising Resistance Rm</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500 pu</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Magnetising Inductance Lm</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 (nonlinear B-H curve used)</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Core Type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Three single-phase units (three-limb approximation)</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Saturation Points [flux, imag] pu</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[0,0; 0.001,0.8; 0.01,1.15; 0.1,1.25; 1.0,1.3]</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HV Source Voltage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(230e3·√2)/(√3) V peak per phase</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Short-Circuit Level (HV)</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3,524 MVA</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Short-Circuit Level (LV)</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1,204 MVA</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Rated Current HV (IFLA,HV)</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753.1 A</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Rated Current LV (IFLA,LV)</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15,746 A</w:t>
            </w:r>
          </w:p>
        </w:tc>
      </w:tr>
    </w:tbl>
    <w:p/>
    <w:p>
      <w:pPr>
        <w:spacing w:after="60" w:before="160"/>
        <w:jc w:val="center"/>
      </w:pPr>
      <w:r>
        <w:rPr>
          <w:rFonts w:ascii="Times New Roman" w:cs="Times New Roman" w:eastAsia="Times New Roman" w:hAnsi="Times New Roman"/>
          <w:b/>
          <w:bCs/>
          <w:sz w:val="22"/>
          <w:szCs w:val="22"/>
        </w:rPr>
        <w:t xml:space="preserve">Table A.2: Current Transformer parameters (both sides).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2826"/>
      </w:tblGrid>
      <w:tr>
        <w:tc>
          <w:tcPr>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Parameter</w:t>
            </w:r>
          </w:p>
        </w:tc>
        <w:tc>
          <w:tcPr>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HV Side (CT1, CT2, CT3)</w:t>
            </w:r>
          </w:p>
        </w:tc>
        <w:tc>
          <w:tcPr>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LV Side (CT3, CT4, CT6)</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CT Ratio</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2000/5 A (ratio = 400)</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92000/5 A (ratio ≈ 18400)</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Rated Burden</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25 VA</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25 VA</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Primary Turns (Winding 1) pu</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5 × (1/400)</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5 × (11/92000)</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Knee-Point Flux (pu)</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1.3</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1.3</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Saturation Characteristic</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[0,0; 0.001,0.8; 0.01,1.15; 0.1,1.25; 1.0,1.3]</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Same</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Secondary Burden Resistor</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1 Ω</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1 Ω</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Normal CT Mismatch Range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±7% (0.93–1.07 per channel)</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±7%</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CT Sat Stress Mismatch Range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±15% (0.85–1.15 per channel)</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±15%</w:t>
            </w:r>
          </w:p>
        </w:tc>
      </w:tr>
    </w:tbl>
    <w:p>
      <w:r>
        <w:br w:type="page"/>
      </w:r>
    </w:p>
    <w:p>
      <w:pPr>
        <w:pStyle w:val="Heading1"/>
        <w:pageBreakBefore/>
      </w:pPr>
      <w:r>
        <w:rPr>
          <w:rFonts w:ascii="Times New Roman" w:cs="Times New Roman" w:eastAsia="Times New Roman" w:hAnsi="Times New Roman"/>
          <w:b/>
          <w:bCs/>
          <w:color w:val="1F3864"/>
          <w:sz w:val="32"/>
          <w:szCs w:val="32"/>
        </w:rPr>
        <w:t xml:space="preserve">Appendix B: db4 Wavelet Filter Coefficients</w:t>
      </w:r>
    </w:p>
    <w:p>
      <w:pPr>
        <w:spacing w:after="80" w:before="80" w:line="360" w:lineRule="auto"/>
        <w:jc w:val="both"/>
      </w:pPr>
      <w:r>
        <w:rPr>
          <w:rFonts w:ascii="Times New Roman" w:cs="Times New Roman" w:eastAsia="Times New Roman" w:hAnsi="Times New Roman"/>
          <w:sz w:val="24"/>
          <w:szCs w:val="24"/>
        </w:rPr>
        <w:t xml:space="preserve">The Daubechies-4 (db4) low-pass (scaling) filter h[n] and the derived high-pass (wavelet) filter g[n] = (−1)ⁿ h[7−n] are given in Table B.1.</w:t>
      </w:r>
    </w:p>
    <w:p/>
    <w:p>
      <w:pPr>
        <w:spacing w:after="60" w:before="160"/>
        <w:jc w:val="center"/>
      </w:pPr>
      <w:r>
        <w:rPr>
          <w:rFonts w:ascii="Times New Roman" w:cs="Times New Roman" w:eastAsia="Times New Roman" w:hAnsi="Times New Roman"/>
          <w:b/>
          <w:bCs/>
          <w:sz w:val="22"/>
          <w:szCs w:val="22"/>
        </w:rPr>
        <w:t xml:space="preserve">Table B.1: Daubechies-4 filter coefficients (8-coefficient, orthogonal).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4263"/>
        <w:gridCol w:w="4263"/>
      </w:tblGrid>
      <w:tr>
        <w:tc>
          <w:tcPr>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n</w:t>
            </w:r>
          </w:p>
        </w:tc>
        <w:tc>
          <w:tcPr>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h[n] — Low-pass (scaling) filter</w:t>
            </w:r>
          </w:p>
        </w:tc>
        <w:tc>
          <w:tcPr>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g[n] — High-pass (wavelet) filter</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0.23037781330885523</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−0.01059740178507</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1</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0.71484657055254153</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0.03288301166688</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2</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0.63088076792959036</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0.03084138183599</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3</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−0.02798376941698385</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−0.18703481171888</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4</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−0.18703481171888114</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0.02798376941698</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5</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0.03084138183598650</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0.63088076792959</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6</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0.03288301166688519</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−0.71484657055254</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7</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−0.01059740178506904</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0.23037781330886</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
            </w:r>
          </w:p>
        </w:tc>
      </w:tr>
    </w:tbl>
    <w:p>
      <w:r>
        <w:br w:type="page"/>
      </w:r>
    </w:p>
    <w:p>
      <w:pPr>
        <w:pStyle w:val="Heading1"/>
        <w:pageBreakBefore/>
      </w:pPr>
      <w:r>
        <w:rPr>
          <w:rFonts w:ascii="Times New Roman" w:cs="Times New Roman" w:eastAsia="Times New Roman" w:hAnsi="Times New Roman"/>
          <w:b/>
          <w:bCs/>
          <w:color w:val="1F3864"/>
          <w:sz w:val="32"/>
          <w:szCs w:val="32"/>
        </w:rPr>
        <w:t xml:space="preserve">Appendix C: BiLSTM Model Configuration</w:t>
      </w:r>
    </w:p>
    <w:p>
      <w:pPr>
        <w:spacing w:after="80" w:before="80" w:line="360" w:lineRule="auto"/>
        <w:jc w:val="both"/>
      </w:pPr>
      <w:r>
        <w:rPr>
          <w:rFonts w:ascii="Times New Roman" w:cs="Times New Roman" w:eastAsia="Times New Roman" w:hAnsi="Times New Roman"/>
          <w:sz w:val="24"/>
          <w:szCs w:val="24"/>
        </w:rPr>
        <w:t xml:space="preserve">Table C.1 summarises the final BiLSTM model configuration as saved in the Optuna HPO checkpoint. Values marked [TBD] are to be filled from the actual training run.</w:t>
      </w:r>
    </w:p>
    <w:p/>
    <w:p>
      <w:pPr>
        <w:spacing w:after="60" w:before="160"/>
        <w:jc w:val="center"/>
      </w:pPr>
      <w:r>
        <w:rPr>
          <w:rFonts w:ascii="Times New Roman" w:cs="Times New Roman" w:eastAsia="Times New Roman" w:hAnsi="Times New Roman"/>
          <w:b/>
          <w:bCs/>
          <w:sz w:val="22"/>
          <w:szCs w:val="22"/>
        </w:rPr>
        <w:t xml:space="preserve">Table C.1: BiLSTM hyperparameter configuration from Optuna HPO run.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Hyperparameter</w:t>
            </w:r>
          </w:p>
        </w:tc>
        <w:tc>
          <w:tcPr>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Value</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Model class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TransformerProtectionLSTM (PyTorch)</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Input size (features)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9 (DWT energy features, log1p-normalised)</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Timesteps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1,569 (32-sample sliding window, T=1601 total)</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hidden_size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 from Optuna]</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num_layers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 from Optuna]</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dropout</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 from Optuna]</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bidirectional</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 from Optuna]</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Learning rate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 from Optuna]</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Batch size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 from Optuna]</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Weight decay</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 from Optuna]</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Loss function</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BCEWithLogitsLoss with pos_weight</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pos_weight</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From metadata.stats.posWeight (= n_NoTrip / n_Trip)</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Optimiser</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AdamW (β₁=0.9, β₂=0.999)</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LR scheduler</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CosineAnnealingLR (T_max=60, η_min=1×10⁻⁶)</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Max epochs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60</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Early stopping patience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12</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Best threshold (Youden J)</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 from training run]</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Total trainable parameters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 from training run]</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Best fold validation AUC-ROC</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[TBD from training run]</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ONNX opset</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14</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ONNX export command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torch.onnx.export(model, dummy, "BiLSTM_relay.onnx", opset_version=14)</w:t>
            </w:r>
          </w:p>
        </w:tc>
      </w:tr>
    </w:tbl>
    <w:p>
      <w:r>
        <w:br w:type="page"/>
      </w:r>
    </w:p>
    <w:p>
      <w:pPr>
        <w:pStyle w:val="Heading1"/>
        <w:pageBreakBefore/>
      </w:pPr>
      <w:r>
        <w:rPr>
          <w:rFonts w:ascii="Times New Roman" w:cs="Times New Roman" w:eastAsia="Times New Roman" w:hAnsi="Times New Roman"/>
          <w:b/>
          <w:bCs/>
          <w:color w:val="1F3864"/>
          <w:sz w:val="32"/>
          <w:szCs w:val="32"/>
        </w:rPr>
        <w:t xml:space="preserve">Appendix D: Key Code Listings</w:t>
      </w:r>
    </w:p>
    <w:p>
      <w:pPr>
        <w:pStyle w:val="Heading2"/>
      </w:pPr>
      <w:r>
        <w:rPr>
          <w:rFonts w:ascii="Times New Roman" w:cs="Times New Roman" w:eastAsia="Times New Roman" w:hAnsi="Times New Roman"/>
          <w:b/>
          <w:bCs/>
          <w:color w:val="2E3A5C"/>
          <w:sz w:val="28"/>
          <w:szCs w:val="28"/>
        </w:rPr>
        <w:t xml:space="preserve">D.1  CombineAndExtractFeatures.m — DWT Feature Extraction (excerpt)</w:t>
      </w:r>
    </w:p>
    <w:p>
      <w:pPr>
        <w:spacing w:after="80" w:before="80" w:line="360" w:lineRule="auto"/>
        <w:jc w:val="both"/>
      </w:pPr>
      <w:r>
        <w:rPr>
          <w:rFonts w:ascii="Times New Roman" w:cs="Times New Roman" w:eastAsia="Times New Roman" w:hAnsi="Times New Roman"/>
          <w:i/>
          <w:iCs/>
          <w:sz w:val="24"/>
          <w:szCs w:val="24"/>
        </w:rPr>
        <w:t xml:space="preserve">The following excerpt shows the two-level db4 DWT feature extraction loop from CombineAndExtractFeatures.m:</w:t>
      </w:r>
    </w:p>
    <w:p>
      <w:pPr>
        <w:spacing w:after="80" w:before="80" w:line="360" w:lineRule="auto"/>
        <w:jc w:val="both"/>
      </w:pPr>
      <w:r>
        <w:rPr>
          <w:rFonts w:ascii="Courier New" w:cs="Courier New" w:eastAsia="Courier New" w:hAnsi="Courier New"/>
          <w:color w:val="2E3A5C"/>
          <w:sz w:val="20"/>
          <w:szCs w:val="20"/>
        </w:rPr>
        <w:t xml:space="preserve">% Sliding-window 2-level DWT feature extraction</w:t>
      </w:r>
    </w:p>
    <w:p>
      <w:pPr>
        <w:spacing w:after="80" w:before="80" w:line="360" w:lineRule="auto"/>
        <w:jc w:val="both"/>
      </w:pPr>
      <w:r>
        <w:rPr>
          <w:rFonts w:ascii="Courier New" w:cs="Courier New" w:eastAsia="Courier New" w:hAnsi="Courier New"/>
          <w:color w:val="2E3A5C"/>
          <w:sz w:val="20"/>
          <w:szCs w:val="20"/>
        </w:rPr>
        <w:t xml:space="preserve">WindowSize = 32;  nLevels = 2;  wname = 'db4';</w:t>
      </w:r>
    </w:p>
    <w:p>
      <w:pPr>
        <w:spacing w:after="80" w:before="80" w:line="360" w:lineRule="auto"/>
        <w:jc w:val="both"/>
      </w:pPr>
      <w:r>
        <w:rPr>
          <w:rFonts w:ascii="Courier New" w:cs="Courier New" w:eastAsia="Courier New" w:hAnsi="Courier New"/>
          <w:color w:val="2E3A5C"/>
          <w:sz w:val="20"/>
          <w:szCs w:val="20"/>
        </w:rPr>
        <w:t xml:space="preserve">for t = (WindowSize+1) : numSteps</w:t>
      </w:r>
    </w:p>
    <w:p>
      <w:pPr>
        <w:spacing w:after="80" w:before="80" w:line="360" w:lineRule="auto"/>
        <w:jc w:val="both"/>
      </w:pPr>
      <w:r>
        <w:rPr>
          <w:rFonts w:ascii="Courier New" w:cs="Courier New" w:eastAsia="Courier New" w:hAnsi="Courier New"/>
          <w:color w:val="2E3A5C"/>
          <w:sz w:val="20"/>
          <w:szCs w:val="20"/>
        </w:rPr>
        <w:t xml:space="preserve">    sig_window = I_diff((t-WindowSize+1):t, :);   % [32 x 3]</w:t>
      </w:r>
    </w:p>
    <w:p>
      <w:pPr>
        <w:spacing w:after="80" w:before="80" w:line="360" w:lineRule="auto"/>
        <w:jc w:val="both"/>
      </w:pPr>
      <w:r>
        <w:rPr>
          <w:rFonts w:ascii="Courier New" w:cs="Courier New" w:eastAsia="Courier New" w:hAnsi="Courier New"/>
          <w:color w:val="2E3A5C"/>
          <w:sz w:val="20"/>
          <w:szCs w:val="20"/>
        </w:rPr>
        <w:t xml:space="preserve">    for ph = 1:3</w:t>
      </w:r>
    </w:p>
    <w:p>
      <w:pPr>
        <w:spacing w:after="80" w:before="80" w:line="360" w:lineRule="auto"/>
        <w:jc w:val="both"/>
      </w:pPr>
      <w:r>
        <w:rPr>
          <w:rFonts w:ascii="Courier New" w:cs="Courier New" w:eastAsia="Courier New" w:hAnsi="Courier New"/>
          <w:color w:val="2E3A5C"/>
          <w:sz w:val="20"/>
          <w:szCs w:val="20"/>
        </w:rPr>
        <w:t xml:space="preserve">        [C,L] = wavedec(sig_window(:,ph), nLevels, wname);</w:t>
      </w:r>
    </w:p>
    <w:p>
      <w:pPr>
        <w:spacing w:after="80" w:before="80" w:line="360" w:lineRule="auto"/>
        <w:jc w:val="both"/>
      </w:pPr>
      <w:r>
        <w:rPr>
          <w:rFonts w:ascii="Courier New" w:cs="Courier New" w:eastAsia="Courier New" w:hAnsi="Courier New"/>
          <w:color w:val="2E3A5C"/>
          <w:sz w:val="20"/>
          <w:szCs w:val="20"/>
        </w:rPr>
        <w:t xml:space="preserve">        E_D1 = sum(detcoef(C,L,1).^2);  % 400-800 Hz</w:t>
      </w:r>
    </w:p>
    <w:p>
      <w:pPr>
        <w:spacing w:after="80" w:before="80" w:line="360" w:lineRule="auto"/>
        <w:jc w:val="both"/>
      </w:pPr>
      <w:r>
        <w:rPr>
          <w:rFonts w:ascii="Courier New" w:cs="Courier New" w:eastAsia="Courier New" w:hAnsi="Courier New"/>
          <w:color w:val="2E3A5C"/>
          <w:sz w:val="20"/>
          <w:szCs w:val="20"/>
        </w:rPr>
        <w:t xml:space="preserve">        E_D2 = sum(detcoef(C,L,2).^2);  % 200-400 Hz</w:t>
      </w:r>
    </w:p>
    <w:p>
      <w:pPr>
        <w:spacing w:after="80" w:before="80" w:line="360" w:lineRule="auto"/>
        <w:jc w:val="both"/>
      </w:pPr>
      <w:r>
        <w:rPr>
          <w:rFonts w:ascii="Courier New" w:cs="Courier New" w:eastAsia="Courier New" w:hAnsi="Courier New"/>
          <w:color w:val="2E3A5C"/>
          <w:sz w:val="20"/>
          <w:szCs w:val="20"/>
        </w:rPr>
        <w:t xml:space="preserve">        E_A2 = sum(appcoef(C,L,wname,2).^2); % 0-200 Hz</w:t>
      </w:r>
    </w:p>
    <w:p>
      <w:pPr>
        <w:spacing w:after="80" w:before="80" w:line="360" w:lineRule="auto"/>
        <w:jc w:val="both"/>
      </w:pPr>
      <w:r>
        <w:rPr>
          <w:rFonts w:ascii="Courier New" w:cs="Courier New" w:eastAsia="Courier New" w:hAnsi="Courier New"/>
          <w:color w:val="2E3A5C"/>
          <w:sz w:val="20"/>
          <w:szCs w:val="20"/>
        </w:rPr>
        <w:t xml:space="preserve">        base = (ph-1)*3 + 1;</w:t>
      </w:r>
    </w:p>
    <w:p>
      <w:pPr>
        <w:spacing w:after="80" w:before="80" w:line="360" w:lineRule="auto"/>
        <w:jc w:val="both"/>
      </w:pPr>
      <w:r>
        <w:rPr>
          <w:rFonts w:ascii="Courier New" w:cs="Courier New" w:eastAsia="Courier New" w:hAnsi="Courier New"/>
          <w:color w:val="2E3A5C"/>
          <w:sz w:val="20"/>
          <w:szCs w:val="20"/>
        </w:rPr>
        <w:t xml:space="preserve">        feat(base) = E_D1; feat(base+1) = E_D2; feat(base+2) = E_A2;</w:t>
      </w:r>
    </w:p>
    <w:p>
      <w:pPr>
        <w:spacing w:after="80" w:before="80" w:line="360" w:lineRule="auto"/>
        <w:jc w:val="both"/>
      </w:pPr>
      <w:r>
        <w:rPr>
          <w:rFonts w:ascii="Courier New" w:cs="Courier New" w:eastAsia="Courier New" w:hAnsi="Courier New"/>
          <w:color w:val="2E3A5C"/>
          <w:sz w:val="20"/>
          <w:szCs w:val="20"/>
        </w:rPr>
        <w:t xml:space="preserve">    end</w:t>
      </w:r>
    </w:p>
    <w:p>
      <w:pPr>
        <w:spacing w:after="80" w:before="80" w:line="360" w:lineRule="auto"/>
        <w:jc w:val="both"/>
      </w:pPr>
      <w:r>
        <w:rPr>
          <w:rFonts w:ascii="Courier New" w:cs="Courier New" w:eastAsia="Courier New" w:hAnsi="Courier New"/>
          <w:color w:val="2E3A5C"/>
          <w:sz w:val="20"/>
          <w:szCs w:val="20"/>
        </w:rPr>
        <w:t xml:space="preserve">    X_LSTM(validIdx, outIdx, :) = feat;</w:t>
      </w:r>
    </w:p>
    <w:p>
      <w:pPr>
        <w:spacing w:after="80" w:before="80" w:line="360" w:lineRule="auto"/>
        <w:jc w:val="both"/>
      </w:pPr>
      <w:r>
        <w:rPr>
          <w:rFonts w:ascii="Courier New" w:cs="Courier New" w:eastAsia="Courier New" w:hAnsi="Courier New"/>
          <w:color w:val="2E3A5C"/>
          <w:sz w:val="20"/>
          <w:szCs w:val="20"/>
        </w:rPr>
        <w:t xml:space="preserve">end</w:t>
      </w:r>
    </w:p>
    <w:p>
      <w:pPr>
        <w:spacing w:after="80" w:before="80" w:line="360" w:lineRule="auto"/>
        <w:jc w:val="both"/>
      </w:pPr>
      <w:r>
        <w:rPr>
          <w:rFonts w:ascii="Courier New" w:cs="Courier New" w:eastAsia="Courier New" w:hAnsi="Courier New"/>
          <w:color w:val="2E3A5C"/>
          <w:sz w:val="20"/>
          <w:szCs w:val="20"/>
        </w:rPr>
        <w:t xml:space="preserve">X_LSTM = log1p(double(X_LSTM));  % log1p normalisation</w:t>
      </w:r>
    </w:p>
    <w:p/>
    <w:p>
      <w:pPr>
        <w:pStyle w:val="Heading2"/>
      </w:pPr>
      <w:r>
        <w:rPr>
          <w:rFonts w:ascii="Times New Roman" w:cs="Times New Roman" w:eastAsia="Times New Roman" w:hAnsi="Times New Roman"/>
          <w:b/>
          <w:bCs/>
          <w:color w:val="2E3A5C"/>
          <w:sz w:val="28"/>
          <w:szCs w:val="28"/>
        </w:rPr>
        <w:t xml:space="preserve">D.2  TransformerProtectionLSTM — PyTorch Model (excerpt)</w:t>
      </w:r>
    </w:p>
    <w:p>
      <w:pPr>
        <w:spacing w:after="80" w:before="80" w:line="360" w:lineRule="auto"/>
        <w:jc w:val="both"/>
      </w:pPr>
      <w:r>
        <w:rPr>
          <w:rFonts w:ascii="Times New Roman" w:cs="Times New Roman" w:eastAsia="Times New Roman" w:hAnsi="Times New Roman"/>
          <w:i/>
          <w:iCs/>
          <w:sz w:val="24"/>
          <w:szCs w:val="24"/>
        </w:rPr>
        <w:t xml:space="preserve">The BiLSTM model class in XFormer_LSTM_Standalone.ipynb:</w:t>
      </w:r>
    </w:p>
    <w:p>
      <w:pPr>
        <w:spacing w:after="80" w:before="80" w:line="360" w:lineRule="auto"/>
        <w:jc w:val="both"/>
      </w:pPr>
      <w:r>
        <w:rPr>
          <w:rFonts w:ascii="Courier New" w:cs="Courier New" w:eastAsia="Courier New" w:hAnsi="Courier New"/>
          <w:color w:val="2E3A5C"/>
          <w:sz w:val="20"/>
          <w:szCs w:val="20"/>
        </w:rPr>
        <w:t xml:space="preserve">class TransformerProtectionLSTM(nn.Module):</w:t>
      </w:r>
    </w:p>
    <w:p>
      <w:pPr>
        <w:spacing w:after="80" w:before="80" w:line="360" w:lineRule="auto"/>
        <w:jc w:val="both"/>
      </w:pPr>
      <w:r>
        <w:rPr>
          <w:rFonts w:ascii="Courier New" w:cs="Courier New" w:eastAsia="Courier New" w:hAnsi="Courier New"/>
          <w:color w:val="2E3A5C"/>
          <w:sz w:val="20"/>
          <w:szCs w:val="20"/>
        </w:rPr>
        <w:t xml:space="preserve">    def __init__(self, input_size, hidden_size, num_layers,</w:t>
      </w:r>
    </w:p>
    <w:p>
      <w:pPr>
        <w:spacing w:after="80" w:before="80" w:line="360" w:lineRule="auto"/>
        <w:jc w:val="both"/>
      </w:pPr>
      <w:r>
        <w:rPr>
          <w:rFonts w:ascii="Courier New" w:cs="Courier New" w:eastAsia="Courier New" w:hAnsi="Courier New"/>
          <w:color w:val="2E3A5C"/>
          <w:sz w:val="20"/>
          <w:szCs w:val="20"/>
        </w:rPr>
        <w:t xml:space="preserve">                 dropout=0.3, bidirectional=True):</w:t>
      </w:r>
    </w:p>
    <w:p>
      <w:pPr>
        <w:spacing w:after="80" w:before="80" w:line="360" w:lineRule="auto"/>
        <w:jc w:val="both"/>
      </w:pPr>
      <w:r>
        <w:rPr>
          <w:rFonts w:ascii="Courier New" w:cs="Courier New" w:eastAsia="Courier New" w:hAnsi="Courier New"/>
          <w:color w:val="2E3A5C"/>
          <w:sz w:val="20"/>
          <w:szCs w:val="20"/>
        </w:rPr>
        <w:t xml:space="preserve">        super().__init__()</w:t>
      </w:r>
    </w:p>
    <w:p>
      <w:pPr>
        <w:spacing w:after="80" w:before="80" w:line="360" w:lineRule="auto"/>
        <w:jc w:val="both"/>
      </w:pPr>
      <w:r>
        <w:rPr>
          <w:rFonts w:ascii="Courier New" w:cs="Courier New" w:eastAsia="Courier New" w:hAnsi="Courier New"/>
          <w:color w:val="2E3A5C"/>
          <w:sz w:val="20"/>
          <w:szCs w:val="20"/>
        </w:rPr>
        <w:t xml:space="preserve">        D = 2 if bidirectional else 1</w:t>
      </w:r>
    </w:p>
    <w:p>
      <w:pPr>
        <w:spacing w:after="80" w:before="80" w:line="360" w:lineRule="auto"/>
        <w:jc w:val="both"/>
      </w:pPr>
      <w:r>
        <w:rPr>
          <w:rFonts w:ascii="Courier New" w:cs="Courier New" w:eastAsia="Courier New" w:hAnsi="Courier New"/>
          <w:color w:val="2E3A5C"/>
          <w:sz w:val="20"/>
          <w:szCs w:val="20"/>
        </w:rPr>
        <w:t xml:space="preserve">        self.lstm = nn.LSTM(input_size, hidden_size, num_layers,</w:t>
      </w:r>
    </w:p>
    <w:p>
      <w:pPr>
        <w:spacing w:after="80" w:before="80" w:line="360" w:lineRule="auto"/>
        <w:jc w:val="both"/>
      </w:pPr>
      <w:r>
        <w:rPr>
          <w:rFonts w:ascii="Courier New" w:cs="Courier New" w:eastAsia="Courier New" w:hAnsi="Courier New"/>
          <w:color w:val="2E3A5C"/>
          <w:sz w:val="20"/>
          <w:szCs w:val="20"/>
        </w:rPr>
        <w:t xml:space="preserve">                           batch_first=True, dropout=dropout,</w:t>
      </w:r>
    </w:p>
    <w:p>
      <w:pPr>
        <w:spacing w:after="80" w:before="80" w:line="360" w:lineRule="auto"/>
        <w:jc w:val="both"/>
      </w:pPr>
      <w:r>
        <w:rPr>
          <w:rFonts w:ascii="Courier New" w:cs="Courier New" w:eastAsia="Courier New" w:hAnsi="Courier New"/>
          <w:color w:val="2E3A5C"/>
          <w:sz w:val="20"/>
          <w:szCs w:val="20"/>
        </w:rPr>
        <w:t xml:space="preserve">                           bidirectional=bidirectional)</w:t>
      </w:r>
    </w:p>
    <w:p>
      <w:pPr>
        <w:spacing w:after="80" w:before="80" w:line="360" w:lineRule="auto"/>
        <w:jc w:val="both"/>
      </w:pPr>
      <w:r>
        <w:rPr>
          <w:rFonts w:ascii="Courier New" w:cs="Courier New" w:eastAsia="Courier New" w:hAnsi="Courier New"/>
          <w:color w:val="2E3A5C"/>
          <w:sz w:val="20"/>
          <w:szCs w:val="20"/>
        </w:rPr>
        <w:t xml:space="preserve">        self.norm = nn.LayerNorm(D * hidden_size)</w:t>
      </w:r>
    </w:p>
    <w:p>
      <w:pPr>
        <w:spacing w:after="80" w:before="80" w:line="360" w:lineRule="auto"/>
        <w:jc w:val="both"/>
      </w:pPr>
      <w:r>
        <w:rPr>
          <w:rFonts w:ascii="Courier New" w:cs="Courier New" w:eastAsia="Courier New" w:hAnsi="Courier New"/>
          <w:color w:val="2E3A5C"/>
          <w:sz w:val="20"/>
          <w:szCs w:val="20"/>
        </w:rPr>
        <w:t xml:space="preserve">        self.attention = nn.Linear(D * hidden_size, 1)</w:t>
      </w:r>
    </w:p>
    <w:p>
      <w:pPr>
        <w:spacing w:after="80" w:before="80" w:line="360" w:lineRule="auto"/>
        <w:jc w:val="both"/>
      </w:pPr>
      <w:r>
        <w:rPr>
          <w:rFonts w:ascii="Courier New" w:cs="Courier New" w:eastAsia="Courier New" w:hAnsi="Courier New"/>
          <w:color w:val="2E3A5C"/>
          <w:sz w:val="20"/>
          <w:szCs w:val="20"/>
        </w:rPr>
        <w:t xml:space="preserve">        self.classifier = nn.Linear(D * hidden_size, 1)</w:t>
      </w:r>
    </w:p>
    <w:p/>
    <w:p>
      <w:pPr>
        <w:pStyle w:val="Heading2"/>
      </w:pPr>
      <w:r>
        <w:rPr>
          <w:rFonts w:ascii="Times New Roman" w:cs="Times New Roman" w:eastAsia="Times New Roman" w:hAnsi="Times New Roman"/>
          <w:b/>
          <w:bCs/>
          <w:color w:val="2E3A5C"/>
          <w:sz w:val="28"/>
          <w:szCs w:val="28"/>
        </w:rPr>
        <w:t xml:space="preserve">D.3  Hybrid Relay Decision (Equation 3.1 Implementation)</w:t>
      </w:r>
    </w:p>
    <w:p>
      <w:pPr>
        <w:spacing w:after="80" w:before="80" w:line="360" w:lineRule="auto"/>
        <w:jc w:val="both"/>
      </w:pPr>
      <w:r>
        <w:rPr>
          <w:rFonts w:ascii="Times New Roman" w:cs="Times New Roman" w:eastAsia="Times New Roman" w:hAnsi="Times New Roman"/>
          <w:i/>
          <w:iCs/>
          <w:sz w:val="24"/>
          <w:szCs w:val="24"/>
        </w:rPr>
        <w:t xml:space="preserve">The hybrid TRIP decision in the Simulink model:</w:t>
      </w:r>
    </w:p>
    <w:p>
      <w:pPr>
        <w:spacing w:after="80" w:before="80" w:line="360" w:lineRule="auto"/>
        <w:jc w:val="both"/>
      </w:pPr>
      <w:r>
        <w:rPr>
          <w:rFonts w:ascii="Courier New" w:cs="Courier New" w:eastAsia="Courier New" w:hAnsi="Courier New"/>
          <w:color w:val="2E3A5C"/>
          <w:sz w:val="20"/>
          <w:szCs w:val="20"/>
        </w:rPr>
        <w:t xml:space="preserve">% In Simulink: AND gate connecting 87T element output and LSTM Predict block</w:t>
      </w:r>
    </w:p>
    <w:p>
      <w:pPr>
        <w:spacing w:after="80" w:before="80" w:line="360" w:lineRule="auto"/>
        <w:jc w:val="both"/>
      </w:pPr>
      <w:r>
        <w:rPr>
          <w:rFonts w:ascii="Courier New" w:cs="Courier New" w:eastAsia="Courier New" w:hAnsi="Courier New"/>
          <w:color w:val="2E3A5C"/>
          <w:sz w:val="20"/>
          <w:szCs w:val="20"/>
        </w:rPr>
        <w:t xml:space="preserve">% TRIP = (I_diff &gt; threshold(I_rest)) AND (sigmoid(lstm_logit) &gt; theta_J)</w:t>
      </w:r>
    </w:p>
    <w:p>
      <w:pPr>
        <w:spacing w:after="80" w:before="80" w:line="360" w:lineRule="auto"/>
        <w:jc w:val="both"/>
      </w:pPr>
      <w:r>
        <w:rPr>
          <w:rFonts w:ascii="Courier New" w:cs="Courier New" w:eastAsia="Courier New" w:hAnsi="Courier New"/>
          <w:color w:val="2E3A5C"/>
          <w:sz w:val="20"/>
          <w:szCs w:val="20"/>
        </w:rPr>
        <w:t xml:space="preserve">% theta_J loaded from checkpoint: ckpt['best_threshold']</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3A5C" w:sz="4" w:space="1"/>
      </w:pBdr>
      <w:jc w:val="center"/>
    </w:pPr>
    <w:r>
      <w:rPr>
        <w:rFonts w:ascii="Times New Roman" w:cs="Times New Roman" w:eastAsia="Times New Roman" w:hAnsi="Times New Roman"/>
        <w:color w:val="555555"/>
        <w:sz w:val="20"/>
        <w:szCs w:val="20"/>
      </w:rPr>
      <w:t xml:space="preserve">Page </w:t>
    </w:r>
    <w:r>
      <w:rPr>
        <w:rFonts w:ascii="Times New Roman" w:cs="Times New Roman" w:eastAsia="Times New Roman" w:hAnsi="Times New Roman"/>
        <w:color w:val="555555"/>
        <w:sz w:val="20"/>
        <w:szCs w:val="20"/>
      </w:rPr>
      <w:fldChar w:fldCharType="begin"/>
      <w:instrText xml:space="preserve">PAGE</w:instrText>
      <w:fldChar w:fldCharType="separate"/>
      <w:fldChar w:fldCharType="end"/>
    </w:r>
    <w:r>
      <w:rPr>
        <w:rFonts w:ascii="Times New Roman" w:cs="Times New Roman" w:eastAsia="Times New Roman" w:hAnsi="Times New Roman"/>
        <w:color w:val="555555"/>
        <w:sz w:val="20"/>
        <w:szCs w:val="20"/>
      </w:rPr>
      <w:t xml:space="preserve"> of </w:t>
    </w:r>
    <w:r>
      <w:rPr>
        <w:rFonts w:ascii="Times New Roman" w:cs="Times New Roman" w:eastAsia="Times New Roman" w:hAnsi="Times New Roman"/>
        <w:color w:val="555555"/>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3A5C" w:sz="4" w:space="1"/>
      </w:pBdr>
      <w:tabs>
        <w:tab w:val="right" w:pos="9026"/>
      </w:tabs>
      <w:spacing w:after="80" w:before="0"/>
    </w:pPr>
    <w:r>
      <w:rPr>
        <w:rFonts w:ascii="Times New Roman" w:cs="Times New Roman" w:eastAsia="Times New Roman" w:hAnsi="Times New Roman"/>
        <w:color w:val="555555"/>
        <w:sz w:val="18"/>
        <w:szCs w:val="18"/>
      </w:rPr>
      <w:t xml:space="preserve">Hybrid Adaptive Transformer Differential Protection — DWT-BiLSTM Framework</w:t>
    </w:r>
    <w:r>
      <w:rPr>
        <w:rFonts w:ascii="Times New Roman" w:cs="Times New Roman" w:eastAsia="Times New Roman" w:hAnsi="Times New Roman"/>
        <w:sz w:val="18"/>
        <w:szCs w:val="18"/>
      </w:rPr>
      <w:t xml:space="preserve">	</w:t>
    </w:r>
    <w:r>
      <w:rPr>
        <w:rFonts w:ascii="Times New Roman" w:cs="Times New Roman" w:eastAsia="Times New Roman" w:hAnsi="Times New Roman"/>
        <w:color w:val="555555"/>
        <w:sz w:val="18"/>
        <w:szCs w:val="18"/>
      </w:rPr>
      <w:t xml:space="preserve">MIST,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spacing w:after="180" w:before="360"/>
      <w:outlineLvl w:val="1"/>
    </w:pPr>
    <w:rPr>
      <w:rFonts w:ascii="Times New Roman" w:cs="Times New Roman" w:eastAsia="Times New Roman" w:hAnsi="Times New Roman"/>
      <w:b/>
      <w:bCs/>
      <w:color w:val="2E3A5C"/>
      <w:sz w:val="28"/>
      <w:szCs w:val="28"/>
    </w:rPr>
  </w:style>
  <w:style w:type="paragraph" w:styleId="Heading3">
    <w:name w:val="Heading 3"/>
    <w:basedOn w:val="Normal"/>
    <w:next w:val="Normal"/>
    <w:qFormat/>
    <w:pPr>
      <w:spacing w:after="120" w:before="240"/>
      <w:outlineLvl w:val="2"/>
    </w:pPr>
    <w:rPr>
      <w:rFonts w:ascii="Times New Roman" w:cs="Times New Roman" w:eastAsia="Times New Roman" w:hAnsi="Times New Roman"/>
      <w:b/>
      <w:bCs/>
      <w:color w:val="2F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2026-05-31T05:43:07.962Z</dcterms:created>
  <dcterms:modified xsi:type="dcterms:W3CDTF">2026-05-31T05:43:07.963Z</dcterms:modified>
</cp:coreProperties>
</file>

<file path=docProps/custom.xml><?xml version="1.0" encoding="utf-8"?>
<Properties xmlns="http://schemas.openxmlformats.org/officeDocument/2006/custom-properties" xmlns:vt="http://schemas.openxmlformats.org/officeDocument/2006/docPropsVTypes"/>
</file>