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color w:val="1F3864"/>
          <w:sz w:val="34"/>
          <w:szCs w:val="34"/>
        </w:rPr>
        <w:t xml:space="preserve">HYBRID ADAPTIVE TRANSFORMER DIFFERENTIAL PROTECTION:</w:t>
      </w:r>
    </w:p>
    <w:p>
      <w:pPr>
        <w:spacing w:after="400"/>
        <w:jc w:val="center"/>
      </w:pPr>
      <w:r>
        <w:rPr>
          <w:rFonts w:ascii="Times New Roman" w:cs="Times New Roman" w:eastAsia="Times New Roman" w:hAnsi="Times New Roman"/>
          <w:b/>
          <w:bCs/>
          <w:color w:val="1F3864"/>
          <w:sz w:val="34"/>
          <w:szCs w:val="34"/>
        </w:rPr>
        <w:t xml:space="preserve">AN INTELLIGENT DWT-LSTM FRAMEWORK</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8"/>
          <w:szCs w:val="28"/>
        </w:rPr>
        <w:t xml:space="preserve">STUDENT NAME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sz w:val="26"/>
          <w:szCs w:val="26"/>
        </w:rPr>
        <w:t xml:space="preserve">B.Sc. ENGINEERING THESIS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DEPARTMENT OF ELECTRICAL AND ELECTRONIC ENGINEERING</w:t>
      </w:r>
    </w:p>
    <w:p>
      <w:pPr>
        <w:spacing w:after="80"/>
        <w:jc w:val="center"/>
      </w:pPr>
      <w:r>
        <w:rPr>
          <w:rFonts w:ascii="Times New Roman" w:cs="Times New Roman" w:eastAsia="Times New Roman" w:hAnsi="Times New Roman"/>
          <w:b/>
          <w:bCs/>
          <w:sz w:val="24"/>
          <w:szCs w:val="24"/>
        </w:rPr>
        <w:t xml:space="preserve">MILITARY INSTITUTE OF SCIENCE AND TECHNOLOGY</w:t>
      </w:r>
    </w:p>
    <w:p>
      <w:pPr>
        <w:spacing w:after="80"/>
        <w:jc w:val="center"/>
      </w:pPr>
      <w:r>
        <w:rPr>
          <w:rFonts w:ascii="Times New Roman" w:cs="Times New Roman" w:eastAsia="Times New Roman" w:hAnsi="Times New Roman"/>
          <w:sz w:val="24"/>
          <w:szCs w:val="24"/>
        </w:rPr>
        <w:t xml:space="preserve">DHAKA, BANGLADESH</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6"/>
          <w:szCs w:val="26"/>
        </w:rPr>
        <w:t xml:space="preserve">JANUARY 2026</w:t>
      </w:r>
    </w:p>
    <w:p>
      <w:pPr>
        <w:pageBreakBefore/>
      </w:pP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color w:val="1F3864"/>
          <w:sz w:val="30"/>
          <w:szCs w:val="30"/>
        </w:rPr>
        <w:t xml:space="preserve">HYBRID ADAPTIVE TRANSFORMER DIFFERENTIAL PROTECTION:</w:t>
      </w:r>
    </w:p>
    <w:p>
      <w:pPr>
        <w:spacing w:after="300"/>
        <w:jc w:val="center"/>
      </w:pPr>
      <w:r>
        <w:rPr>
          <w:rFonts w:ascii="Times New Roman" w:cs="Times New Roman" w:eastAsia="Times New Roman" w:hAnsi="Times New Roman"/>
          <w:b/>
          <w:bCs/>
          <w:color w:val="1F3864"/>
          <w:sz w:val="30"/>
          <w:szCs w:val="30"/>
        </w:rPr>
        <w:t xml:space="preserve">AN INTELLIGENT DWT-LSTM FRAMEWORK</w:t>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6"/>
          <w:szCs w:val="26"/>
        </w:rPr>
        <w:t xml:space="preserve">STUDENT NAME (SN. XXXXXXXXXX)</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i/>
          <w:iCs/>
          <w:sz w:val="22"/>
          <w:szCs w:val="22"/>
        </w:rPr>
        <w:t xml:space="preserve">A Thesis Submitted in Partial Fulfillment of the Requirements for the</w:t>
      </w:r>
    </w:p>
    <w:p>
      <w:pPr>
        <w:spacing w:after="80"/>
        <w:jc w:val="center"/>
      </w:pPr>
      <w:r>
        <w:rPr>
          <w:rFonts w:ascii="Times New Roman" w:cs="Times New Roman" w:eastAsia="Times New Roman" w:hAnsi="Times New Roman"/>
          <w:i/>
          <w:iCs/>
          <w:sz w:val="22"/>
          <w:szCs w:val="22"/>
        </w:rPr>
        <w:t xml:space="preserve">Degree of Bachelor of Science in Electrical and Electronic Engineering</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2"/>
          <w:szCs w:val="22"/>
        </w:rPr>
        <w:t xml:space="preserve">DEPARTMENT OF ELECTRICAL AND ELECTRONIC ENGINEERING</w:t>
      </w:r>
    </w:p>
    <w:p>
      <w:pPr>
        <w:spacing w:after="80"/>
        <w:jc w:val="center"/>
      </w:pPr>
      <w:r>
        <w:rPr>
          <w:rFonts w:ascii="Times New Roman" w:cs="Times New Roman" w:eastAsia="Times New Roman" w:hAnsi="Times New Roman"/>
          <w:b/>
          <w:bCs/>
          <w:sz w:val="22"/>
          <w:szCs w:val="22"/>
        </w:rPr>
        <w:t xml:space="preserve">MILITARY INSTITUTE OF SCIENCE AND TECHNOLOGY</w:t>
      </w:r>
    </w:p>
    <w:p>
      <w:pPr>
        <w:spacing w:after="80"/>
        <w:jc w:val="center"/>
      </w:pPr>
      <w:r>
        <w:rPr>
          <w:rFonts w:ascii="Times New Roman" w:cs="Times New Roman" w:eastAsia="Times New Roman" w:hAnsi="Times New Roman"/>
          <w:sz w:val="22"/>
          <w:szCs w:val="22"/>
        </w:rPr>
        <w:t xml:space="preserve">DHAKA, BANGLADESH</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JANUARY 2026</w:t>
      </w:r>
    </w:p>
    <w:p>
      <w:pPr>
        <w:pageBreakBefore/>
        <w:spacing w:after="200"/>
        <w:jc w:val="center"/>
      </w:pPr>
      <w:r>
        <w:rPr>
          <w:rFonts w:ascii="Times New Roman" w:cs="Times New Roman" w:eastAsia="Times New Roman" w:hAnsi="Times New Roman"/>
          <w:b/>
          <w:bCs/>
          <w:color w:val="1F3864"/>
          <w:sz w:val="30"/>
          <w:szCs w:val="30"/>
        </w:rPr>
        <w:t xml:space="preserve">APPROVAL CERTIFICATE</w:t>
      </w:r>
    </w:p>
    <w:p>
      <w:pPr>
        <w:spacing w:after="80"/>
        <w:jc w:val="center"/>
      </w:pPr>
      <w:r>
        <w:rPr>
          <w:rFonts w:ascii="Times New Roman" w:cs="Times New Roman" w:eastAsia="Times New Roman" w:hAnsi="Times New Roman"/>
          <w:i/>
          <w:iCs/>
          <w:sz w:val="24"/>
          <w:szCs w:val="24"/>
        </w:rPr>
        <w:t xml:space="preserve">This is to certify that the thesis entitled</w:t>
      </w:r>
    </w:p>
    <w:p>
      <w:pPr>
        <w:spacing w:after="80"/>
        <w:jc w:val="center"/>
      </w:pPr>
      <w:r>
        <w:rPr>
          <w:rFonts w:ascii="Times New Roman" w:cs="Times New Roman" w:eastAsia="Times New Roman" w:hAnsi="Times New Roman"/>
          <w:b/>
          <w:bCs/>
          <w:sz w:val="24"/>
          <w:szCs w:val="24"/>
        </w:rPr>
        <w:t xml:space="preserve">“Hybrid Adaptive Transformer Differential Protection:</w:t>
      </w:r>
    </w:p>
    <w:p>
      <w:pPr>
        <w:spacing w:after="160"/>
        <w:jc w:val="center"/>
      </w:pPr>
      <w:r>
        <w:rPr>
          <w:rFonts w:ascii="Times New Roman" w:cs="Times New Roman" w:eastAsia="Times New Roman" w:hAnsi="Times New Roman"/>
          <w:b/>
          <w:bCs/>
          <w:sz w:val="24"/>
          <w:szCs w:val="24"/>
        </w:rPr>
        <w:t xml:space="preserve">An Intelligent DWT-LSTM Framework”</w:t>
      </w:r>
    </w:p>
    <w:p>
      <w:pPr>
        <w:spacing w:after="120" w:line="360" w:lineRule="auto"/>
        <w:jc w:val="both"/>
      </w:pPr>
      <w:r>
        <w:rPr>
          <w:rFonts w:ascii="Times New Roman" w:cs="Times New Roman" w:eastAsia="Times New Roman" w:hAnsi="Times New Roman"/>
          <w:sz w:val="24"/>
          <w:szCs w:val="24"/>
        </w:rPr>
        <w:t xml:space="preserve">submitted by Student Name (SN. XXXXXXXXXX) to the Department of Electrical and Electronic Engineering, Military Institute of Science and Technology (MIST), Mirpur Cantonment, Dhaka, Bangladesh, in partial fulfillment of the requirements for the degree of Bachelor of Science in Electrical and Electronic Engineering, has been accepted as satisfactory for the award of the degree and approved by the undersigned examiners.</w:t>
      </w:r>
    </w:p>
    <w:p>
      <w:r>
        <w:rPr>
          <w:rFonts w:ascii="Times New Roman" w:cs="Times New Roman" w:eastAsia="Times New Roman" w:hAnsi="Times New Roman"/>
          <w:sz w:val="24"/>
          <w:szCs w:val="24"/>
        </w:rPr>
        <w:t xml:space="preserve"/>
      </w:r>
    </w:p>
    <w:p>
      <w:pPr>
        <w:spacing w:after="40" w:before="200"/>
        <w:jc w:val="both"/>
      </w:pPr>
      <w:r>
        <w:rPr>
          <w:rFonts w:ascii="Times New Roman" w:cs="Times New Roman" w:eastAsia="Times New Roman" w:hAnsi="Times New Roman"/>
          <w:b/>
          <w:bCs/>
          <w:sz w:val="24"/>
          <w:szCs w:val="24"/>
        </w:rPr>
        <w:t xml:space="preserve">Supervisor:</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Supervisor Name, PhD</w:t>
      </w:r>
    </w:p>
    <w:p>
      <w:pPr>
        <w:spacing w:after="120" w:line="360" w:lineRule="auto"/>
        <w:jc w:val="both"/>
      </w:pPr>
      <w:r>
        <w:rPr>
          <w:rFonts w:ascii="Times New Roman" w:cs="Times New Roman" w:eastAsia="Times New Roman" w:hAnsi="Times New Roman"/>
          <w:sz w:val="24"/>
          <w:szCs w:val="24"/>
        </w:rPr>
        <w:t xml:space="preserve">Professor, Department of EEE, University</w:t>
      </w:r>
    </w:p>
    <w:p>
      <w:pPr>
        <w:spacing w:after="40" w:before="200"/>
        <w:jc w:val="both"/>
      </w:pPr>
      <w:r>
        <w:rPr>
          <w:rFonts w:ascii="Times New Roman" w:cs="Times New Roman" w:eastAsia="Times New Roman" w:hAnsi="Times New Roman"/>
          <w:b/>
          <w:bCs/>
          <w:sz w:val="24"/>
          <w:szCs w:val="24"/>
        </w:rPr>
        <w:t xml:space="preserve">Head of the Department:</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Head of Department Name</w:t>
      </w:r>
    </w:p>
    <w:p>
      <w:pPr>
        <w:spacing w:after="120" w:line="360" w:lineRule="auto"/>
        <w:jc w:val="both"/>
      </w:pPr>
      <w:r>
        <w:rPr>
          <w:rFonts w:ascii="Times New Roman" w:cs="Times New Roman" w:eastAsia="Times New Roman" w:hAnsi="Times New Roman"/>
          <w:sz w:val="24"/>
          <w:szCs w:val="24"/>
        </w:rPr>
        <w:t xml:space="preserve">Head of the Department, Department of EEE, University</w:t>
      </w:r>
    </w:p>
    <w:p>
      <w:pPr>
        <w:spacing w:after="40" w:before="200"/>
        <w:jc w:val="both"/>
      </w:pPr>
      <w:r>
        <w:rPr>
          <w:rFonts w:ascii="Times New Roman" w:cs="Times New Roman" w:eastAsia="Times New Roman" w:hAnsi="Times New Roman"/>
          <w:b/>
          <w:bCs/>
          <w:sz w:val="24"/>
          <w:szCs w:val="24"/>
        </w:rPr>
        <w:t xml:space="preserve">Internal Examiner:</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Internal Examiner Name</w:t>
      </w:r>
    </w:p>
    <w:p>
      <w:pPr>
        <w:spacing w:after="120" w:line="360" w:lineRule="auto"/>
        <w:jc w:val="both"/>
      </w:pPr>
      <w:r>
        <w:rPr>
          <w:rFonts w:ascii="Times New Roman" w:cs="Times New Roman" w:eastAsia="Times New Roman" w:hAnsi="Times New Roman"/>
          <w:sz w:val="24"/>
          <w:szCs w:val="24"/>
        </w:rPr>
        <w:t xml:space="preserve">Associate Professor, Department of EEE, University</w:t>
      </w:r>
    </w:p>
    <w:p>
      <w:pPr>
        <w:spacing w:after="40" w:before="200"/>
        <w:jc w:val="both"/>
      </w:pPr>
      <w:r>
        <w:rPr>
          <w:rFonts w:ascii="Times New Roman" w:cs="Times New Roman" w:eastAsia="Times New Roman" w:hAnsi="Times New Roman"/>
          <w:b/>
          <w:bCs/>
          <w:sz w:val="24"/>
          <w:szCs w:val="24"/>
        </w:rPr>
        <w:t xml:space="preserve">External Examiner:</w:t>
      </w:r>
    </w:p>
    <w:p>
      <w:pPr>
        <w:spacing w:after="20"/>
        <w:jc w:val="center"/>
      </w:pPr>
      <w:r>
        <w:rPr>
          <w:rFonts w:ascii="Times New Roman" w:cs="Times New Roman" w:eastAsia="Times New Roman" w:hAnsi="Times New Roman"/>
          <w:sz w:val="24"/>
          <w:szCs w:val="24"/>
        </w:rPr>
        <w:t xml:space="preserve">________________________________</w:t>
      </w:r>
    </w:p>
    <w:p>
      <w:pPr>
        <w:spacing w:after="120" w:line="360" w:lineRule="auto"/>
        <w:jc w:val="both"/>
      </w:pPr>
      <w:r>
        <w:rPr>
          <w:rFonts w:ascii="Times New Roman" w:cs="Times New Roman" w:eastAsia="Times New Roman" w:hAnsi="Times New Roman"/>
          <w:sz w:val="24"/>
          <w:szCs w:val="24"/>
        </w:rPr>
        <w:t xml:space="preserve">External Examiner Name</w:t>
      </w:r>
    </w:p>
    <w:p>
      <w:pPr>
        <w:spacing w:after="120" w:line="360" w:lineRule="auto"/>
        <w:jc w:val="both"/>
      </w:pPr>
      <w:r>
        <w:rPr>
          <w:rFonts w:ascii="Times New Roman" w:cs="Times New Roman" w:eastAsia="Times New Roman" w:hAnsi="Times New Roman"/>
          <w:sz w:val="24"/>
          <w:szCs w:val="24"/>
        </w:rPr>
        <w:t xml:space="preserve">Professor, Department of EEE, Other University, City, Bangladesh</w:t>
      </w:r>
    </w:p>
    <w:p>
      <w:pPr>
        <w:spacing w:before="200"/>
        <w:jc w:val="both"/>
      </w:pPr>
      <w:r>
        <w:rPr>
          <w:rFonts w:ascii="Times New Roman" w:cs="Times New Roman" w:eastAsia="Times New Roman" w:hAnsi="Times New Roman"/>
          <w:sz w:val="24"/>
          <w:szCs w:val="24"/>
        </w:rPr>
        <w:t xml:space="preserve">Counter-signed on behalf of the Board of Advanced Studies</w:t>
      </w:r>
    </w:p>
    <w:p>
      <w:pPr>
        <w:pageBreakBefore/>
        <w:spacing w:after="200"/>
        <w:jc w:val="center"/>
      </w:pPr>
      <w:r>
        <w:rPr>
          <w:rFonts w:ascii="Times New Roman" w:cs="Times New Roman" w:eastAsia="Times New Roman" w:hAnsi="Times New Roman"/>
          <w:b/>
          <w:bCs/>
          <w:color w:val="1F3864"/>
          <w:sz w:val="30"/>
          <w:szCs w:val="30"/>
        </w:rPr>
        <w:t xml:space="preserve">DECLARATION</w:t>
      </w:r>
    </w:p>
    <w:p>
      <w:pPr>
        <w:spacing w:after="80"/>
        <w:jc w:val="center"/>
      </w:pPr>
      <w:r>
        <w:rPr>
          <w:rFonts w:ascii="Times New Roman" w:cs="Times New Roman" w:eastAsia="Times New Roman" w:hAnsi="Times New Roman"/>
          <w:i/>
          <w:iCs/>
          <w:sz w:val="24"/>
          <w:szCs w:val="24"/>
        </w:rPr>
        <w:t xml:space="preserve">I hereby declare that the thesis entitled</w:t>
      </w:r>
    </w:p>
    <w:p>
      <w:pPr>
        <w:spacing w:after="80"/>
        <w:jc w:val="center"/>
      </w:pPr>
      <w:r>
        <w:rPr>
          <w:rFonts w:ascii="Times New Roman" w:cs="Times New Roman" w:eastAsia="Times New Roman" w:hAnsi="Times New Roman"/>
          <w:b/>
          <w:bCs/>
          <w:sz w:val="24"/>
          <w:szCs w:val="24"/>
        </w:rPr>
        <w:t xml:space="preserve">“Hybrid Adaptive Transformer Differential Protection:</w:t>
      </w:r>
    </w:p>
    <w:p>
      <w:pPr>
        <w:spacing w:after="160"/>
        <w:jc w:val="center"/>
      </w:pPr>
      <w:r>
        <w:rPr>
          <w:rFonts w:ascii="Times New Roman" w:cs="Times New Roman" w:eastAsia="Times New Roman" w:hAnsi="Times New Roman"/>
          <w:b/>
          <w:bCs/>
          <w:sz w:val="24"/>
          <w:szCs w:val="24"/>
        </w:rPr>
        <w:t xml:space="preserve">An Intelligent DWT-LSTM Framework”</w:t>
      </w:r>
    </w:p>
    <w:p>
      <w:pPr>
        <w:spacing w:after="120" w:line="360" w:lineRule="auto"/>
        <w:jc w:val="both"/>
      </w:pPr>
      <w:r>
        <w:rPr>
          <w:rFonts w:ascii="Times New Roman" w:cs="Times New Roman" w:eastAsia="Times New Roman" w:hAnsi="Times New Roman"/>
          <w:sz w:val="24"/>
          <w:szCs w:val="24"/>
        </w:rPr>
        <w:t xml:space="preserve">submitted to the Department of Electrical and Electronic Engineering, Military Institute of Science and Technology (MIST), Mirpur Cantonment, Dhaka, Bangladesh, in partial fulfillment of the requirements for the degree of Bachelor of Science in Electrical and Electronic Engineering, is a record of original work carried out by me under the supervision of Supervisor Name, PhD, Professor, Department of EEE, University. I hereby affirm that: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This thesis has not been submitted elsewhere, in whole or in part, for the award of any degree, diploma, or fellowship at this or any other university, institute, or organization.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The work presented herein is entirely the original research and intellectual contribution of the candidate, except where explicit reference has been made to the work of other researchers.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Proper acknowledgment has been made in the text to all other materials used, and all sources of information have been duly cited following the IEEE referencing format.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No part of this thesis has been fabricated, plagiarized, or misrepresented in any manner, and the results presented are accurate to the best of my knowledge and belief.</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 have complied with all ethical guidelines and academic integrity standards set forth by the Military Institute of Science and Technology.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before="240"/>
        <w:jc w:val="both"/>
      </w:pPr>
      <w:r>
        <w:rPr>
          <w:rFonts w:ascii="Times New Roman" w:cs="Times New Roman" w:eastAsia="Times New Roman" w:hAnsi="Times New Roman"/>
          <w:sz w:val="24"/>
          <w:szCs w:val="24"/>
        </w:rPr>
        <w:t xml:space="preserve">Candidate’s Signature: ________________________________</w:t>
      </w:r>
    </w:p>
    <w:p>
      <w:pPr>
        <w:spacing w:after="120" w:line="360" w:lineRule="auto"/>
        <w:jc w:val="both"/>
      </w:pPr>
      <w:r>
        <w:rPr>
          <w:rFonts w:ascii="Times New Roman" w:cs="Times New Roman" w:eastAsia="Times New Roman" w:hAnsi="Times New Roman"/>
          <w:sz w:val="24"/>
          <w:szCs w:val="24"/>
        </w:rPr>
        <w:t xml:space="preserve">Name: Student Name</w:t>
      </w:r>
    </w:p>
    <w:p>
      <w:pPr>
        <w:spacing w:after="120" w:line="360" w:lineRule="auto"/>
        <w:jc w:val="both"/>
      </w:pPr>
      <w:r>
        <w:rPr>
          <w:rFonts w:ascii="Times New Roman" w:cs="Times New Roman" w:eastAsia="Times New Roman" w:hAnsi="Times New Roman"/>
          <w:sz w:val="24"/>
          <w:szCs w:val="24"/>
        </w:rPr>
        <w:t xml:space="preserve">Student Number: XXXXXXXXXX</w:t>
      </w:r>
    </w:p>
    <w:p>
      <w:pPr>
        <w:spacing w:after="120" w:line="360" w:lineRule="auto"/>
        <w:jc w:val="both"/>
      </w:pPr>
      <w:r>
        <w:rPr>
          <w:rFonts w:ascii="Times New Roman" w:cs="Times New Roman" w:eastAsia="Times New Roman" w:hAnsi="Times New Roman"/>
          <w:sz w:val="24"/>
          <w:szCs w:val="24"/>
        </w:rPr>
        <w:t xml:space="preserve">Date:</w:t>
      </w:r>
    </w:p>
    <w:p>
      <w:pPr>
        <w:pageBreakBefore/>
        <w:spacing w:after="240"/>
        <w:jc w:val="center"/>
      </w:pPr>
      <w:r>
        <w:rPr>
          <w:rFonts w:ascii="Times New Roman" w:cs="Times New Roman" w:eastAsia="Times New Roman" w:hAnsi="Times New Roman"/>
          <w:b/>
          <w:bCs/>
          <w:color w:val="1F3864"/>
          <w:sz w:val="30"/>
          <w:szCs w:val="30"/>
        </w:rPr>
        <w:t xml:space="preserve">DEDICATION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i/>
          <w:iCs/>
          <w:sz w:val="26"/>
          <w:szCs w:val="26"/>
        </w:rPr>
        <w:t xml:space="preserve">Dedicated to my parents and family</w:t>
      </w:r>
    </w:p>
    <w:p>
      <w:pPr>
        <w:spacing w:after="80"/>
        <w:jc w:val="center"/>
      </w:pPr>
      <w:r>
        <w:rPr>
          <w:rFonts w:ascii="Times New Roman" w:cs="Times New Roman" w:eastAsia="Times New Roman" w:hAnsi="Times New Roman"/>
          <w:i/>
          <w:iCs/>
          <w:sz w:val="26"/>
          <w:szCs w:val="26"/>
        </w:rPr>
        <w:t xml:space="preserve">for their unwavering love and support</w:t>
      </w:r>
    </w:p>
    <w:p>
      <w:pPr>
        <w:spacing w:after="80"/>
        <w:jc w:val="center"/>
      </w:pPr>
      <w:r>
        <w:rPr>
          <w:rFonts w:ascii="Times New Roman" w:cs="Times New Roman" w:eastAsia="Times New Roman" w:hAnsi="Times New Roman"/>
          <w:i/>
          <w:iCs/>
          <w:sz w:val="26"/>
          <w:szCs w:val="26"/>
        </w:rPr>
        <w:t xml:space="preserve">throughout my academic journey.</w:t>
      </w:r>
    </w:p>
    <w:p>
      <w:pPr>
        <w:pageBreakBefore/>
        <w:spacing w:after="200"/>
        <w:jc w:val="center"/>
      </w:pPr>
      <w:r>
        <w:rPr>
          <w:rFonts w:ascii="Times New Roman" w:cs="Times New Roman" w:eastAsia="Times New Roman" w:hAnsi="Times New Roman"/>
          <w:b/>
          <w:bCs/>
          <w:color w:val="1F3864"/>
          <w:sz w:val="30"/>
          <w:szCs w:val="30"/>
        </w:rPr>
        <w:t xml:space="preserve">ACKNOWLEDGEMENTS</w:t>
      </w:r>
    </w:p>
    <w:p>
      <w:pPr>
        <w:spacing w:after="120" w:line="360" w:lineRule="auto"/>
        <w:jc w:val="both"/>
      </w:pPr>
      <w:r>
        <w:rPr>
          <w:rFonts w:ascii="Times New Roman" w:cs="Times New Roman" w:eastAsia="Times New Roman" w:hAnsi="Times New Roman"/>
          <w:sz w:val="24"/>
          <w:szCs w:val="24"/>
        </w:rPr>
        <w:t xml:space="preserve">First and foremost, all praises are due to Almighty Allah for His infinite blessings, guidance, and mercy, without which this endeavor would not have been possible. I am profoundly grateful for the strength, patience, and wisdom He bestowed upon me throughout the course of this research and my entire academic life.</w:t>
      </w:r>
    </w:p>
    <w:p>
      <w:pPr>
        <w:spacing w:after="120" w:line="360" w:lineRule="auto"/>
        <w:jc w:val="both"/>
      </w:pPr>
      <w:r>
        <w:rPr>
          <w:rFonts w:ascii="Times New Roman" w:cs="Times New Roman" w:eastAsia="Times New Roman" w:hAnsi="Times New Roman"/>
          <w:sz w:val="24"/>
          <w:szCs w:val="24"/>
        </w:rPr>
        <w:t xml:space="preserve">I would like to express my deepest and most sincere gratitude to my thesis supervisor, Supervisor Name, PhD, Professor, Department of Electrical and Electronic Engineering, for his invaluable guidance, continuous encouragement, and unwavering support throughout every phase of this research. His profound expertise in power system protection, insightful suggestions, and patient mentorship have been instrumental in shaping the direction and quality of this work.</w:t>
      </w:r>
    </w:p>
    <w:p>
      <w:pPr>
        <w:spacing w:after="120" w:line="360" w:lineRule="auto"/>
        <w:jc w:val="both"/>
      </w:pPr>
      <w:r>
        <w:rPr>
          <w:rFonts w:ascii="Times New Roman" w:cs="Times New Roman" w:eastAsia="Times New Roman" w:hAnsi="Times New Roman"/>
          <w:sz w:val="24"/>
          <w:szCs w:val="24"/>
        </w:rPr>
        <w:t xml:space="preserve">My sincere thanks go to Head of Department Name, Head of the Department of Electrical and Electronic Engineering, MIST, for providing the necessary academic facilities, laboratory resources, and an excellent research environment. I am also grateful to all faculty members of the Department of EEE at MIST whose teachings in power systems, signal processing, and machine learning directly contributed to the interdisciplinary nature of this research.</w:t>
      </w:r>
    </w:p>
    <w:p>
      <w:pPr>
        <w:spacing w:after="120" w:line="360" w:lineRule="auto"/>
        <w:jc w:val="both"/>
      </w:pPr>
      <w:r>
        <w:rPr>
          <w:rFonts w:ascii="Times New Roman" w:cs="Times New Roman" w:eastAsia="Times New Roman" w:hAnsi="Times New Roman"/>
          <w:sz w:val="24"/>
          <w:szCs w:val="24"/>
        </w:rPr>
        <w:t xml:space="preserve">I extend my heartfelt appreciation to my fellow classmates, laboratory mates, and colleagues at MIST. Their camaraderie, intellectual discussions, technical assistance with MATLAB/Simulink simulations, and willingness to share knowledge in deep learning and signal processing have been invaluable.</w:t>
      </w:r>
    </w:p>
    <w:p>
      <w:pPr>
        <w:spacing w:after="120" w:line="360" w:lineRule="auto"/>
        <w:jc w:val="both"/>
      </w:pPr>
      <w:r>
        <w:rPr>
          <w:rFonts w:ascii="Times New Roman" w:cs="Times New Roman" w:eastAsia="Times New Roman" w:hAnsi="Times New Roman"/>
          <w:sz w:val="24"/>
          <w:szCs w:val="24"/>
        </w:rPr>
        <w:t xml:space="preserve">I am profoundly indebted to my parents, whose sacrifices, unconditional love, and steadfast encouragement have been the bedrock of my educational pursuits. I also extend my deepest gratitude to my siblings, extended family members, and close friends who provided emotional support throughout this demanding academic journey.</w:t>
      </w:r>
    </w:p>
    <w:p>
      <w:pPr>
        <w:spacing w:after="120" w:line="360" w:lineRule="auto"/>
        <w:jc w:val="both"/>
      </w:pPr>
      <w:r>
        <w:rPr>
          <w:rFonts w:ascii="Times New Roman" w:cs="Times New Roman" w:eastAsia="Times New Roman" w:hAnsi="Times New Roman"/>
          <w:sz w:val="24"/>
          <w:szCs w:val="24"/>
        </w:rPr>
        <w:t xml:space="preserve">Finally, I acknowledge with gratitude the infrastructure and computational resources provided by MIST, as well as the open-source contributors and researchers whose published works in power system protection, wavelet analysis, and deep learning have served as the foundational pillars upon which this research is built.</w:t>
      </w:r>
    </w:p>
    <w:p>
      <w:pPr>
        <w:spacing w:before="240"/>
        <w:jc w:val="both"/>
      </w:pPr>
      <w:r>
        <w:rPr>
          <w:rFonts w:ascii="Times New Roman" w:cs="Times New Roman" w:eastAsia="Times New Roman" w:hAnsi="Times New Roman"/>
          <w:sz w:val="24"/>
          <w:szCs w:val="24"/>
        </w:rPr>
        <w:t xml:space="preserve">Date:</w:t>
      </w:r>
    </w:p>
    <w:p>
      <w:pPr>
        <w:spacing w:after="120" w:line="360" w:lineRule="auto"/>
        <w:jc w:val="both"/>
      </w:pPr>
      <w:r>
        <w:rPr>
          <w:rFonts w:ascii="Times New Roman" w:cs="Times New Roman" w:eastAsia="Times New Roman" w:hAnsi="Times New Roman"/>
          <w:sz w:val="24"/>
          <w:szCs w:val="24"/>
        </w:rPr>
        <w:t xml:space="preserve">Student Name</w:t>
      </w:r>
    </w:p>
    <w:p>
      <w:pPr>
        <w:pageBreakBefore/>
        <w:spacing w:after="200"/>
        <w:jc w:val="center"/>
      </w:pPr>
      <w:r>
        <w:rPr>
          <w:rFonts w:ascii="Times New Roman" w:cs="Times New Roman" w:eastAsia="Times New Roman" w:hAnsi="Times New Roman"/>
          <w:b/>
          <w:bCs/>
          <w:color w:val="1F3864"/>
          <w:sz w:val="30"/>
          <w:szCs w:val="30"/>
        </w:rPr>
        <w:t xml:space="preserve">ABSTRACT</w:t>
      </w:r>
    </w:p>
    <w:p>
      <w:pPr>
        <w:spacing w:after="120" w:line="360" w:lineRule="auto"/>
        <w:jc w:val="both"/>
      </w:pPr>
      <w:r>
        <w:rPr>
          <w:rFonts w:ascii="Times New Roman" w:cs="Times New Roman" w:eastAsia="Times New Roman" w:hAnsi="Times New Roman"/>
          <w:sz w:val="24"/>
          <w:szCs w:val="24"/>
        </w:rPr>
        <w:t xml:space="preserve">Power transformers constitute the most critical and capital-intensive components of electrical power transmission and distribution networks, making their reliable and rapid protection a paramount concern for ensuring the continuity and stability of electric power supply [1]. Differential protection has long been recognized as the primary and most effective scheme for safeguarding power transformers against internal faults, operating on the fundamental principle of comparing the currents entering and leaving the protected zone [2]. However, the conventional percentage differential relay faces significant challenges in accurately distinguishing between genuine internal fault conditions and non-fault transient events such as magnetizing inrush currents, sympathetic inrush, and external faults with current transformer (CT) saturation [3]. These phenomena produce substantial differential currents that closely resemble those generated by actual internal faults, frequently leading to false tripping. The second harmonic restraint method has been shown to suffer from reduced sensitivity in modern transformers employing high-permeability core materials that produce lower levels of second harmonic content during energization [4].</w:t>
      </w:r>
    </w:p>
    <w:p>
      <w:pPr>
        <w:spacing w:after="120" w:line="360" w:lineRule="auto"/>
        <w:jc w:val="both"/>
      </w:pPr>
      <w:r>
        <w:rPr>
          <w:rFonts w:ascii="Times New Roman" w:cs="Times New Roman" w:eastAsia="Times New Roman" w:hAnsi="Times New Roman"/>
          <w:sz w:val="24"/>
          <w:szCs w:val="24"/>
        </w:rPr>
        <w:t xml:space="preserve">The emergence of digital signal processing techniques and computational intelligence has opened promising avenues for developing more sophisticated and reliable transformer protection algorithms [5]. In particular, the Discrete Wavelet Transform (DWT) has proven to be an exceptionally powerful tool for the analysis of non-stationary transient signals, offering superior time-frequency localization capabilities compared to the traditional Fourier transform [6]. Simultaneously, Long Short-Term Memory (LSTM) recurrent neural networks have demonstrated remarkable performance in learning complex temporal dependencies and sequential patterns from time-series data, making them exceptionally well-suited for power system protection tasks that inherently involve temporal signal analysis [7].</w:t>
      </w:r>
    </w:p>
    <w:p>
      <w:pPr>
        <w:spacing w:after="120" w:line="360" w:lineRule="auto"/>
        <w:jc w:val="both"/>
      </w:pPr>
      <w:r>
        <w:rPr>
          <w:rFonts w:ascii="Times New Roman" w:cs="Times New Roman" w:eastAsia="Times New Roman" w:hAnsi="Times New Roman"/>
          <w:sz w:val="24"/>
          <w:szCs w:val="24"/>
        </w:rPr>
        <w:t xml:space="preserve">This thesis proposes a novel hybrid adaptive protection framework that synergistically integrates the multi-resolution feature extraction capabilities of the DWT with the advanced temporal classification power of LSTM networks. The proposed methodology employs a three-level wavelet decomposition using the Daubechies-4 (db4) mother wavelet, selected for its jagged, asymmetrical shape that optimizes detection of fault inception transients [8]. From the decomposed wavelet coefficients, six energy features are extracted per time step based on Parseval’s theorem: the approximation energy and detail energy for each of the three phases (A, B, and C). These features are computed over a half-cycle sliding window of 16 samples at a sampling frequency of 1.6 kHz (32 samples per cycle at 50 Hz) [9]. The trained LSTM model is exported to the ONNX format (Opset 14) and integrated into the MATLAB/Simulink environment via the Deep Learning Predict block for real-time protection validation.</w:t>
      </w:r>
    </w:p>
    <w:p>
      <w:pPr>
        <w:spacing w:after="120" w:line="360" w:lineRule="auto"/>
        <w:jc w:val="both"/>
      </w:pPr>
      <w:r>
        <w:rPr>
          <w:rFonts w:ascii="Times New Roman" w:cs="Times New Roman" w:eastAsia="Times New Roman" w:hAnsi="Times New Roman"/>
          <w:sz w:val="24"/>
          <w:szCs w:val="24"/>
        </w:rPr>
        <w:t xml:space="preserve">The classification module employs a multi-layer LSTM network architecture with a global temporal attention mechanism, designed to discriminate between four distinct operating states: normal steady-state operation, external fault conditions, magnetizing inrush conditions, and internal fault conditions [10]. The LSTM network leverages its internal gating mechanisms to selectively retain and propagate relevant temporal information across the 32-sample sliding window [11]. A critical innovation of this thesis is the hybrid decision handshake architecture, wherein the LSTM classifier acts as a supervisory veto (AND) gate for the classical adaptive 87T differential relay logic. The relay only trips if both the adaptive 87T differential element operates and the LSTM classifies the event as an internal fault with a confidence exceeding a predefined threshold.</w:t>
      </w:r>
    </w:p>
    <w:p>
      <w:pPr>
        <w:spacing w:after="120" w:line="360" w:lineRule="auto"/>
        <w:jc w:val="both"/>
      </w:pPr>
      <w:r>
        <w:rPr>
          <w:rFonts w:ascii="Times New Roman" w:cs="Times New Roman" w:eastAsia="Times New Roman" w:hAnsi="Times New Roman"/>
          <w:sz w:val="24"/>
          <w:szCs w:val="24"/>
        </w:rPr>
        <w:t xml:space="preserve">A comprehensive simulation model of a 300 MVA, 230 kV/11 kV power transformer with a Yd1 vector group configuration is developed using MATLAB/Simulink with the Simscape Electrical toolbox for generating realistic training and testing datasets [12]. The discrete-time simulation employs a solver sample time of 1×10⁻⁵ s (10 µs) to capture high-frequency transients and nonlinear magnetic behavior. Extensive simulation scenarios encompass a wide range of fault types, fault inception angles, fault locations, fault resistances, loading conditions, CT saturation conditions, remanent flux levels, and external fault conditions. Automated batch data generation is performed through a MATLAB control script (ControlPanel.m). The generated differential current waveforms are processed through the DWT engine, and the extracted feature vectors are used to train the LSTM classifier in Python using PyTorch, followed by ONNX export for Simulink integration.</w:t>
      </w:r>
    </w:p>
    <w:p>
      <w:pPr>
        <w:spacing w:after="120" w:line="360" w:lineRule="auto"/>
        <w:jc w:val="both"/>
      </w:pPr>
      <w:r>
        <w:rPr>
          <w:rFonts w:ascii="Times New Roman" w:cs="Times New Roman" w:eastAsia="Times New Roman" w:hAnsi="Times New Roman"/>
          <w:sz w:val="24"/>
          <w:szCs w:val="24"/>
        </w:rPr>
        <w:t xml:space="preserve">The proposed hybrid DWT-LSTM framework demonstrates exceptional performance across all evaluation metrics. The classification model achieves zero false negatives (100% dependability) across all internal fault scenarios, with an overall relay operating time well within the sub-cycle requirement (less than 20 ms at 50 Hz) [13]. The ONNX inference latency in Simulink is measured at less than 0.74 ms per prediction step, demonstrating real-time feasibility. The hybrid veto logic eliminates all false trips (the 77 false trips otherwise issued by the standalone adaptive 87T relay during external faults with deep CT saturation and sympathetic inrush conditions on the test set), achieving 100% security. The framework exhibits robust generalization under extreme stress conditions, including CT remanent flux mismatches up to ±95%, frequency deviations from 47 Hz to 53 Hz, and noise injection down to 20 dB SNR [14].</w:t>
      </w:r>
    </w:p>
    <w:p>
      <w:pPr>
        <w:spacing w:after="120" w:line="360" w:lineRule="auto"/>
        <w:jc w:val="both"/>
      </w:pPr>
      <w:r>
        <w:rPr>
          <w:rFonts w:ascii="Times New Roman" w:cs="Times New Roman" w:eastAsia="Times New Roman" w:hAnsi="Times New Roman"/>
          <w:sz w:val="24"/>
          <w:szCs w:val="24"/>
        </w:rPr>
        <w:t xml:space="preserve">The principal contributions of this thesis include: (i) a systematic methodology for power transformer protection simulation using MATLAB/Simulink, encompassing detailed physical modeling with nonlinear CT saturation and transformer core saturation; (ii) the design of a compact yet highly effective six-dimensional energy feature vector derived from three-level db4 wavelet decomposition; (iii) a hybrid decision architecture where the LSTM serves as a supervisory veto for the classical adaptive 87T relay, achieving zero false negatives while eliminating false trips; (iv) the complete real-time deployment pipeline from Python/PyTorch training through ONNX export to the Simulink Predict block; and (v) extensive stress testing and out-of-distribution validation. The results demonstrate that the proposed hybrid DWT-LSTM framework offers a highly reliable, fast-acting, and practically deployable solution for next-generation intelligent transformer differential protection systems.</w:t>
      </w:r>
    </w:p>
    <w:p>
      <w:pPr>
        <w:spacing w:before="1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Transformer differential protection, Discrete Wavelet Transform (DWT), Long Short-Term Memory (LSTM), MATLAB/Simulink, magnetizing inrush current, CT saturation, ONNX, real-time relay, fault classification, deep learning, hybrid adaptive protection, intelligent relaying.</w:t>
      </w:r>
    </w:p>
    <w:p>
      <w:pPr>
        <w:pageBreakBefore/>
        <w:spacing w:after="160"/>
        <w:jc w:val="center"/>
      </w:pPr>
      <w:r>
        <w:rPr>
          <w:rFonts w:ascii="Times New Roman" w:cs="Times New Roman" w:eastAsia="Times New Roman" w:hAnsi="Times New Roman"/>
          <w:b/>
          <w:bCs/>
          <w:color w:val="1F3864"/>
          <w:sz w:val="30"/>
          <w:szCs w:val="30"/>
        </w:rPr>
        <w:t xml:space="preserve">CONTENTS</w:t>
      </w:r>
    </w:p>
    <w:p>
      <w:pPr>
        <w:spacing w:after="120"/>
      </w:pPr>
      <w:r>
        <w:rPr>
          <w:rFonts w:ascii="Times New Roman" w:cs="Times New Roman" w:eastAsia="Times New Roman" w:hAnsi="Times New Roman"/>
          <w:i/>
          <w:iCs/>
          <w:color w:val="777777"/>
          <w:sz w:val="18"/>
          <w:szCs w:val="18"/>
        </w:rPr>
        <w:t xml:space="preserve">(Right-click and choose “Update Field” in Word to regenerate page numbers.)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160"/>
        <w:jc w:val="center"/>
      </w:pPr>
      <w:r>
        <w:rPr>
          <w:rFonts w:ascii="Times New Roman" w:cs="Times New Roman" w:eastAsia="Times New Roman" w:hAnsi="Times New Roman"/>
          <w:b/>
          <w:bCs/>
          <w:color w:val="1F3864"/>
          <w:sz w:val="28"/>
          <w:szCs w:val="28"/>
        </w:rPr>
        <w:t xml:space="preserve">LIST OF SYMBOLS / 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Symbol</w:t>
            </w:r>
          </w:p>
        </w:tc>
        <w:tc>
          <w:tcPr>
            <w:tcW w:type="dxa" w:w="5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Description</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Unit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I_d</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Differential current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I_b</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Bias (restraint) current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I_pickup</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Minimum pickup (threshold) current setting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Slope of the differential relay characteristic</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T_op</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Relay operating time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Φ_CT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CT magnetization flux</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Wb</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ψ(t)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Mother wavelet function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cA_j , cD_j</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Approximation / detail coefficients at level j</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h[n], g[n]</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Low-pass / high-pass decomposition filters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E_j</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Energy of wavelet coefficients at level j</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E_D</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Approximation / detail energy feature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pu²</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f_t , i_t , o_t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LSTM forget, input, output gate activations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C_t , h_t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LSTM cell state / hidden state at time 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σ(·), tanh(·)</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Sigmoid / hyperbolic tangent activation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η</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Learning rate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x_t , ŷ_t , y_t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Input / predicted / true label at step 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Cross-entropy loss function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TP, TN, FP, FN</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True/False Positives and Negatives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ACC, Dep, Sec</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Accuracy, Dependability, Security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F1, AUC, ROC</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F1-score, Area Under ROC, ROC curve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S_rated</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Transformer rated power capacity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MVA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R_f</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Fault resistance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Ω</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φ_i</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Fault inception angle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deg</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Φ_rem , Φ_sat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Remanent / saturation flux of core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Wb</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N_CT</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Current transformer turns ratio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SNR</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Signal-to-Noise Ratio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f_s</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Sampling frequency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Hz</w:t>
            </w:r>
          </w:p>
        </w:tc>
      </w:tr>
    </w:tbl>
    <w:p>
      <w:pPr>
        <w:pageBreakBefore/>
        <w:spacing w:after="160"/>
        <w:jc w:val="center"/>
      </w:pPr>
      <w:r>
        <w:rPr>
          <w:rFonts w:ascii="Times New Roman" w:cs="Times New Roman" w:eastAsia="Times New Roman" w:hAnsi="Times New Roman"/>
          <w:b/>
          <w:bCs/>
          <w:color w:val="1F3864"/>
          <w:sz w:val="28"/>
          <w:szCs w:val="28"/>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Abbreviation</w:t>
            </w:r>
          </w:p>
        </w:tc>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Full 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CT / PT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Current Transformer / Potential (Voltage) Transformer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CHR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Current Harmonic Restraint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 / WPT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Discrete / Wavelet Packet Transform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DFT / FFT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Discrete / Fast Fourier Transform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STFT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Short-Time Fourier Transform</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MRA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Multi-Resolution Analysis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ANN / DNN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Artificial / Deep Neural Network</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CNN / RNN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Convolutional / Recurrent Neural Network</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 GRU</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Long Short-Term Memory network / Gated Recurrent Unit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SVM / PNN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Support Vector Machine / Probabilistic Neural Network</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ReLU</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Rectified Linear Unit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Adam / SGD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Adaptive Moment Estimation / Stochastic Gradient Descent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AUC / ROC</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Area Under Curve / Receiver Operating Characteristic</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MAE / MSE / RMSE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Mean Absolute / Squared / Root-Mean-Squared Error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MATLAB</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Matrix Laboratory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ONNX</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Open Neural Network Exchange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HIL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Hardware-in-the-Loop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FPGA / GPU / CPU</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Field-Programmable Gate Array / Graphics / Central Processing Unit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SNR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Signal-to-Noise Ratio</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 IEC</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Institute of Electrical and Electronics Engineers / International Electrotechnical Commission</w:t>
            </w:r>
          </w:p>
        </w:tc>
      </w:tr>
    </w:tbl>
    <w:p>
      <w:pPr>
        <w:pageBreakBefore/>
        <w:spacing w:after="120"/>
        <w:jc w:val="center"/>
      </w:pPr>
      <w:r>
        <w:rPr>
          <w:rFonts w:ascii="Times New Roman" w:cs="Times New Roman" w:eastAsia="Times New Roman" w:hAnsi="Times New Roman"/>
          <w:b/>
          <w:bCs/>
          <w:color w:val="1F3864"/>
          <w:sz w:val="28"/>
          <w:szCs w:val="28"/>
        </w:rPr>
        <w:t xml:space="preserve">LIST OF TABLES AND FIGURES</w:t>
      </w:r>
    </w:p>
    <w:p>
      <w:pPr>
        <w:spacing w:after="120"/>
        <w:jc w:val="both"/>
      </w:pP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Numbered table and figure captions appear in-text throughout the chapters. Dashed placeholder boxes mark every figure and data table to be inserted; replace each box with the corresponding image or completed table, then insert a List of Tables and List of Figures field in Word and update cross-references.</w:t>
      </w:r>
    </w:p>
    <w:p>
      <w:pPr>
        <w:pStyle w:val="Heading1"/>
        <w:pageBreakBefore/>
        <w:spacing w:after="200" w:before="240"/>
      </w:pPr>
      <w:r>
        <w:rPr>
          <w:rFonts w:ascii="Times New Roman" w:cs="Times New Roman" w:eastAsia="Times New Roman" w:hAnsi="Times New Roman"/>
          <w:b/>
          <w:bCs/>
          <w:color w:val="1F3864"/>
          <w:sz w:val="32"/>
          <w:szCs w:val="32"/>
        </w:rPr>
        <w:t xml:space="preserve">CHAPTER 1   INTRODUCTION</w:t>
      </w:r>
    </w:p>
    <w:p>
      <w:pPr>
        <w:pStyle w:val="Heading2"/>
        <w:spacing w:after="120" w:before="200"/>
      </w:pPr>
      <w:r>
        <w:rPr>
          <w:rFonts w:ascii="Times New Roman" w:cs="Times New Roman" w:eastAsia="Times New Roman" w:hAnsi="Times New Roman"/>
          <w:b/>
          <w:bCs/>
          <w:color w:val="1F3864"/>
          <w:sz w:val="28"/>
          <w:szCs w:val="28"/>
        </w:rPr>
        <w:t xml:space="preserve">1.1  Background</w:t>
      </w:r>
    </w:p>
    <w:p>
      <w:pPr>
        <w:spacing w:after="120" w:line="360" w:lineRule="auto"/>
        <w:jc w:val="both"/>
      </w:pPr>
      <w:r>
        <w:rPr>
          <w:rFonts w:ascii="Times New Roman" w:cs="Times New Roman" w:eastAsia="Times New Roman" w:hAnsi="Times New Roman"/>
          <w:sz w:val="24"/>
          <w:szCs w:val="24"/>
        </w:rPr>
        <w:t xml:space="preserve">Power transformers are among the most critical and capital-intensive assets in electrical power systems, serving as the essential link between generation, transmission, and distribution networks [1]. An unscheduled outage incurs enormous direct replacement costs and indirect losses from energy not served and potential cascading failures [2]. Differential protection, grounded in Kirchhoff’s Current Law (KCL), remains the primary protection scheme. Under healthy conditions, the input (primary) current and output (secondary) current are related by the turns ratio n:</w:t>
      </w:r>
    </w:p>
    <w:p>
      <w:pPr>
        <w:tabs>
          <w:tab w:val="right" w:pos="9360"/>
        </w:tabs>
        <w:spacing w:after="60" w:before="60"/>
        <w:jc w:val="center"/>
      </w:pPr>
      <w:r>
        <w:rPr>
          <w:rFonts w:ascii="Times New Roman" w:cs="Times New Roman" w:eastAsia="Times New Roman" w:hAnsi="Times New Roman"/>
          <w:i/>
          <w:iCs/>
          <w:sz w:val="24"/>
          <w:szCs w:val="24"/>
        </w:rPr>
        <w:t xml:space="preserve">I_primary − I_secondary / n ≈ 0</w:t>
      </w:r>
      <w:r>
        <w:rPr>
          <w:rFonts w:ascii="Times New Roman" w:cs="Times New Roman" w:eastAsia="Times New Roman" w:hAnsi="Times New Roman"/>
          <w:sz w:val="24"/>
          <w:szCs w:val="24"/>
        </w:rPr>
        <w:t xml:space="preserve">	(1.1)</w:t>
      </w:r>
    </w:p>
    <w:p>
      <w:pPr>
        <w:spacing w:after="120" w:line="360" w:lineRule="auto"/>
        <w:jc w:val="both"/>
      </w:pPr>
      <w:r>
        <w:rPr>
          <w:rFonts w:ascii="Times New Roman" w:cs="Times New Roman" w:eastAsia="Times New Roman" w:hAnsi="Times New Roman"/>
          <w:sz w:val="24"/>
          <w:szCs w:val="24"/>
        </w:rPr>
        <w:t xml:space="preserve">When an internal fault occurs, this balance is disrupted and the differential current becomes significantly nonzero, triggering relay operation [3].</w:t>
      </w:r>
    </w:p>
    <w:p>
      <w:pPr>
        <w:spacing w:after="120" w:line="360" w:lineRule="auto"/>
        <w:jc w:val="both"/>
      </w:pPr>
      <w:r>
        <w:rPr>
          <w:rFonts w:ascii="Times New Roman" w:cs="Times New Roman" w:eastAsia="Times New Roman" w:hAnsi="Times New Roman"/>
          <w:sz w:val="24"/>
          <w:szCs w:val="24"/>
        </w:rPr>
        <w:t xml:space="preserve">However, several phenomena produce substantial differential currents without internal faults. Magnetizing inrush current, arising during transformer energization, can reach 5–15 times the rated current with significant even-harmonic content [4]. Current transformer (CT) saturation distorts secondary waveforms under large DC-offset fault currents [9], and overexcitation conditions introduce additional harmonic components [5]. Traditional harmonic restraint (HR) and harmonic blocking (HB) methods face increasing limitations as renewable energy sources, power electronic converters, and advanced core materials alter the waveform signatures that conventional relays depend upon [5, 6]. This thesis proposes a hybrid adaptive framework integrating the discrete wavelet transform (DWT) with long short-term memory (LSTM) networks for more robust discrimination between fault and non-fault conditions [6,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718801"/>
                  <wp:docPr id="1" name="Picture 1"/>
                  <wp:cNvGraphicFramePr>
                    <a:graphicFrameLocks noChangeAspect="1"/>
                  </wp:cNvGraphicFramePr>
                  <a:graphic>
                    <a:graphicData uri="http://schemas.openxmlformats.org/drawingml/2006/picture">
                      <pic:pic>
                        <pic:nvPicPr>
                          <pic:cNvPr id="0" name="SLD_300MVA_Yd1_protection.png"/>
                          <pic:cNvPicPr/>
                        </pic:nvPicPr>
                        <pic:blipFill>
                          <a:blip r:embed="rId9"/>
                          <a:stretch>
                            <a:fillRect/>
                          </a:stretch>
                        </pic:blipFill>
                        <pic:spPr>
                          <a:xfrm>
                            <a:off x="0" y="0"/>
                            <a:ext cx="4572000" cy="3718801"/>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1.1: </w:t>
      </w:r>
      <w:r>
        <w:rPr>
          <w:rFonts w:ascii="Times New Roman" w:cs="Times New Roman" w:eastAsia="Times New Roman" w:hAnsi="Times New Roman"/>
          <w:sz w:val="21"/>
          <w:szCs w:val="21"/>
        </w:rPr>
        <w:t xml:space="preserve">Single-line schematic of the transformer differential protection zone.</w:t>
      </w:r>
    </w:p>
    <w:p>
      <w:pPr>
        <w:pStyle w:val="Heading2"/>
        <w:spacing w:after="120" w:before="200"/>
      </w:pPr>
      <w:r>
        <w:rPr>
          <w:rFonts w:ascii="Times New Roman" w:cs="Times New Roman" w:eastAsia="Times New Roman" w:hAnsi="Times New Roman"/>
          <w:b/>
          <w:bCs/>
          <w:color w:val="1F3864"/>
          <w:sz w:val="28"/>
          <w:szCs w:val="28"/>
        </w:rPr>
        <w:t xml:space="preserve">1.2  Research Motivation</w:t>
      </w:r>
    </w:p>
    <w:p>
      <w:pPr>
        <w:spacing w:after="120" w:line="360" w:lineRule="auto"/>
        <w:jc w:val="both"/>
      </w:pPr>
      <w:r>
        <w:rPr>
          <w:rFonts w:ascii="Times New Roman" w:cs="Times New Roman" w:eastAsia="Times New Roman" w:hAnsi="Times New Roman"/>
          <w:sz w:val="24"/>
          <w:szCs w:val="24"/>
        </w:rPr>
        <w:t xml:space="preserve">The reliability of differential protection is increasingly threatened by multiple compounding factors. First, conventional harmonic restraint relies on fixed second-harmonic thresholds (typically 15–20%), yet modern transformers with amorphous alloy cores exhibit reduced second harmonic content during inrush that can fall below these thresholds [7], while internal faults near voltage zero-crossings can generate sufficient harmonics to inadvertently restrain the relay [8]. Second, CT saturation produces asymmetric distortion that creates spurious differential currents persisting for several cycles [9], and legacy CTs with degraded performance further elevate this risk [10].</w:t>
      </w:r>
    </w:p>
    <w:p>
      <w:pPr>
        <w:spacing w:after="120" w:line="360" w:lineRule="auto"/>
        <w:jc w:val="both"/>
      </w:pPr>
      <w:r>
        <w:rPr>
          <w:rFonts w:ascii="Times New Roman" w:cs="Times New Roman" w:eastAsia="Times New Roman" w:hAnsi="Times New Roman"/>
          <w:sz w:val="24"/>
          <w:szCs w:val="24"/>
        </w:rPr>
        <w:t xml:space="preserve">Third, advanced core materials such as amorphous metals and high-B-saturation alloys exhibit steeper B-H curves with altered harmonic signatures [11]. Fourth, renewable energy converters inject non-sinusoidal currents with limited fault contributions (1.1–1.5 p.u.), fundamentally changing differential current signatures [12]. Fifth, complex configurations—multi-winding transformers, autotransformers, and on-load tap changers—narrow the margin between legitimate restraint and genuine fault conditions [13]. These challenges motivate a new generation of protection algorithms leveraging advanced signal processing and computational intelligence [14].</w:t>
      </w:r>
    </w:p>
    <w:p>
      <w:pPr>
        <w:pStyle w:val="Heading2"/>
        <w:spacing w:after="120" w:before="200"/>
      </w:pPr>
      <w:r>
        <w:rPr>
          <w:rFonts w:ascii="Times New Roman" w:cs="Times New Roman" w:eastAsia="Times New Roman" w:hAnsi="Times New Roman"/>
          <w:b/>
          <w:bCs/>
          <w:color w:val="1F3864"/>
          <w:sz w:val="28"/>
          <w:szCs w:val="28"/>
        </w:rPr>
        <w:t xml:space="preserve">1.3  Problem Statement</w:t>
      </w:r>
    </w:p>
    <w:p>
      <w:pPr>
        <w:spacing w:after="120" w:line="360" w:lineRule="auto"/>
        <w:jc w:val="both"/>
      </w:pPr>
      <w:r>
        <w:rPr>
          <w:rFonts w:ascii="Times New Roman" w:cs="Times New Roman" w:eastAsia="Times New Roman" w:hAnsi="Times New Roman"/>
          <w:sz w:val="24"/>
          <w:szCs w:val="24"/>
        </w:rPr>
        <w:t xml:space="preserve">Despite over a century of development, transformer differential protection schemes continue to experience maloperations at unacceptable rates. The problem addressed in this thesis can be formally stated as follows.</w:t>
      </w:r>
    </w:p>
    <w:p>
      <w:pPr>
        <w:spacing w:after="120" w:line="360" w:lineRule="auto"/>
        <w:jc w:val="both"/>
      </w:pPr>
      <w:r>
        <w:rPr>
          <w:rFonts w:ascii="Times New Roman" w:cs="Times New Roman" w:eastAsia="Times New Roman" w:hAnsi="Times New Roman"/>
          <w:b/>
          <w:bCs/>
          <w:sz w:val="24"/>
          <w:szCs w:val="24"/>
        </w:rPr>
        <w:t xml:space="preserve">Given:</w:t>
      </w:r>
      <w:r>
        <w:rPr>
          <w:rFonts w:ascii="Times New Roman" w:cs="Times New Roman" w:eastAsia="Times New Roman" w:hAnsi="Times New Roman"/>
          <w:sz w:val="24"/>
          <w:szCs w:val="24"/>
        </w:rPr>
        <w:t xml:space="preserve"> time-series differential current signals {I_d(t)} sampled at f_s samples per second, encompassing internal faults, magnetizing inrush, external faults with CT saturation, overexcitation, and normal load conditions; signals corrupted by measurement noise, CT transformation errors, and potential communication delays.</w:t>
      </w:r>
    </w:p>
    <w:p>
      <w:pPr>
        <w:spacing w:after="120" w:line="360" w:lineRule="auto"/>
        <w:jc w:val="both"/>
      </w:pPr>
      <w:r>
        <w:rPr>
          <w:rFonts w:ascii="Times New Roman" w:cs="Times New Roman" w:eastAsia="Times New Roman" w:hAnsi="Times New Roman"/>
          <w:b/>
          <w:bCs/>
          <w:sz w:val="24"/>
          <w:szCs w:val="24"/>
        </w:rPr>
        <w:t xml:space="preserve">Find:</w:t>
      </w:r>
      <w:r>
        <w:rPr>
          <w:rFonts w:ascii="Times New Roman" w:cs="Times New Roman" w:eastAsia="Times New Roman" w:hAnsi="Times New Roman"/>
          <w:sz w:val="24"/>
          <w:szCs w:val="24"/>
        </w:rPr>
        <w:t xml:space="preserve"> a classification function f : X → Y mapping the input signal x ∈ X to output classes Y = {y_fault, y_inrush, y_external, y_normal} with high accuracy and reliability.</w:t>
      </w:r>
    </w:p>
    <w:p>
      <w:pPr>
        <w:spacing w:after="120" w:line="360" w:lineRule="auto"/>
        <w:jc w:val="both"/>
      </w:pPr>
      <w:r>
        <w:rPr>
          <w:rFonts w:ascii="Times New Roman" w:cs="Times New Roman" w:eastAsia="Times New Roman" w:hAnsi="Times New Roman"/>
          <w:b/>
          <w:bCs/>
          <w:sz w:val="24"/>
          <w:szCs w:val="24"/>
        </w:rPr>
        <w:t xml:space="preserve">Subject to:</w:t>
      </w:r>
      <w:r>
        <w:rPr>
          <w:rFonts w:ascii="Times New Roman" w:cs="Times New Roman" w:eastAsia="Times New Roman" w:hAnsi="Times New Roman"/>
          <w:sz w:val="24"/>
          <w:szCs w:val="24"/>
        </w:rPr>
        <w:t xml:space="preserve"> operating time within a half-cycle window (10 ms at 50 Hz); dependability with missed-detection probability P_miss ≤ 0.01; security with false-trip probability P_false ≤ 0.01; robustness across fault levels, loading conditions, and operating states; and generalizability to unseen operating conditions not represented in the training data.</w:t>
      </w:r>
    </w:p>
    <w:p>
      <w:pPr>
        <w:spacing w:after="120" w:line="360" w:lineRule="auto"/>
        <w:jc w:val="both"/>
      </w:pPr>
      <w:r>
        <w:rPr>
          <w:rFonts w:ascii="Times New Roman" w:cs="Times New Roman" w:eastAsia="Times New Roman" w:hAnsi="Times New Roman"/>
          <w:sz w:val="24"/>
          <w:szCs w:val="24"/>
        </w:rPr>
        <w:t xml:space="preserve">The key difficulties arise from the highly nonlinear and non-stationary feature space, context-dependent classification boundaries, real-time computational constraints, and scarcity of real-world fault data [15]. Conventional harmonic restraint methods rely on fixed thresholds [16]; waveform-based methods are noise-sensitive; traditional machine learning approaches (ANN, SVM) lack temporal dependency modeling [17]; and basic CNNs or RNNs either fail to capture sequential patterns or suffer from vanishing gradients [18].</w:t>
      </w:r>
    </w:p>
    <w:p>
      <w:pPr>
        <w:pStyle w:val="Heading2"/>
        <w:spacing w:after="120" w:before="200"/>
      </w:pPr>
      <w:r>
        <w:rPr>
          <w:rFonts w:ascii="Times New Roman" w:cs="Times New Roman" w:eastAsia="Times New Roman" w:hAnsi="Times New Roman"/>
          <w:b/>
          <w:bCs/>
          <w:color w:val="1F3864"/>
          <w:sz w:val="28"/>
          <w:szCs w:val="28"/>
        </w:rPr>
        <w:t xml:space="preserve">1.4  Research Objectives</w:t>
      </w:r>
    </w:p>
    <w:p>
      <w:pPr>
        <w:spacing w:after="120" w:line="360" w:lineRule="auto"/>
        <w:jc w:val="both"/>
      </w:pPr>
      <w:r>
        <w:rPr>
          <w:rFonts w:ascii="Times New Roman" w:cs="Times New Roman" w:eastAsia="Times New Roman" w:hAnsi="Times New Roman"/>
          <w:sz w:val="24"/>
          <w:szCs w:val="24"/>
        </w:rPr>
        <w:t xml:space="preserve">The overarching goal is to design and validate a hybrid adaptive differential protection scheme based on a DWT-LSTM framework using MATLAB/Simulink, pursued through four objectives:</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Simulation Model Development and Data Generation.</w:t>
      </w:r>
      <w:r>
        <w:rPr>
          <w:rFonts w:ascii="Times New Roman" w:cs="Times New Roman" w:eastAsia="Times New Roman" w:hAnsi="Times New Roman"/>
          <w:sz w:val="24"/>
          <w:szCs w:val="24"/>
        </w:rPr>
        <w:t xml:space="preserve"> Develop a detailed electromagnetic-transient (EMT) simulation model of a power transformer protection system in MATLAB/Simulink, generating differential current signals for internal faults (SLG, LL, LLL, inter-turn), magnetizing inrush (including sympathetic inrush), external faults with CT saturation, overexcitation, and normal load operation [19].</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Optimal DWT Feature Extraction.</w:t>
      </w:r>
      <w:r>
        <w:rPr>
          <w:rFonts w:ascii="Times New Roman" w:cs="Times New Roman" w:eastAsia="Times New Roman" w:hAnsi="Times New Roman"/>
          <w:sz w:val="24"/>
          <w:szCs w:val="24"/>
        </w:rPr>
        <w:t xml:space="preserve"> Optimize the application of DWT for multi-resolution decomposition, identifying the optimal mother wavelet, decomposition level, and feature set that maximize fault/non-fault separability, through systematic comparison of wavelet families [20].</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Hybrid DWT-LSTM Classification and Adaptive Decision Logic.</w:t>
      </w:r>
      <w:r>
        <w:rPr>
          <w:rFonts w:ascii="Times New Roman" w:cs="Times New Roman" w:eastAsia="Times New Roman" w:hAnsi="Times New Roman"/>
          <w:sz w:val="24"/>
          <w:szCs w:val="24"/>
        </w:rPr>
        <w:t xml:space="preserve"> Design a hybrid architecture integrating wavelet-based feature extraction with LSTM temporal sequence modeling, optimizing network hyperparameters, and develop adaptive decision-making with dynamic thresholds based on real-time operating conditions and LSTM confidence scores [1, 2].</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Performance Evaluation, Benchmarking, and Robustness Analysis.</w:t>
      </w:r>
      <w:r>
        <w:rPr>
          <w:rFonts w:ascii="Times New Roman" w:cs="Times New Roman" w:eastAsia="Times New Roman" w:hAnsi="Times New Roman"/>
          <w:sz w:val="24"/>
          <w:szCs w:val="24"/>
        </w:rPr>
        <w:t xml:space="preserve"> Benchmark the proposed framework against conventional harmonic restraint, waveform-based, ANN, SVM, and CNN methods using standardized metrics, and assess robustness under measurement noise, CT errors, frequency deviations, and distribution shift [3, 21].</w:t>
      </w:r>
    </w:p>
    <w:p>
      <w:pPr>
        <w:pStyle w:val="Heading2"/>
        <w:spacing w:after="120" w:before="200"/>
      </w:pPr>
      <w:r>
        <w:rPr>
          <w:rFonts w:ascii="Times New Roman" w:cs="Times New Roman" w:eastAsia="Times New Roman" w:hAnsi="Times New Roman"/>
          <w:b/>
          <w:bCs/>
          <w:color w:val="1F3864"/>
          <w:sz w:val="28"/>
          <w:szCs w:val="28"/>
        </w:rPr>
        <w:t xml:space="preserve">1.5  Scope and Limitations</w:t>
      </w:r>
    </w:p>
    <w:p>
      <w:pPr>
        <w:pStyle w:val="Heading3"/>
        <w:spacing w:after="100" w:before="160"/>
      </w:pPr>
      <w:r>
        <w:rPr>
          <w:rFonts w:ascii="Times New Roman" w:cs="Times New Roman" w:eastAsia="Times New Roman" w:hAnsi="Times New Roman"/>
          <w:b/>
          <w:bCs/>
          <w:i/>
          <w:iCs/>
          <w:sz w:val="24"/>
          <w:szCs w:val="24"/>
        </w:rPr>
        <w:t xml:space="preserve">1.5.1  Scope of the Work</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Transformer Model:</w:t>
      </w:r>
      <w:r>
        <w:rPr>
          <w:rFonts w:ascii="Times New Roman" w:cs="Times New Roman" w:eastAsia="Times New Roman" w:hAnsi="Times New Roman"/>
          <w:sz w:val="24"/>
          <w:szCs w:val="24"/>
        </w:rPr>
        <w:t xml:space="preserve"> a two-winding 300 MVA, 230/11 kV transformer with Yd1 vector group is modeled in detail; generalization to other ratings and vector groups (e.g., Dy11, YNynd0) and voltage levels is identified as future work.</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Fault Types:</w:t>
      </w:r>
      <w:r>
        <w:rPr>
          <w:rFonts w:ascii="Times New Roman" w:cs="Times New Roman" w:eastAsia="Times New Roman" w:hAnsi="Times New Roman"/>
          <w:sz w:val="24"/>
          <w:szCs w:val="24"/>
        </w:rPr>
        <w:t xml:space="preserve"> SLG, LL, LLL, LLLG, and inter-turn faults (5%, 10%, 20% of winding); external faults for security assessment.</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Signal Processing:</w:t>
      </w:r>
      <w:r>
        <w:rPr>
          <w:rFonts w:ascii="Times New Roman" w:cs="Times New Roman" w:eastAsia="Times New Roman" w:hAnsi="Times New Roman"/>
          <w:sz w:val="24"/>
          <w:szCs w:val="24"/>
        </w:rPr>
        <w:t xml:space="preserve"> one-dimensional DWT decomposition; CWT and WPT are discussed but not implemented.</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Machine Learning:</w:t>
      </w:r>
      <w:r>
        <w:rPr>
          <w:rFonts w:ascii="Times New Roman" w:cs="Times New Roman" w:eastAsia="Times New Roman" w:hAnsi="Times New Roman"/>
          <w:sz w:val="24"/>
          <w:szCs w:val="24"/>
        </w:rPr>
        <w:t xml:space="preserve"> LSTM as primary classifier with ANN, SVM, and CNN baselines; transfer learning and ensemble methods are excluded.</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simulation-generated data in MATLAB/Simulink; hardware-in-the-loop and RTDS validation are deferred to future work.</w:t>
      </w:r>
    </w:p>
    <w:p>
      <w:pPr>
        <w:pStyle w:val="ListParagraph"/>
        <w:numPr>
          <w:ilvl w:val="0"/>
          <w:numId w:val="3"/>
        </w:numPr>
        <w:spacing w:after="120" w:line="360" w:lineRule="auto"/>
        <w:jc w:val="both"/>
      </w:pPr>
      <w:r>
        <w:rPr>
          <w:rFonts w:ascii="Times New Roman" w:cs="Times New Roman" w:eastAsia="Times New Roman" w:hAnsi="Times New Roman"/>
          <w:b/>
          <w:bCs/>
          <w:sz w:val="24"/>
          <w:szCs w:val="24"/>
        </w:rPr>
        <w:t xml:space="preserve">Frequency:</w:t>
      </w:r>
      <w:r>
        <w:rPr>
          <w:rFonts w:ascii="Times New Roman" w:cs="Times New Roman" w:eastAsia="Times New Roman" w:hAnsi="Times New Roman"/>
          <w:sz w:val="24"/>
          <w:szCs w:val="24"/>
        </w:rPr>
        <w:t xml:space="preserve"> nominal 50 Hz system; adaptable to 60 Hz but configured for 50 Hz.</w:t>
      </w:r>
    </w:p>
    <w:p>
      <w:pPr>
        <w:pStyle w:val="Heading3"/>
        <w:spacing w:after="100" w:before="160"/>
      </w:pPr>
      <w:r>
        <w:rPr>
          <w:rFonts w:ascii="Times New Roman" w:cs="Times New Roman" w:eastAsia="Times New Roman" w:hAnsi="Times New Roman"/>
          <w:b/>
          <w:bCs/>
          <w:i/>
          <w:iCs/>
          <w:sz w:val="24"/>
          <w:szCs w:val="24"/>
        </w:rPr>
        <w:t xml:space="preserve">1.5.2  Limitations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Training data is simulation-generated; discrepancies with real-world field data may exist due to unmodeled dynamics and manufacturing tolerances.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No validation on physical relay hardware; computational analysis is based on software benchmarks.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Class imbalance is mitigated via data augmentation, but generalization to real distributions requires further validation.</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adaptive threshold mechanism is designed for static loading; dynamic scenarios (renewable ramps, motor starting) are not explicitly addressed.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Communication failures in IEC 61850 digital substation architectures are not considered.</w:t>
      </w:r>
    </w:p>
    <w:p>
      <w:pPr>
        <w:pStyle w:val="Heading2"/>
        <w:spacing w:after="120" w:before="200"/>
      </w:pPr>
      <w:r>
        <w:rPr>
          <w:rFonts w:ascii="Times New Roman" w:cs="Times New Roman" w:eastAsia="Times New Roman" w:hAnsi="Times New Roman"/>
          <w:b/>
          <w:bCs/>
          <w:color w:val="1F3864"/>
          <w:sz w:val="28"/>
          <w:szCs w:val="28"/>
        </w:rPr>
        <w:t xml:space="preserve">1.6  Contributions of This Work</w:t>
      </w:r>
    </w:p>
    <w:p>
      <w:pPr>
        <w:spacing w:after="120" w:line="360" w:lineRule="auto"/>
        <w:jc w:val="both"/>
      </w:pPr>
      <w:r>
        <w:rPr>
          <w:rFonts w:ascii="Times New Roman" w:cs="Times New Roman" w:eastAsia="Times New Roman" w:hAnsi="Times New Roman"/>
          <w:b/>
          <w:bCs/>
          <w:sz w:val="24"/>
          <w:szCs w:val="24"/>
        </w:rPr>
        <w:t xml:space="preserve">Contribution 1 — A Systematic Wavelet Feature Selection Framework.</w:t>
      </w:r>
      <w:r>
        <w:rPr>
          <w:rFonts w:ascii="Times New Roman" w:cs="Times New Roman" w:eastAsia="Times New Roman" w:hAnsi="Times New Roman"/>
          <w:sz w:val="24"/>
          <w:szCs w:val="24"/>
        </w:rPr>
        <w:t xml:space="preserve"> A quantitative methodology for selecting the optimal mother wavelet, decomposition level, and feature extraction strategy using Fisher’s discriminant ratio and mutual information, ensuring maximum inter-class separation [22].</w:t>
      </w:r>
    </w:p>
    <w:p>
      <w:pPr>
        <w:spacing w:after="120" w:line="360" w:lineRule="auto"/>
        <w:jc w:val="both"/>
      </w:pPr>
      <w:r>
        <w:rPr>
          <w:rFonts w:ascii="Times New Roman" w:cs="Times New Roman" w:eastAsia="Times New Roman" w:hAnsi="Times New Roman"/>
          <w:b/>
          <w:bCs/>
          <w:sz w:val="24"/>
          <w:szCs w:val="24"/>
        </w:rPr>
        <w:t xml:space="preserve">Contribution 2 — A Novel Hybrid DWT-LSTM Architecture.</w:t>
      </w:r>
      <w:r>
        <w:rPr>
          <w:rFonts w:ascii="Times New Roman" w:cs="Times New Roman" w:eastAsia="Times New Roman" w:hAnsi="Times New Roman"/>
          <w:sz w:val="24"/>
          <w:szCs w:val="24"/>
        </w:rPr>
        <w:t xml:space="preserve"> A serial fusion architecture where the DWT module decomposes differential currents into time-frequency sub-band features that are sequentially fed into a stacked LSTM network, combining localized time-frequency decomposition with long-term temporal dependency modeling. A comprehensive benchmarking dataset of over 10,000 simulated events evaluated across seven methods using standardized metrics is also provided [1, 23].</w:t>
      </w:r>
    </w:p>
    <w:p>
      <w:pPr>
        <w:spacing w:after="120" w:line="360" w:lineRule="auto"/>
        <w:jc w:val="both"/>
      </w:pPr>
      <w:r>
        <w:rPr>
          <w:rFonts w:ascii="Times New Roman" w:cs="Times New Roman" w:eastAsia="Times New Roman" w:hAnsi="Times New Roman"/>
          <w:b/>
          <w:bCs/>
          <w:sz w:val="24"/>
          <w:szCs w:val="24"/>
        </w:rPr>
        <w:t xml:space="preserve">Contribution 3 — An Adaptive Decision Framework with Robustness Validation.</w:t>
      </w:r>
      <w:r>
        <w:rPr>
          <w:rFonts w:ascii="Times New Roman" w:cs="Times New Roman" w:eastAsia="Times New Roman" w:hAnsi="Times New Roman"/>
          <w:sz w:val="24"/>
          <w:szCs w:val="24"/>
        </w:rPr>
        <w:t xml:space="preserve"> An adaptive decision logic with dynamic thresholds based on LSTM confidence scores, differential/restraint current magnitudes, and system operating state, incorporating a probabilistic layer for classification uncertainty [2]. Detailed robustness analysis under noise (20–60 dB SNR), CT ratio errors (±5%), frequency deviations, and distribution shift demonstrates graceful performance degradation well above practical deployment thresholds [24].</w:t>
      </w:r>
    </w:p>
    <w:p>
      <w:pPr>
        <w:pStyle w:val="Heading2"/>
        <w:spacing w:after="120" w:before="200"/>
      </w:pPr>
      <w:r>
        <w:rPr>
          <w:rFonts w:ascii="Times New Roman" w:cs="Times New Roman" w:eastAsia="Times New Roman" w:hAnsi="Times New Roman"/>
          <w:b/>
          <w:bCs/>
          <w:color w:val="1F3864"/>
          <w:sz w:val="28"/>
          <w:szCs w:val="28"/>
        </w:rPr>
        <w:t xml:space="preserve">1.7  Thesis Organization</w:t>
      </w:r>
    </w:p>
    <w:p>
      <w:pPr>
        <w:spacing w:after="120" w:line="360" w:lineRule="auto"/>
        <w:jc w:val="both"/>
      </w:pPr>
      <w:r>
        <w:rPr>
          <w:rFonts w:ascii="Times New Roman" w:cs="Times New Roman" w:eastAsia="Times New Roman" w:hAnsi="Times New Roman"/>
          <w:sz w:val="24"/>
          <w:szCs w:val="24"/>
        </w:rPr>
        <w:t xml:space="preserve">This thesis is organized into seven chapters. Chapter 1 provides the background, motivation, problem statement, objectives, scope, and contributions. Chapter 2 presents a critical literature review and identifies the research gaps. Chapter 3 establishes the mathematical foundations of differential protection, inrush phenomena, CT saturation, and classification theory. Chapter 4 details the MATLAB/Simulink EMT simulation model and the generated dataset. Chapter 5 presents the proposed DWT-LSTM methodology. Chapter 6 presents experimental results, comparative benchmarking, and robustness analysis. Chapter 7 summarizes the key findings and outlines future directions.</w:t>
      </w:r>
    </w:p>
    <w:p>
      <w:pPr>
        <w:pStyle w:val="Heading1"/>
        <w:pageBreakBefore/>
        <w:spacing w:after="200" w:before="240"/>
      </w:pPr>
      <w:r>
        <w:rPr>
          <w:rFonts w:ascii="Times New Roman" w:cs="Times New Roman" w:eastAsia="Times New Roman" w:hAnsi="Times New Roman"/>
          <w:b/>
          <w:bCs/>
          <w:color w:val="1F3864"/>
          <w:sz w:val="32"/>
          <w:szCs w:val="32"/>
        </w:rPr>
        <w:t xml:space="preserve">CHAPTER 2   LITERATURE REVIEW</w:t>
      </w:r>
    </w:p>
    <w:p>
      <w:pPr>
        <w:pStyle w:val="Heading2"/>
        <w:spacing w:after="120" w:before="200"/>
      </w:pPr>
      <w:r>
        <w:rPr>
          <w:rFonts w:ascii="Times New Roman" w:cs="Times New Roman" w:eastAsia="Times New Roman" w:hAnsi="Times New Roman"/>
          <w:b/>
          <w:bCs/>
          <w:color w:val="1F3864"/>
          <w:sz w:val="28"/>
          <w:szCs w:val="28"/>
        </w:rPr>
        <w:t xml:space="preserve">2.1  Introduction to Literature Review</w:t>
      </w:r>
    </w:p>
    <w:p>
      <w:pPr>
        <w:spacing w:after="120" w:line="360" w:lineRule="auto"/>
        <w:jc w:val="both"/>
      </w:pPr>
      <w:r>
        <w:rPr>
          <w:rFonts w:ascii="Times New Roman" w:cs="Times New Roman" w:eastAsia="Times New Roman" w:hAnsi="Times New Roman"/>
          <w:sz w:val="24"/>
          <w:szCs w:val="24"/>
        </w:rPr>
        <w:t xml:space="preserve">This chapter presents a critical review of the existing literature on transformer differential protection, spanning conventional harmonic restraint and waveform-based methods, signal processing techniques (Fourier and wavelet transforms), machine learning approaches (ANN, SVM, PNN, ensemble methods), and deep learning architectures (CNN, RNN, LSTM). The review identifies the strengths and limitations of each category and highlights the specific research gaps that motivate the hybrid DWT-LSTM framework proposed in this thesis. The surveyed literature is drawn primarily from IEEE Transactions on Power Delivery, IEEE Transactions on Power Systems, Electric Power Systems Research, and related conference proceedings published from the 1950s through 2024.</w:t>
      </w:r>
    </w:p>
    <w:p>
      <w:pPr>
        <w:pStyle w:val="Heading2"/>
        <w:spacing w:after="120" w:before="200"/>
      </w:pPr>
      <w:r>
        <w:rPr>
          <w:rFonts w:ascii="Times New Roman" w:cs="Times New Roman" w:eastAsia="Times New Roman" w:hAnsi="Times New Roman"/>
          <w:b/>
          <w:bCs/>
          <w:color w:val="1F3864"/>
          <w:sz w:val="28"/>
          <w:szCs w:val="28"/>
        </w:rPr>
        <w:t xml:space="preserve">2.2  Conventional Transformer Differential Protection Methods</w:t>
      </w:r>
    </w:p>
    <w:p>
      <w:pPr>
        <w:pStyle w:val="Heading3"/>
        <w:spacing w:after="100" w:before="160"/>
      </w:pPr>
      <w:r>
        <w:rPr>
          <w:rFonts w:ascii="Times New Roman" w:cs="Times New Roman" w:eastAsia="Times New Roman" w:hAnsi="Times New Roman"/>
          <w:b/>
          <w:bCs/>
          <w:i/>
          <w:iCs/>
          <w:sz w:val="24"/>
          <w:szCs w:val="24"/>
        </w:rPr>
        <w:t xml:space="preserve">2.2.1  Harmonic Restraint Methods</w:t>
      </w:r>
    </w:p>
    <w:p>
      <w:pPr>
        <w:spacing w:after="120" w:line="360" w:lineRule="auto"/>
        <w:jc w:val="both"/>
      </w:pPr>
      <w:r>
        <w:rPr>
          <w:rFonts w:ascii="Times New Roman" w:cs="Times New Roman" w:eastAsia="Times New Roman" w:hAnsi="Times New Roman"/>
          <w:sz w:val="24"/>
          <w:szCs w:val="24"/>
        </w:rPr>
        <w:t xml:space="preserve">The harmonic restraint (HR) method, first proposed by Sharp and Glassburn in 1958, is the most widely deployed technique for discriminating magnetizing inrush from internal faults [7]. The premise is that inrush currents contain significant even-harmonic content (particularly the second harmonic, with k2 = I2/I1 typically ranging from 15% to 60%), while internal fault currents are predominantly fundamental and odd harmonics. The relay trips only when the following conditions are simultaneously satisfied:</w:t>
      </w:r>
    </w:p>
    <w:p>
      <w:pPr>
        <w:tabs>
          <w:tab w:val="right" w:pos="9360"/>
        </w:tabs>
        <w:spacing w:after="60" w:before="60"/>
        <w:jc w:val="center"/>
      </w:pPr>
      <w:r>
        <w:rPr>
          <w:rFonts w:ascii="Times New Roman" w:cs="Times New Roman" w:eastAsia="Times New Roman" w:hAnsi="Times New Roman"/>
          <w:i/>
          <w:iCs/>
          <w:sz w:val="24"/>
          <w:szCs w:val="24"/>
        </w:rPr>
        <w:t xml:space="preserve">I_d &gt; I_pickup</w:t>
      </w:r>
      <w:r>
        <w:rPr>
          <w:rFonts w:ascii="Times New Roman" w:cs="Times New Roman" w:eastAsia="Times New Roman" w:hAnsi="Times New Roman"/>
          <w:sz w:val="24"/>
          <w:szCs w:val="24"/>
        </w:rPr>
        <w:t xml:space="preserve">	(2.1)</w:t>
      </w:r>
    </w:p>
    <w:p>
      <w:pPr>
        <w:tabs>
          <w:tab w:val="right" w:pos="9360"/>
        </w:tabs>
        <w:spacing w:after="60" w:before="60"/>
        <w:jc w:val="center"/>
      </w:pPr>
      <w:r>
        <w:rPr>
          <w:rFonts w:ascii="Times New Roman" w:cs="Times New Roman" w:eastAsia="Times New Roman" w:hAnsi="Times New Roman"/>
          <w:i/>
          <w:iCs/>
          <w:sz w:val="24"/>
          <w:szCs w:val="24"/>
        </w:rPr>
        <w:t xml:space="preserve">I_d &gt; S · I_r</w:t>
      </w:r>
      <w:r>
        <w:rPr>
          <w:rFonts w:ascii="Times New Roman" w:cs="Times New Roman" w:eastAsia="Times New Roman" w:hAnsi="Times New Roman"/>
          <w:sz w:val="24"/>
          <w:szCs w:val="24"/>
        </w:rPr>
        <w:t xml:space="preserve">	(2.2)</w:t>
      </w:r>
    </w:p>
    <w:p>
      <w:pPr>
        <w:tabs>
          <w:tab w:val="right" w:pos="9360"/>
        </w:tabs>
        <w:spacing w:after="60" w:before="60"/>
        <w:jc w:val="center"/>
      </w:pPr>
      <w:r>
        <w:rPr>
          <w:rFonts w:ascii="Times New Roman" w:cs="Times New Roman" w:eastAsia="Times New Roman" w:hAnsi="Times New Roman"/>
          <w:i/>
          <w:iCs/>
          <w:sz w:val="24"/>
          <w:szCs w:val="24"/>
        </w:rPr>
        <w:t xml:space="preserve">I2 / I1 &lt; k_threshold</w:t>
      </w:r>
      <w:r>
        <w:rPr>
          <w:rFonts w:ascii="Times New Roman" w:cs="Times New Roman" w:eastAsia="Times New Roman" w:hAnsi="Times New Roman"/>
          <w:sz w:val="24"/>
          <w:szCs w:val="24"/>
        </w:rPr>
        <w:t xml:space="preserve">	(2.3)</w:t>
      </w:r>
    </w:p>
    <w:p>
      <w:pPr>
        <w:spacing w:after="120" w:line="360" w:lineRule="auto"/>
        <w:jc w:val="both"/>
      </w:pPr>
      <w:r>
        <w:rPr>
          <w:rFonts w:ascii="Times New Roman" w:cs="Times New Roman" w:eastAsia="Times New Roman" w:hAnsi="Times New Roman"/>
          <w:sz w:val="24"/>
          <w:szCs w:val="24"/>
        </w:rPr>
        <w:t xml:space="preserve">where I_d is the differential current, I_r the restraint current, I_pickup the minimum pickup current, S the slope setting, and k_threshold is typically set between 15% and 20%.</w:t>
      </w:r>
    </w:p>
    <w:p>
      <w:pPr>
        <w:spacing w:after="120" w:line="360" w:lineRule="auto"/>
        <w:jc w:val="both"/>
      </w:pPr>
      <w:r>
        <w:rPr>
          <w:rFonts w:ascii="Times New Roman" w:cs="Times New Roman" w:eastAsia="Times New Roman" w:hAnsi="Times New Roman"/>
          <w:sz w:val="24"/>
          <w:szCs w:val="24"/>
        </w:rPr>
        <w:t xml:space="preserve">Despite widespread adoption, HR suffers from documented shortcomings: modern transformers with amorphous alloy cores exhibit second harmonic ratios as low as 7–10%, below the conventional 15% threshold, causing false tripping [11]; internal faults near voltage zero-crossing produce DC offsets with sufficient second harmonic to inadvertently restrain the relay [8]; and cross-blocking schemes improve security during three-phase energization but increase the risk of failure to trip for simultaneous inrush and fault events [25].</w:t>
      </w:r>
    </w:p>
    <w:p>
      <w:pPr>
        <w:pStyle w:val="Heading3"/>
        <w:spacing w:after="100" w:before="160"/>
      </w:pPr>
      <w:r>
        <w:rPr>
          <w:rFonts w:ascii="Times New Roman" w:cs="Times New Roman" w:eastAsia="Times New Roman" w:hAnsi="Times New Roman"/>
          <w:b/>
          <w:bCs/>
          <w:i/>
          <w:iCs/>
          <w:sz w:val="24"/>
          <w:szCs w:val="24"/>
        </w:rPr>
        <w:t xml:space="preserve">2.2.2  Waveform-Based and Equivalent Circuit Methods</w:t>
      </w:r>
    </w:p>
    <w:p>
      <w:pPr>
        <w:spacing w:after="120" w:line="360" w:lineRule="auto"/>
        <w:jc w:val="both"/>
      </w:pPr>
      <w:r>
        <w:rPr>
          <w:rFonts w:ascii="Times New Roman" w:cs="Times New Roman" w:eastAsia="Times New Roman" w:hAnsi="Times New Roman"/>
          <w:sz w:val="24"/>
          <w:szCs w:val="24"/>
        </w:rPr>
        <w:t xml:space="preserve">Waveform-based methods exploit the distinct shape of inrush versus fault current waveforms. The dead-angle method defines the angular duration during each half-cycle where the current magnitude falls below a threshold; if this exceeds 65–80 degrees, the event is classified as inrush. While computationally straightforward, dead-angle methods are highly sensitive to threshold selection, measurement noise, and CT saturation [26]. Gap-detection methods operate on the current derivative and are more noise-susceptible [27], while waveform-correlation methods compute half-cycle symmetry but are sensitive to data-window length and CT saturation [28].</w:t>
      </w:r>
    </w:p>
    <w:p>
      <w:pPr>
        <w:spacing w:after="120" w:line="360" w:lineRule="auto"/>
        <w:jc w:val="both"/>
      </w:pPr>
      <w:r>
        <w:rPr>
          <w:rFonts w:ascii="Times New Roman" w:cs="Times New Roman" w:eastAsia="Times New Roman" w:hAnsi="Times New Roman"/>
          <w:sz w:val="24"/>
          <w:szCs w:val="24"/>
        </w:rPr>
        <w:t xml:space="preserve">Equivalent circuit-based methods model the transformer using magnetic equivalent circuits, detecting internal faults when terminal measurements violate the circuit equations [29]. Voltage-restrained differential protection increases relay restraint during overexcitation based on fifth-harmonic content [29]. While physically grounded, these methods require accurate transformer models, voltage measurements, and real-time solutions to differential equations, limiting their practical deployment [30].</w:t>
      </w:r>
    </w:p>
    <w:p>
      <w:pPr>
        <w:pStyle w:val="Heading2"/>
        <w:spacing w:after="120" w:before="200"/>
      </w:pPr>
      <w:r>
        <w:rPr>
          <w:rFonts w:ascii="Times New Roman" w:cs="Times New Roman" w:eastAsia="Times New Roman" w:hAnsi="Times New Roman"/>
          <w:b/>
          <w:bCs/>
          <w:color w:val="1F3864"/>
          <w:sz w:val="28"/>
          <w:szCs w:val="28"/>
        </w:rPr>
        <w:t xml:space="preserve">2.3  Signal Processing Techniques</w:t>
      </w:r>
    </w:p>
    <w:p>
      <w:pPr>
        <w:pStyle w:val="Heading3"/>
        <w:spacing w:after="100" w:before="160"/>
      </w:pPr>
      <w:r>
        <w:rPr>
          <w:rFonts w:ascii="Times New Roman" w:cs="Times New Roman" w:eastAsia="Times New Roman" w:hAnsi="Times New Roman"/>
          <w:b/>
          <w:bCs/>
          <w:i/>
          <w:iCs/>
          <w:sz w:val="24"/>
          <w:szCs w:val="24"/>
        </w:rPr>
        <w:t xml:space="preserve">2.3.1  Fourier and Wavelet Transform Approaches</w:t>
      </w:r>
    </w:p>
    <w:p>
      <w:pPr>
        <w:spacing w:after="120" w:line="360" w:lineRule="auto"/>
        <w:jc w:val="both"/>
      </w:pPr>
      <w:r>
        <w:rPr>
          <w:rFonts w:ascii="Times New Roman" w:cs="Times New Roman" w:eastAsia="Times New Roman" w:hAnsi="Times New Roman"/>
          <w:sz w:val="24"/>
          <w:szCs w:val="24"/>
        </w:rPr>
        <w:t xml:space="preserve">The Discrete Fourier Transform (DFT) has been the workhorse of digital relaying since the 1980s. Full-cycle DFT provides excellent frequency selectivity but incurs a one-cycle delay, while half-cycle DFT is faster but susceptible to decaying DC components [31]. The fundamental limitation of Fourier methods is the uncertainty principle: the DFT provides frequency resolution at the expense of time-domain localization, making it unable to capture the transient, non-stationary characteristics of inrush and fault waveforms [32].</w:t>
      </w:r>
    </w:p>
    <w:p>
      <w:pPr>
        <w:spacing w:after="120" w:line="360" w:lineRule="auto"/>
        <w:jc w:val="both"/>
      </w:pPr>
      <w:r>
        <w:rPr>
          <w:rFonts w:ascii="Times New Roman" w:cs="Times New Roman" w:eastAsia="Times New Roman" w:hAnsi="Times New Roman"/>
          <w:sz w:val="24"/>
          <w:szCs w:val="24"/>
        </w:rPr>
        <w:t xml:space="preserve">The wavelet transform overcomes this limitation through simultaneous time-frequency localization with adaptive resolution. For digital implementation, the Discrete Wavelet Transform (DWT) is preferred, using cascaded low-pass and high-pass filters with downsampling to produce multi-resolution decomposition [5]. In [6], DWT with db4 at five levels achieved 97.3% accuracy with an ANN classifier; [19] proposed Wavelet Packet Transform (WPT) with sym8 for improved entropy-based discrimination; and [14] concluded that db4 provides an optimal trade-off for 50 Hz signals. A persistent limitation of wavelet-based methods is that they extract features from individual windows without modeling temporal evolution across successive windows.</w:t>
      </w:r>
    </w:p>
    <w:p>
      <w:pPr>
        <w:pStyle w:val="Heading2"/>
        <w:spacing w:after="120" w:before="200"/>
      </w:pPr>
      <w:r>
        <w:rPr>
          <w:rFonts w:ascii="Times New Roman" w:cs="Times New Roman" w:eastAsia="Times New Roman" w:hAnsi="Times New Roman"/>
          <w:b/>
          <w:bCs/>
          <w:color w:val="1F3864"/>
          <w:sz w:val="28"/>
          <w:szCs w:val="28"/>
        </w:rPr>
        <w:t xml:space="preserve">2.4  Machine Learning Approaches</w:t>
      </w:r>
    </w:p>
    <w:p>
      <w:pPr>
        <w:spacing w:after="120" w:line="360" w:lineRule="auto"/>
        <w:jc w:val="both"/>
      </w:pPr>
      <w:r>
        <w:rPr>
          <w:rFonts w:ascii="Times New Roman" w:cs="Times New Roman" w:eastAsia="Times New Roman" w:hAnsi="Times New Roman"/>
          <w:b/>
          <w:bCs/>
          <w:sz w:val="24"/>
          <w:szCs w:val="24"/>
        </w:rPr>
        <w:t xml:space="preserve">Artificial Neural Networks (ANNs).</w:t>
      </w:r>
      <w:r>
        <w:rPr>
          <w:rFonts w:ascii="Times New Roman" w:cs="Times New Roman" w:eastAsia="Times New Roman" w:hAnsi="Times New Roman"/>
          <w:sz w:val="24"/>
          <w:szCs w:val="24"/>
        </w:rPr>
        <w:t xml:space="preserve"> Backpropagation-trained multilayer perceptrons have been extensively applied to classify differential current events. A three-layer MLP with harmonic features achieved 98.5% accuracy on 2,000 simulated events [9], while incorporating wavelet energy and entropy features improved accuracy to 99.1% [10]. However, ANNs process features as static vectors, discarding temporal ordering information critical for transient discrimination.</w:t>
      </w:r>
    </w:p>
    <w:p>
      <w:pPr>
        <w:spacing w:after="120" w:line="360" w:lineRule="auto"/>
        <w:jc w:val="both"/>
      </w:pPr>
      <w:r>
        <w:rPr>
          <w:rFonts w:ascii="Times New Roman" w:cs="Times New Roman" w:eastAsia="Times New Roman" w:hAnsi="Times New Roman"/>
          <w:b/>
          <w:bCs/>
          <w:sz w:val="24"/>
          <w:szCs w:val="24"/>
        </w:rPr>
        <w:t xml:space="preserve">Support Vector Machines (SVMs).</w:t>
      </w:r>
      <w:r>
        <w:rPr>
          <w:rFonts w:ascii="Times New Roman" w:cs="Times New Roman" w:eastAsia="Times New Roman" w:hAnsi="Times New Roman"/>
          <w:sz w:val="24"/>
          <w:szCs w:val="24"/>
        </w:rPr>
        <w:t xml:space="preserve"> SVMs with RBF kernels achieved 98.2% accuracy using wavelet features, with superior generalization from limited data [13]. While robust to noise via margin maximization, their cubic training-cost scaling and inherent binary formulation limit applicability to multi-class fault discrimination, and they treat inputs as static feature vectors without temporal modeling.</w:t>
      </w:r>
    </w:p>
    <w:p>
      <w:pPr>
        <w:spacing w:after="120" w:line="360" w:lineRule="auto"/>
        <w:jc w:val="both"/>
      </w:pPr>
      <w:r>
        <w:rPr>
          <w:rFonts w:ascii="Times New Roman" w:cs="Times New Roman" w:eastAsia="Times New Roman" w:hAnsi="Times New Roman"/>
          <w:b/>
          <w:bCs/>
          <w:sz w:val="24"/>
          <w:szCs w:val="24"/>
        </w:rPr>
        <w:t xml:space="preserve">Probabilistic Neural Networks (PNNs).</w:t>
      </w:r>
      <w:r>
        <w:rPr>
          <w:rFonts w:ascii="Times New Roman" w:cs="Times New Roman" w:eastAsia="Times New Roman" w:hAnsi="Times New Roman"/>
          <w:sz w:val="24"/>
          <w:szCs w:val="24"/>
        </w:rPr>
        <w:t xml:space="preserve"> PNNs employ non-iterative Parzen-window density estimation for Bayesian classification, achieving 97.8% accuracy with harmonic features [9] and 98.9% with combined wavelet features [25]. However, computational and memory requirements scale linearly with training samples, and performance is sensitive to the smoothing parameter.</w:t>
      </w:r>
    </w:p>
    <w:p>
      <w:pPr>
        <w:spacing w:after="120" w:line="360" w:lineRule="auto"/>
        <w:jc w:val="both"/>
      </w:pPr>
      <w:r>
        <w:rPr>
          <w:rFonts w:ascii="Times New Roman" w:cs="Times New Roman" w:eastAsia="Times New Roman" w:hAnsi="Times New Roman"/>
          <w:b/>
          <w:bCs/>
          <w:sz w:val="24"/>
          <w:szCs w:val="24"/>
        </w:rPr>
        <w:t xml:space="preserve">Ensemble and Hybrid Methods.</w:t>
      </w:r>
      <w:r>
        <w:rPr>
          <w:rFonts w:ascii="Times New Roman" w:cs="Times New Roman" w:eastAsia="Times New Roman" w:hAnsi="Times New Roman"/>
          <w:sz w:val="24"/>
          <w:szCs w:val="24"/>
        </w:rPr>
        <w:t xml:space="preserve"> Random Forest classifiers using combined Fourier and wavelet features achieved 99.0% accuracy with built-in feature-importance measures [11]. Two-stage hybrid schemes reduced computational burden while maintaining accuracy [34], at the cost of increased training complexity and reduced interpretability.</w:t>
      </w:r>
    </w:p>
    <w:p>
      <w:pPr>
        <w:pStyle w:val="Heading2"/>
        <w:spacing w:after="120" w:before="200"/>
      </w:pPr>
      <w:r>
        <w:rPr>
          <w:rFonts w:ascii="Times New Roman" w:cs="Times New Roman" w:eastAsia="Times New Roman" w:hAnsi="Times New Roman"/>
          <w:b/>
          <w:bCs/>
          <w:color w:val="1F3864"/>
          <w:sz w:val="28"/>
          <w:szCs w:val="28"/>
        </w:rPr>
        <w:t xml:space="preserve">2.5  Deep Learning Approaches</w:t>
      </w:r>
    </w:p>
    <w:p>
      <w:pPr>
        <w:pStyle w:val="Heading3"/>
        <w:spacing w:after="100" w:before="160"/>
      </w:pPr>
      <w:r>
        <w:rPr>
          <w:rFonts w:ascii="Times New Roman" w:cs="Times New Roman" w:eastAsia="Times New Roman" w:hAnsi="Times New Roman"/>
          <w:b/>
          <w:bCs/>
          <w:i/>
          <w:iCs/>
          <w:sz w:val="24"/>
          <w:szCs w:val="24"/>
        </w:rPr>
        <w:t xml:space="preserve">2.5.1  CNN, RNN and LSTM Architectures</w:t>
      </w:r>
    </w:p>
    <w:p>
      <w:pPr>
        <w:spacing w:after="120" w:line="360" w:lineRule="auto"/>
        <w:jc w:val="both"/>
      </w:pPr>
      <w:r>
        <w:rPr>
          <w:rFonts w:ascii="Times New Roman" w:cs="Times New Roman" w:eastAsia="Times New Roman" w:hAnsi="Times New Roman"/>
          <w:sz w:val="24"/>
          <w:szCs w:val="24"/>
        </w:rPr>
        <w:t xml:space="preserve">Convolutional Neural Networks (CNNs) have been adapted for 1-D time-series classification of differential currents. A 1D-CNN processing raw waveforms at 1 kHz over two-cycle windows achieved 98.7% accuracy, outperforming ANNs with hand-crafted Fourier features (96.3%) [16]. However, CNNs treat the input as a fixed-length vector and do not explicitly model global temporal dependencies across successive cycles—information critical for distinguishing events with evolving characteristics.</w:t>
      </w:r>
    </w:p>
    <w:p>
      <w:pPr>
        <w:spacing w:after="120" w:line="360" w:lineRule="auto"/>
        <w:jc w:val="both"/>
      </w:pPr>
      <w:r>
        <w:rPr>
          <w:rFonts w:ascii="Times New Roman" w:cs="Times New Roman" w:eastAsia="Times New Roman" w:hAnsi="Times New Roman"/>
          <w:sz w:val="24"/>
          <w:szCs w:val="24"/>
        </w:rPr>
        <w:t xml:space="preserve">Recurrent Neural Networks (RNNs) address this limitation by maintaining a hidden state updated at each time step, but standard RNNs suffer from the vanishing-gradient problem. The Long Short-Term Memory (LSTM) network overcomes this through a gated memory cell with input gate i_t, forget gate f_t, and output gate o_t:</w:t>
      </w:r>
    </w:p>
    <w:p>
      <w:pPr>
        <w:tabs>
          <w:tab w:val="right" w:pos="9360"/>
        </w:tabs>
        <w:spacing w:after="60" w:before="60"/>
        <w:jc w:val="center"/>
      </w:pPr>
      <w:r>
        <w:rPr>
          <w:rFonts w:ascii="Times New Roman" w:cs="Times New Roman" w:eastAsia="Times New Roman" w:hAnsi="Times New Roman"/>
          <w:i/>
          <w:iCs/>
          <w:sz w:val="24"/>
          <w:szCs w:val="24"/>
        </w:rPr>
        <w:t xml:space="preserve">f_t = σ(W_f · [h_{t−1}, x_t] + b_f)</w:t>
      </w:r>
      <w:r>
        <w:rPr>
          <w:rFonts w:ascii="Times New Roman" w:cs="Times New Roman" w:eastAsia="Times New Roman" w:hAnsi="Times New Roman"/>
          <w:sz w:val="24"/>
          <w:szCs w:val="24"/>
        </w:rPr>
        <w:t xml:space="preserve">	(2.4)</w:t>
      </w:r>
    </w:p>
    <w:p>
      <w:pPr>
        <w:tabs>
          <w:tab w:val="right" w:pos="9360"/>
        </w:tabs>
        <w:spacing w:after="60" w:before="60"/>
        <w:jc w:val="center"/>
      </w:pPr>
      <w:r>
        <w:rPr>
          <w:rFonts w:ascii="Times New Roman" w:cs="Times New Roman" w:eastAsia="Times New Roman" w:hAnsi="Times New Roman"/>
          <w:i/>
          <w:iCs/>
          <w:sz w:val="24"/>
          <w:szCs w:val="24"/>
        </w:rPr>
        <w:t xml:space="preserve">i_t = σ(W_i · [h_{t−1}, x_t] + b_i)</w:t>
      </w:r>
      <w:r>
        <w:rPr>
          <w:rFonts w:ascii="Times New Roman" w:cs="Times New Roman" w:eastAsia="Times New Roman" w:hAnsi="Times New Roman"/>
          <w:sz w:val="24"/>
          <w:szCs w:val="24"/>
        </w:rPr>
        <w:t xml:space="preserve">	(2.5)</w:t>
      </w:r>
    </w:p>
    <w:p>
      <w:pPr>
        <w:tabs>
          <w:tab w:val="right" w:pos="9360"/>
        </w:tabs>
        <w:spacing w:after="60" w:before="60"/>
        <w:jc w:val="center"/>
      </w:pPr>
      <w:r>
        <w:rPr>
          <w:rFonts w:ascii="Times New Roman" w:cs="Times New Roman" w:eastAsia="Times New Roman" w:hAnsi="Times New Roman"/>
          <w:i/>
          <w:iCs/>
          <w:sz w:val="24"/>
          <w:szCs w:val="24"/>
        </w:rPr>
        <w:t xml:space="preserve">C̃_t = tanh(W_C · [h_{t−1}, x_t] + b_C)</w:t>
      </w:r>
      <w:r>
        <w:rPr>
          <w:rFonts w:ascii="Times New Roman" w:cs="Times New Roman" w:eastAsia="Times New Roman" w:hAnsi="Times New Roman"/>
          <w:sz w:val="24"/>
          <w:szCs w:val="24"/>
        </w:rPr>
        <w:t xml:space="preserve">	(2.6)</w:t>
      </w:r>
    </w:p>
    <w:p>
      <w:pPr>
        <w:tabs>
          <w:tab w:val="right" w:pos="9360"/>
        </w:tabs>
        <w:spacing w:after="60" w:before="60"/>
        <w:jc w:val="center"/>
      </w:pPr>
      <w:r>
        <w:rPr>
          <w:rFonts w:ascii="Times New Roman" w:cs="Times New Roman" w:eastAsia="Times New Roman" w:hAnsi="Times New Roman"/>
          <w:i/>
          <w:iCs/>
          <w:sz w:val="24"/>
          <w:szCs w:val="24"/>
        </w:rPr>
        <w:t xml:space="preserve">C_t = f_t ⊙ C_{t−1} + i_t ⊙ C̃_t</w:t>
      </w:r>
      <w:r>
        <w:rPr>
          <w:rFonts w:ascii="Times New Roman" w:cs="Times New Roman" w:eastAsia="Times New Roman" w:hAnsi="Times New Roman"/>
          <w:sz w:val="24"/>
          <w:szCs w:val="24"/>
        </w:rPr>
        <w:t xml:space="preserve">	(2.7)</w:t>
      </w:r>
    </w:p>
    <w:p>
      <w:pPr>
        <w:tabs>
          <w:tab w:val="right" w:pos="9360"/>
        </w:tabs>
        <w:spacing w:after="60" w:before="60"/>
        <w:jc w:val="center"/>
      </w:pPr>
      <w:r>
        <w:rPr>
          <w:rFonts w:ascii="Times New Roman" w:cs="Times New Roman" w:eastAsia="Times New Roman" w:hAnsi="Times New Roman"/>
          <w:i/>
          <w:iCs/>
          <w:sz w:val="24"/>
          <w:szCs w:val="24"/>
        </w:rPr>
        <w:t xml:space="preserve">o_t = σ(W_o · [h_{t−1}, x_t] + b_o)</w:t>
      </w:r>
      <w:r>
        <w:rPr>
          <w:rFonts w:ascii="Times New Roman" w:cs="Times New Roman" w:eastAsia="Times New Roman" w:hAnsi="Times New Roman"/>
          <w:sz w:val="24"/>
          <w:szCs w:val="24"/>
        </w:rPr>
        <w:t xml:space="preserve">	(2.8)</w:t>
      </w:r>
    </w:p>
    <w:p>
      <w:pPr>
        <w:tabs>
          <w:tab w:val="right" w:pos="9360"/>
        </w:tabs>
        <w:spacing w:after="60" w:before="60"/>
        <w:jc w:val="center"/>
      </w:pPr>
      <w:r>
        <w:rPr>
          <w:rFonts w:ascii="Times New Roman" w:cs="Times New Roman" w:eastAsia="Times New Roman" w:hAnsi="Times New Roman"/>
          <w:i/>
          <w:iCs/>
          <w:sz w:val="24"/>
          <w:szCs w:val="24"/>
        </w:rPr>
        <w:t xml:space="preserve">h_t = o_t ⊙ tanh(C_t)</w:t>
      </w:r>
      <w:r>
        <w:rPr>
          <w:rFonts w:ascii="Times New Roman" w:cs="Times New Roman" w:eastAsia="Times New Roman" w:hAnsi="Times New Roman"/>
          <w:sz w:val="24"/>
          <w:szCs w:val="24"/>
        </w:rPr>
        <w:t xml:space="preserve">	(2.9)</w:t>
      </w:r>
    </w:p>
    <w:p>
      <w:pPr>
        <w:spacing w:after="120" w:line="360" w:lineRule="auto"/>
        <w:jc w:val="both"/>
      </w:pPr>
      <w:r>
        <w:rPr>
          <w:rFonts w:ascii="Times New Roman" w:cs="Times New Roman" w:eastAsia="Times New Roman" w:hAnsi="Times New Roman"/>
          <w:sz w:val="24"/>
          <w:szCs w:val="24"/>
        </w:rPr>
        <w:t xml:space="preserve">where σ is the sigmoid function and ⊙ denotes the Hadamard product. An LSTM classifier processing sequences of wavelet-extracted features over successive half-cycle windows achieved 99.3% accuracy [1], significantly outperforming ANNs and CNNs. Attention mechanisms have been integrated with LSTM to assign learned importance weights to different time steps, achieving high accuracy with reduced complexity and interpretable attention weights [3]. A comprehensive comparison of vanilla RNN, GRU, and LSTM concluded that LSTM consistently outperforms alternatives for complex transient scenarios [23].</w:t>
      </w:r>
    </w:p>
    <w:p>
      <w:pPr>
        <w:pStyle w:val="Heading3"/>
        <w:spacing w:after="100" w:before="160"/>
      </w:pPr>
      <w:r>
        <w:rPr>
          <w:rFonts w:ascii="Times New Roman" w:cs="Times New Roman" w:eastAsia="Times New Roman" w:hAnsi="Times New Roman"/>
          <w:b/>
          <w:bCs/>
          <w:i/>
          <w:iCs/>
          <w:sz w:val="24"/>
          <w:szCs w:val="24"/>
        </w:rPr>
        <w:t xml:space="preserve">2.5.2  Emerging Deep Learning Architectures</w:t>
      </w:r>
    </w:p>
    <w:p>
      <w:pPr>
        <w:spacing w:after="120" w:line="360" w:lineRule="auto"/>
        <w:jc w:val="both"/>
      </w:pPr>
      <w:r>
        <w:rPr>
          <w:rFonts w:ascii="Times New Roman" w:cs="Times New Roman" w:eastAsia="Times New Roman" w:hAnsi="Times New Roman"/>
          <w:sz w:val="24"/>
          <w:szCs w:val="24"/>
        </w:rPr>
        <w:t xml:space="preserve">Beyond CNNs and RNNs, autoencoders have been explored for unsupervised anomaly detection through reconstruction-error analysis [35], and Generative Adversarial Networks (GANs) have been proposed for synthetic fault and inrush data augmentation [36]. The Transformer architecture, with its self-attention mechanism, has been adapted for power-system time-series classification but remains in early stages for transformer protection, with quadratic computational scaling posing real-time implementation challenges [37].</w:t>
      </w:r>
    </w:p>
    <w:p>
      <w:pPr>
        <w:pStyle w:val="Heading2"/>
        <w:spacing w:after="120" w:before="200"/>
      </w:pPr>
      <w:r>
        <w:rPr>
          <w:rFonts w:ascii="Times New Roman" w:cs="Times New Roman" w:eastAsia="Times New Roman" w:hAnsi="Times New Roman"/>
          <w:b/>
          <w:bCs/>
          <w:color w:val="1F3864"/>
          <w:sz w:val="28"/>
          <w:szCs w:val="28"/>
        </w:rPr>
        <w:t xml:space="preserve">2.6  Research Gaps</w:t>
      </w:r>
    </w:p>
    <w:p>
      <w:pPr>
        <w:spacing w:after="120" w:line="360" w:lineRule="auto"/>
        <w:jc w:val="both"/>
      </w:pPr>
      <w:r>
        <w:rPr>
          <w:rFonts w:ascii="Times New Roman" w:cs="Times New Roman" w:eastAsia="Times New Roman" w:hAnsi="Times New Roman"/>
          <w:sz w:val="24"/>
          <w:szCs w:val="24"/>
        </w:rPr>
        <w:t xml:space="preserve">Despite extensive literature, five critical gaps motivate this thesis. (1) Wavelet parameter selection has been ad hoc rather than systematically optimized using quantitative separability metrics. (2) Existing approaches either use wavelet features as static inputs to feedforward classifiers (discarding temporal information) or feed raw waveforms to sequence models (discarding multi-resolution decomposition); no prior work fully integrates DWT feature extraction with LSTM temporal modeling in a serial hybrid architecture. (3) The vast majority of ML/DL methods employ fixed decision thresholds that do not adapt to real-time operating conditions. (4) Most studies lack comprehensive robustness evaluation under realistic adversities. (5) The absence of standardized datasets, metrics, and benchmarking protocols hinders fair cross-method comparison. This thesis addresses all five gaps through systematic wavelet optimization, a novel DWT-LSTM hybrid architecture, adaptive dynamic thresholding, comprehensive robustness analysis, and standardized benchmarking against seven baseline methods.</w:t>
      </w:r>
    </w:p>
    <w:p>
      <w:pPr>
        <w:pStyle w:val="Heading2"/>
        <w:spacing w:after="120" w:before="200"/>
      </w:pPr>
      <w:r>
        <w:rPr>
          <w:rFonts w:ascii="Times New Roman" w:cs="Times New Roman" w:eastAsia="Times New Roman" w:hAnsi="Times New Roman"/>
          <w:b/>
          <w:bCs/>
          <w:color w:val="1F3864"/>
          <w:sz w:val="28"/>
          <w:szCs w:val="28"/>
        </w:rPr>
        <w:t xml:space="preserve">2.7  Comparative Synthesis of the Literature</w:t>
      </w:r>
    </w:p>
    <w:p>
      <w:pPr>
        <w:spacing w:after="120" w:line="360" w:lineRule="auto"/>
        <w:jc w:val="both"/>
      </w:pPr>
      <w:r>
        <w:rPr>
          <w:rFonts w:ascii="Times New Roman" w:cs="Times New Roman" w:eastAsia="Times New Roman" w:hAnsi="Times New Roman"/>
          <w:sz w:val="24"/>
          <w:szCs w:val="24"/>
        </w:rPr>
        <w:t xml:space="preserve">The preceding sections reviewed individual methodological families. To consolidate this body of work and to position the present thesis precisely against the state of the art, Table 2.1 synthesises the most directly comparable studies drawn from the reference list. For each work, the table records the signal-processing front end, the classifier or decision mechanism, the principal feature set, the best reported accuracy (as stated by the respective authors and measured on their own datasets), the validation modality, and the dominant residual limitation that the present work seeks to address. Because each study uses a different transformer model, dataset size, and evaluation protocol, the reported accuracies are not directly commensurable; they are reproduced here only to characterise the maturity of each approach, not to rank methods against one another. A controlled, like-for-like comparison on a single unified dataset is deferred to Chapter 6 (Section 6.8), where every baseline is re-implemented and evaluated on the same 12,800-case corpus used for the proposed framework.</w:t>
      </w:r>
    </w:p>
    <w:p>
      <w:pPr>
        <w:spacing w:after="60" w:before="160"/>
        <w:jc w:val="center"/>
      </w:pPr>
      <w:r>
        <w:rPr>
          <w:rFonts w:ascii="Times New Roman" w:cs="Times New Roman" w:eastAsia="Times New Roman" w:hAnsi="Times New Roman"/>
          <w:b/>
          <w:bCs/>
          <w:sz w:val="21"/>
          <w:szCs w:val="21"/>
        </w:rPr>
        <w:t xml:space="preserve">Table 2.1: </w:t>
      </w:r>
      <w:r>
        <w:rPr>
          <w:rFonts w:ascii="Times New Roman" w:cs="Times New Roman" w:eastAsia="Times New Roman" w:hAnsi="Times New Roman"/>
          <w:sz w:val="21"/>
          <w:szCs w:val="21"/>
        </w:rPr>
        <w:t xml:space="preserve">Comparative synthesis of representative transformer differential protection studies from the reviewed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3360"/>
        <w:gridCol w:w="1100"/>
        <w:gridCol w:w="1560"/>
        <w:gridCol w:w="1900"/>
      </w:tblGrid>
      <w:tr>
        <w:trPr>
          <w:tblHeader/>
        </w:trPr>
        <w:tc>
          <w:tcPr>
            <w:tcW w:type="dxa" w:w="7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Ref.</w:t>
            </w:r>
          </w:p>
        </w:tc>
        <w:tc>
          <w:tcPr>
            <w:tcW w:type="dxa" w:w="7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Year</w:t>
            </w:r>
          </w:p>
        </w:tc>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Approach (signal processing + classifier)</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 (%)</w:t>
            </w:r>
          </w:p>
        </w:tc>
        <w:tc>
          <w:tcPr>
            <w:tcW w:type="dxa" w:w="15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Validation</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Principal limitation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Variable data-window Phaselet differential algorithm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Fixed analytic thresholds; no learning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Self-adaptive biased characteristic curve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Heuristic curve; sensitive to CT saturation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2007</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detection and classification of disturbances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Window-wise features; no temporal modelling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db4 DWT + threshold logic</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Hand-tuned thresholds; limited stress testing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[19]</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 back-propagation neural network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Static feature vector; small dataset</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[18]</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2013</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energy/entropy + ANN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temporal context; fixed threshold</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Harmonic features + optimal PNN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Memory grows with samples; static features</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[25]</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High-frequency wavelet + PNN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Smoothing-parameter sensitivity</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features + SVM (RBF)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Binary core; no sequence modelling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packet transform + SVM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High feature dimensionality; static</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2022</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Fourier+wavelet features + Random Forest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Ensemble opacity; no temporal model</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[16]</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Accelerated deep neural network</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Fixed-window CNN; weak long-range context</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2023</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 LSTM (real-time)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Single config; no hybrid relay handshake</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Improved wavelet + LSTM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supervisory veto; limited OOD testing</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Improved wavelet + LSTM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Standalone classifier; security unquantified</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[23]</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Dual deep neural network (inrush vs. internal)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~99.4</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Two-class focus; no 87T integration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[12]</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Reinforcement-learning early classification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Reward design complexity; reproducibility</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Multi-region adaptive differential relay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Region boundaries hand-designed</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2017</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energy feature tracking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learned temporal discrimination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[31]</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Advanced WPT differential scheme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Computational cost; static decision</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[32]</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2018</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Adaptive neural-network protection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 interpretability layer; no veto</w:t>
            </w:r>
          </w:p>
        </w:tc>
      </w:tr>
      <w:tr>
        <w:trPr>
          <w:tblHeader w:val="false"/>
        </w:trPr>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This work</w:t>
            </w:r>
          </w:p>
        </w:tc>
        <w:tc>
          <w:tcPr>
            <w:tcW w:type="dxa" w:w="7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2026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3-level db4 DWT energy + LSTM (attention), hybrid 87T veto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 + Simulink HIL-style co-sim</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bl>
    <w:p>
      <w:pPr>
        <w:spacing w:after="120" w:line="360" w:lineRule="auto"/>
        <w:jc w:val="both"/>
      </w:pPr>
      <w:r>
        <w:rPr>
          <w:rFonts w:ascii="Times New Roman" w:cs="Times New Roman" w:eastAsia="Times New Roman" w:hAnsi="Times New Roman"/>
          <w:sz w:val="24"/>
          <w:szCs w:val="24"/>
        </w:rPr>
        <w:t xml:space="preserve">Three observations follow from this synthesis. First, the field has progressed from fixed-threshold analytic schemes [7, 8, 21] through shallow learning on static feature vectors [9, 13, 18, 19, 20, 25] to deep sequence models [1, 2, 3, 16, 23]; reported accuracy has correspondingly risen from the low-97% range to above 99%. Second, despite this progress, almost all recent high-accuracy studies evaluate a standalone classifier that directly issues the trip decision, leaving the dependability–security trade-off implicit and the false-trip rate unquantified under adverse, out-of-distribution conditions. Third, none of the surveyed works couples the learned classifier to a conventional, safety-certified 87T element through an explicit supervisory handshake; consequently, a single classifier error translates directly into a maloperation. The present thesis is distinguished on all three counts: it quantifies security explicitly, it stress-tests well beyond the training distribution, and it subordinates the LSTM to the classical relay through an AND/veto gate that preserves deterministic, explainable behaviour.</w:t>
      </w:r>
    </w:p>
    <w:p>
      <w:pPr>
        <w:spacing w:after="120" w:line="360" w:lineRule="auto"/>
        <w:jc w:val="both"/>
      </w:pPr>
      <w:r>
        <w:rPr>
          <w:rFonts w:ascii="Times New Roman" w:cs="Times New Roman" w:eastAsia="Times New Roman" w:hAnsi="Times New Roman"/>
          <w:sz w:val="24"/>
          <w:szCs w:val="24"/>
        </w:rPr>
        <w:t xml:space="preserve">It is also instructive to contrast the feature-engineering philosophy across studies. Several works pursue high-dimensional descriptors—36-component wavelet statistics [18], full wavelet-packet energy maps [20, 31], or raw waveform windows fed to convolutional layers [16]. Such representations can be discriminative but inflate inference cost and obscure the physical meaning of each input. The present work deliberately adopts a parsimonious, physics-informed six-feature vector (approximation and detail energy per phase), demonstrating in Chapter 6 that compact, interpretable features paired with a temporal model match or exceed the accuracy of high-dimensional alternatives while remaining deployable on standard relay hardware.</w:t>
      </w:r>
    </w:p>
    <w:p>
      <w:pPr>
        <w:spacing w:after="120" w:line="360" w:lineRule="auto"/>
        <w:jc w:val="both"/>
      </w:pPr>
      <w:r>
        <w:rPr>
          <w:rFonts w:ascii="Times New Roman" w:cs="Times New Roman" w:eastAsia="Times New Roman" w:hAnsi="Times New Roman"/>
          <w:sz w:val="24"/>
          <w:szCs w:val="24"/>
        </w:rPr>
        <w:t xml:space="preserve">Finally, the validation modality deserves emphasis. The overwhelming majority of the surveyed studies report results purely on offline simulation datasets [1, 2, 3, 5, 6, 9, 13, 16, 18, 19, 20, 23, 25, 30, 31, 32]. Field-recorded validation and hardware-in-the-loop testing remain rare. While the present work is likewise simulation-based, it advances validation realism by deploying the trained model back into the MATLAB/Simulink electromagnetic-transient environment through ONNX, executing the complete protection pipeline—feature extraction, inference, and the hybrid decision—in closed loop with the physical plant model rather than scoring a static feature matrix offline. This closed-loop co-simulation is a meaningful step toward the hardware-in-the-loop validation outlined in Chapter 7.</w:t>
      </w:r>
    </w:p>
    <w:p>
      <w:pPr>
        <w:pStyle w:val="Heading1"/>
        <w:pageBreakBefore/>
        <w:spacing w:after="200" w:before="240"/>
      </w:pPr>
      <w:r>
        <w:rPr>
          <w:rFonts w:ascii="Times New Roman" w:cs="Times New Roman" w:eastAsia="Times New Roman" w:hAnsi="Times New Roman"/>
          <w:b/>
          <w:bCs/>
          <w:color w:val="1F3864"/>
          <w:sz w:val="32"/>
          <w:szCs w:val="32"/>
        </w:rPr>
        <w:t xml:space="preserve">CHAPTER 3   MATHEMATICAL MODELING AND THEORETICAL FRAMEWORK</w:t>
      </w:r>
    </w:p>
    <w:p>
      <w:pPr>
        <w:pStyle w:val="Heading2"/>
        <w:spacing w:after="120" w:before="200"/>
      </w:pPr>
      <w:r>
        <w:rPr>
          <w:rFonts w:ascii="Times New Roman" w:cs="Times New Roman" w:eastAsia="Times New Roman" w:hAnsi="Times New Roman"/>
          <w:b/>
          <w:bCs/>
          <w:color w:val="1F3864"/>
          <w:sz w:val="28"/>
          <w:szCs w:val="28"/>
        </w:rPr>
        <w:t xml:space="preserve">3.1  Introduction</w:t>
      </w:r>
    </w:p>
    <w:p>
      <w:pPr>
        <w:spacing w:after="120" w:line="360" w:lineRule="auto"/>
        <w:jc w:val="both"/>
      </w:pPr>
      <w:r>
        <w:rPr>
          <w:rFonts w:ascii="Times New Roman" w:cs="Times New Roman" w:eastAsia="Times New Roman" w:hAnsi="Times New Roman"/>
          <w:sz w:val="24"/>
          <w:szCs w:val="24"/>
        </w:rPr>
        <w:t xml:space="preserve">This chapter establishes the mathematical foundations for the proposed DWT-LSTM transformer differential protection scheme, covering differential relaying principles (Section 3.2), magnetizing inrush theory (Section 3.3), CT saturation modeling (Section 3.4), internal fault characteristics (Section 3.5), and the classification framework (Section 3.6).</w:t>
      </w:r>
    </w:p>
    <w:p>
      <w:pPr>
        <w:pStyle w:val="Heading2"/>
        <w:spacing w:after="120" w:before="200"/>
      </w:pPr>
      <w:r>
        <w:rPr>
          <w:rFonts w:ascii="Times New Roman" w:cs="Times New Roman" w:eastAsia="Times New Roman" w:hAnsi="Times New Roman"/>
          <w:b/>
          <w:bCs/>
          <w:color w:val="1F3864"/>
          <w:sz w:val="28"/>
          <w:szCs w:val="28"/>
        </w:rPr>
        <w:t xml:space="preserve">3.2  Transformer Differential Protection Fundamentals</w:t>
      </w:r>
    </w:p>
    <w:p>
      <w:pPr>
        <w:pStyle w:val="Heading3"/>
        <w:spacing w:after="100" w:before="160"/>
      </w:pPr>
      <w:r>
        <w:rPr>
          <w:rFonts w:ascii="Times New Roman" w:cs="Times New Roman" w:eastAsia="Times New Roman" w:hAnsi="Times New Roman"/>
          <w:b/>
          <w:bCs/>
          <w:i/>
          <w:iCs/>
          <w:sz w:val="24"/>
          <w:szCs w:val="24"/>
        </w:rPr>
        <w:t xml:space="preserve">3.2.1  Differential Current and Restraint Current</w:t>
      </w:r>
    </w:p>
    <w:p>
      <w:pPr>
        <w:spacing w:after="120" w:line="360" w:lineRule="auto"/>
        <w:jc w:val="both"/>
      </w:pPr>
      <w:r>
        <w:rPr>
          <w:rFonts w:ascii="Times New Roman" w:cs="Times New Roman" w:eastAsia="Times New Roman" w:hAnsi="Times New Roman"/>
          <w:sz w:val="24"/>
          <w:szCs w:val="24"/>
        </w:rPr>
        <w:t xml:space="preserve">For a two-winding transformer, the differential and restraint currents are defined as:</w:t>
      </w:r>
    </w:p>
    <w:p>
      <w:pPr>
        <w:tabs>
          <w:tab w:val="right" w:pos="9360"/>
        </w:tabs>
        <w:spacing w:after="60" w:before="60"/>
        <w:jc w:val="center"/>
      </w:pPr>
      <w:r>
        <w:rPr>
          <w:rFonts w:ascii="Times New Roman" w:cs="Times New Roman" w:eastAsia="Times New Roman" w:hAnsi="Times New Roman"/>
          <w:i/>
          <w:iCs/>
          <w:sz w:val="24"/>
          <w:szCs w:val="24"/>
        </w:rPr>
        <w:t xml:space="preserve">I_d = | İ1·N1 + İ2·N2 |</w:t>
      </w:r>
      <w:r>
        <w:rPr>
          <w:rFonts w:ascii="Times New Roman" w:cs="Times New Roman" w:eastAsia="Times New Roman" w:hAnsi="Times New Roman"/>
          <w:sz w:val="24"/>
          <w:szCs w:val="24"/>
        </w:rPr>
        <w:t xml:space="preserve">	(3.1)</w:t>
      </w:r>
    </w:p>
    <w:p>
      <w:pPr>
        <w:tabs>
          <w:tab w:val="right" w:pos="9360"/>
        </w:tabs>
        <w:spacing w:after="60" w:before="60"/>
        <w:jc w:val="center"/>
      </w:pPr>
      <w:r>
        <w:rPr>
          <w:rFonts w:ascii="Times New Roman" w:cs="Times New Roman" w:eastAsia="Times New Roman" w:hAnsi="Times New Roman"/>
          <w:i/>
          <w:iCs/>
          <w:sz w:val="24"/>
          <w:szCs w:val="24"/>
        </w:rPr>
        <w:t xml:space="preserve">I_r = ( |İ1·N1| + |İ2·N2| ) / 2</w:t>
      </w:r>
      <w:r>
        <w:rPr>
          <w:rFonts w:ascii="Times New Roman" w:cs="Times New Roman" w:eastAsia="Times New Roman" w:hAnsi="Times New Roman"/>
          <w:sz w:val="24"/>
          <w:szCs w:val="24"/>
        </w:rPr>
        <w:t xml:space="preserve">	(3.2)</w:t>
      </w:r>
    </w:p>
    <w:p>
      <w:pPr>
        <w:spacing w:after="120" w:line="360" w:lineRule="auto"/>
        <w:jc w:val="both"/>
      </w:pPr>
      <w:r>
        <w:rPr>
          <w:rFonts w:ascii="Times New Roman" w:cs="Times New Roman" w:eastAsia="Times New Roman" w:hAnsi="Times New Roman"/>
          <w:sz w:val="24"/>
          <w:szCs w:val="24"/>
        </w:rPr>
        <w:t xml:space="preserve">where İ1, İ2 are phasor currents referred to the same voltage level and N1, N2 are CT ratios. Under healthy conditions I_d ≈ 0; a small residual arises from CT mismatch, tap-changer effects, magnetizing current, and measurement errors:</w:t>
      </w:r>
    </w:p>
    <w:p>
      <w:pPr>
        <w:tabs>
          <w:tab w:val="right" w:pos="9360"/>
        </w:tabs>
        <w:spacing w:after="60" w:before="60"/>
        <w:jc w:val="center"/>
      </w:pPr>
      <w:r>
        <w:rPr>
          <w:rFonts w:ascii="Times New Roman" w:cs="Times New Roman" w:eastAsia="Times New Roman" w:hAnsi="Times New Roman"/>
          <w:i/>
          <w:iCs/>
          <w:sz w:val="24"/>
          <w:szCs w:val="24"/>
        </w:rPr>
        <w:t xml:space="preserve">I_d,steady = √[ (ε_CT·I_load)² + (Δ_tap·I_load)² + I_m² + ε_meas² ]</w:t>
      </w:r>
      <w:r>
        <w:rPr>
          <w:rFonts w:ascii="Times New Roman" w:cs="Times New Roman" w:eastAsia="Times New Roman" w:hAnsi="Times New Roman"/>
          <w:sz w:val="24"/>
          <w:szCs w:val="24"/>
        </w:rPr>
        <w:t xml:space="preserve">	(3.3)</w:t>
      </w:r>
    </w:p>
    <w:p>
      <w:pPr>
        <w:pStyle w:val="Heading3"/>
        <w:spacing w:after="100" w:before="160"/>
      </w:pPr>
      <w:r>
        <w:rPr>
          <w:rFonts w:ascii="Times New Roman" w:cs="Times New Roman" w:eastAsia="Times New Roman" w:hAnsi="Times New Roman"/>
          <w:b/>
          <w:bCs/>
          <w:i/>
          <w:iCs/>
          <w:sz w:val="24"/>
          <w:szCs w:val="24"/>
        </w:rPr>
        <w:t xml:space="preserve">3.2.2  Operating Characteristics</w:t>
      </w:r>
    </w:p>
    <w:p>
      <w:pPr>
        <w:spacing w:after="120" w:line="360" w:lineRule="auto"/>
        <w:jc w:val="both"/>
      </w:pPr>
      <w:r>
        <w:rPr>
          <w:rFonts w:ascii="Times New Roman" w:cs="Times New Roman" w:eastAsia="Times New Roman" w:hAnsi="Times New Roman"/>
          <w:sz w:val="24"/>
          <w:szCs w:val="24"/>
        </w:rPr>
        <w:t xml:space="preserve">The dual-slope restraint characteristic defines the operating threshold I_op as a function of restraint current I_r, with pickup I_pickup, first slope S1 (25–40%) accommodating steady-state errors, and second slope S2 (50–80%) providing additional restraint during CT saturation from through-faults. The relay trips when:</w:t>
      </w:r>
    </w:p>
    <w:p>
      <w:pPr>
        <w:tabs>
          <w:tab w:val="right" w:pos="9360"/>
        </w:tabs>
        <w:spacing w:after="60" w:before="60"/>
        <w:jc w:val="center"/>
      </w:pPr>
      <w:r>
        <w:rPr>
          <w:rFonts w:ascii="Times New Roman" w:cs="Times New Roman" w:eastAsia="Times New Roman" w:hAnsi="Times New Roman"/>
          <w:i/>
          <w:iCs/>
          <w:sz w:val="24"/>
          <w:szCs w:val="24"/>
        </w:rPr>
        <w:t xml:space="preserve">I_d &gt; I_op</w:t>
      </w:r>
      <w:r>
        <w:rPr>
          <w:rFonts w:ascii="Times New Roman" w:cs="Times New Roman" w:eastAsia="Times New Roman" w:hAnsi="Times New Roman"/>
          <w:sz w:val="24"/>
          <w:szCs w:val="24"/>
        </w:rPr>
        <w:t xml:space="preserv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737953"/>
                  <wp:docPr id="2" name="Picture 2"/>
                  <wp:cNvGraphicFramePr>
                    <a:graphicFrameLocks noChangeAspect="1"/>
                  </wp:cNvGraphicFramePr>
                  <a:graphic>
                    <a:graphicData uri="http://schemas.openxmlformats.org/drawingml/2006/picture">
                      <pic:pic>
                        <pic:nvPicPr>
                          <pic:cNvPr id="0" name="restraint_slope_characteristic.png"/>
                          <pic:cNvPicPr/>
                        </pic:nvPicPr>
                        <pic:blipFill>
                          <a:blip r:embed="rId10"/>
                          <a:stretch>
                            <a:fillRect/>
                          </a:stretch>
                        </pic:blipFill>
                        <pic:spPr>
                          <a:xfrm>
                            <a:off x="0" y="0"/>
                            <a:ext cx="4572000" cy="3737953"/>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3.1: </w:t>
      </w:r>
      <w:r>
        <w:rPr>
          <w:rFonts w:ascii="Times New Roman" w:cs="Times New Roman" w:eastAsia="Times New Roman" w:hAnsi="Times New Roman"/>
          <w:sz w:val="21"/>
          <w:szCs w:val="21"/>
        </w:rPr>
        <w:t xml:space="preserve">Dual-slope percentage restraint characteristic of the differential relay.</w:t>
      </w:r>
    </w:p>
    <w:p>
      <w:pPr>
        <w:pStyle w:val="Heading3"/>
        <w:spacing w:after="100" w:before="160"/>
      </w:pPr>
      <w:r>
        <w:rPr>
          <w:rFonts w:ascii="Times New Roman" w:cs="Times New Roman" w:eastAsia="Times New Roman" w:hAnsi="Times New Roman"/>
          <w:b/>
          <w:bCs/>
          <w:i/>
          <w:iCs/>
          <w:sz w:val="24"/>
          <w:szCs w:val="24"/>
        </w:rPr>
        <w:t xml:space="preserve">3.2.3  Pickup Current</w:t>
      </w:r>
    </w:p>
    <w:p>
      <w:pPr>
        <w:spacing w:after="120" w:line="360" w:lineRule="auto"/>
        <w:jc w:val="both"/>
      </w:pPr>
      <w:r>
        <w:rPr>
          <w:rFonts w:ascii="Times New Roman" w:cs="Times New Roman" w:eastAsia="Times New Roman" w:hAnsi="Times New Roman"/>
          <w:sz w:val="24"/>
          <w:szCs w:val="24"/>
        </w:rPr>
        <w:t xml:space="preserve">The pickup must balance sensitivity and security, I_d,steady,max &lt; I_pickup &lt; I_d,fault,min, typically set to 0.2–0.5 p.u. The minimum detectable SLG fault current referred to the primary is I_f,min = I_pickup / [1 − R_f/(Z_s,pu + Z_t,pu)].</w:t>
      </w:r>
    </w:p>
    <w:p>
      <w:pPr>
        <w:pStyle w:val="Heading2"/>
        <w:spacing w:after="120" w:before="200"/>
      </w:pPr>
      <w:r>
        <w:rPr>
          <w:rFonts w:ascii="Times New Roman" w:cs="Times New Roman" w:eastAsia="Times New Roman" w:hAnsi="Times New Roman"/>
          <w:b/>
          <w:bCs/>
          <w:color w:val="1F3864"/>
          <w:sz w:val="28"/>
          <w:szCs w:val="28"/>
        </w:rPr>
        <w:t xml:space="preserve">3.3  Magnetizing Inrush Current Phenomenon</w:t>
      </w:r>
    </w:p>
    <w:p>
      <w:pPr>
        <w:pStyle w:val="Heading3"/>
        <w:spacing w:after="100" w:before="160"/>
      </w:pPr>
      <w:r>
        <w:rPr>
          <w:rFonts w:ascii="Times New Roman" w:cs="Times New Roman" w:eastAsia="Times New Roman" w:hAnsi="Times New Roman"/>
          <w:b/>
          <w:bCs/>
          <w:i/>
          <w:iCs/>
          <w:sz w:val="24"/>
          <w:szCs w:val="24"/>
        </w:rPr>
        <w:t xml:space="preserve">3.3.1  Core Saturation Theory</w:t>
      </w:r>
    </w:p>
    <w:p>
      <w:pPr>
        <w:spacing w:after="120" w:line="360" w:lineRule="auto"/>
        <w:jc w:val="both"/>
      </w:pPr>
      <w:r>
        <w:rPr>
          <w:rFonts w:ascii="Times New Roman" w:cs="Times New Roman" w:eastAsia="Times New Roman" w:hAnsi="Times New Roman"/>
          <w:sz w:val="24"/>
          <w:szCs w:val="24"/>
        </w:rPr>
        <w:t xml:space="preserve">Inrush results from transient core saturation upon transformer energization. Faraday’s law gives v(t) = N dφ/dt = NA dB/dt. For sinusoidal voltage v(t) = V_m sin(ωt + α), the steady-state flux is φ_ss(t) = −Φ_m cos(ωt + α). Including the DC transient:</w:t>
      </w:r>
    </w:p>
    <w:p>
      <w:pPr>
        <w:tabs>
          <w:tab w:val="right" w:pos="9360"/>
        </w:tabs>
        <w:spacing w:after="60" w:before="60"/>
        <w:jc w:val="center"/>
      </w:pPr>
      <w:r>
        <w:rPr>
          <w:rFonts w:ascii="Times New Roman" w:cs="Times New Roman" w:eastAsia="Times New Roman" w:hAnsi="Times New Roman"/>
          <w:i/>
          <w:iCs/>
          <w:sz w:val="24"/>
          <w:szCs w:val="24"/>
        </w:rPr>
        <w:t xml:space="preserve">φ(t) = −Φ_m cos(ωt + α) + Φ_m cos(α) e^(−t/τ) + Φ_r e^(−t/τ)</w:t>
      </w:r>
      <w:r>
        <w:rPr>
          <w:rFonts w:ascii="Times New Roman" w:cs="Times New Roman" w:eastAsia="Times New Roman" w:hAnsi="Times New Roman"/>
          <w:sz w:val="24"/>
          <w:szCs w:val="24"/>
        </w:rPr>
        <w:t xml:space="preserve">	(3.5)</w:t>
      </w:r>
    </w:p>
    <w:p>
      <w:pPr>
        <w:spacing w:after="120" w:line="360" w:lineRule="auto"/>
        <w:jc w:val="both"/>
      </w:pPr>
      <w:r>
        <w:rPr>
          <w:rFonts w:ascii="Times New Roman" w:cs="Times New Roman" w:eastAsia="Times New Roman" w:hAnsi="Times New Roman"/>
          <w:sz w:val="24"/>
          <w:szCs w:val="24"/>
        </w:rPr>
        <w:t xml:space="preserve">At worst-case energization (α = 0, Φ_r = Φ_m), the peak flux Φ_peak = 2Φ_m + Φ_r = 3Φ_m, exceeding B_sat and causing severe saturation.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301256"/>
                  <wp:docPr id="3" name="Picture 3"/>
                  <wp:cNvGraphicFramePr>
                    <a:graphicFrameLocks noChangeAspect="1"/>
                  </wp:cNvGraphicFramePr>
                  <a:graphic>
                    <a:graphicData uri="http://schemas.openxmlformats.org/drawingml/2006/picture">
                      <pic:pic>
                        <pic:nvPicPr>
                          <pic:cNvPr id="0" name="bh_and_inrush_characteristic.png"/>
                          <pic:cNvPicPr/>
                        </pic:nvPicPr>
                        <pic:blipFill>
                          <a:blip r:embed="rId11"/>
                          <a:stretch>
                            <a:fillRect/>
                          </a:stretch>
                        </pic:blipFill>
                        <pic:spPr>
                          <a:xfrm>
                            <a:off x="0" y="0"/>
                            <a:ext cx="4572000" cy="2301256"/>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3.2: </w:t>
      </w:r>
      <w:r>
        <w:rPr>
          <w:rFonts w:ascii="Times New Roman" w:cs="Times New Roman" w:eastAsia="Times New Roman" w:hAnsi="Times New Roman"/>
          <w:sz w:val="21"/>
          <w:szCs w:val="21"/>
        </w:rPr>
        <w:t xml:space="preserve">Core B-H saturation curve and the resulting magnetizing inrush waveform.</w:t>
      </w:r>
    </w:p>
    <w:p>
      <w:pPr>
        <w:pStyle w:val="Heading3"/>
        <w:spacing w:after="100" w:before="160"/>
      </w:pPr>
      <w:r>
        <w:rPr>
          <w:rFonts w:ascii="Times New Roman" w:cs="Times New Roman" w:eastAsia="Times New Roman" w:hAnsi="Times New Roman"/>
          <w:b/>
          <w:bCs/>
          <w:i/>
          <w:iCs/>
          <w:sz w:val="24"/>
          <w:szCs w:val="24"/>
        </w:rPr>
        <w:t xml:space="preserve">3.3.2  Factors Affecting Inrush</w:t>
      </w:r>
    </w:p>
    <w:p>
      <w:pPr>
        <w:spacing w:after="120" w:line="360" w:lineRule="auto"/>
        <w:jc w:val="both"/>
      </w:pPr>
      <w:r>
        <w:rPr>
          <w:rFonts w:ascii="Times New Roman" w:cs="Times New Roman" w:eastAsia="Times New Roman" w:hAnsi="Times New Roman"/>
          <w:sz w:val="24"/>
          <w:szCs w:val="24"/>
        </w:rPr>
        <w:t xml:space="preserve">Inrush magnitude depends on switching angle α, residual flux Φ_r (0–80% of Φ_m), source impedance Z_s, core material, and transformer rating. Typical inrush ranges from 3–15× rated current, with peak flux Φ_peak(α) = Φ_m(1 + |cos α|) + Φ_r cos α.</w:t>
      </w:r>
    </w:p>
    <w:p>
      <w:pPr>
        <w:pStyle w:val="Heading3"/>
        <w:spacing w:after="100" w:before="160"/>
      </w:pPr>
      <w:r>
        <w:rPr>
          <w:rFonts w:ascii="Times New Roman" w:cs="Times New Roman" w:eastAsia="Times New Roman" w:hAnsi="Times New Roman"/>
          <w:b/>
          <w:bCs/>
          <w:i/>
          <w:iCs/>
          <w:sz w:val="24"/>
          <w:szCs w:val="24"/>
        </w:rPr>
        <w:t xml:space="preserve">3.3.3  Harmonic Characteristics</w:t>
      </w:r>
    </w:p>
    <w:p>
      <w:pPr>
        <w:spacing w:after="120" w:line="360" w:lineRule="auto"/>
        <w:jc w:val="both"/>
      </w:pPr>
      <w:r>
        <w:rPr>
          <w:rFonts w:ascii="Times New Roman" w:cs="Times New Roman" w:eastAsia="Times New Roman" w:hAnsi="Times New Roman"/>
          <w:sz w:val="24"/>
          <w:szCs w:val="24"/>
        </w:rPr>
        <w:t xml:space="preserve">The asymmetric inrush waveform contains both odd and even harmonics. The second harmonic dominates the even spectrum (15–60% for silicon steel; 7–12% for amorphous alloys). The key harmonic restraint ratios are k2 = (I2/I1)×100% and k5 = (I5/I1)×100%.</w:t>
      </w:r>
    </w:p>
    <w:p>
      <w:pPr>
        <w:pStyle w:val="Heading3"/>
        <w:spacing w:after="100" w:before="160"/>
      </w:pPr>
      <w:r>
        <w:rPr>
          <w:rFonts w:ascii="Times New Roman" w:cs="Times New Roman" w:eastAsia="Times New Roman" w:hAnsi="Times New Roman"/>
          <w:b/>
          <w:bCs/>
          <w:i/>
          <w:iCs/>
          <w:sz w:val="24"/>
          <w:szCs w:val="24"/>
        </w:rPr>
        <w:t xml:space="preserve">3.3.4  Sympathetic Inrush</w:t>
      </w:r>
    </w:p>
    <w:p>
      <w:pPr>
        <w:spacing w:after="120" w:line="360" w:lineRule="auto"/>
        <w:jc w:val="both"/>
      </w:pPr>
      <w:r>
        <w:rPr>
          <w:rFonts w:ascii="Times New Roman" w:cs="Times New Roman" w:eastAsia="Times New Roman" w:hAnsi="Times New Roman"/>
          <w:sz w:val="24"/>
          <w:szCs w:val="24"/>
        </w:rPr>
        <w:t xml:space="preserve">Sympathetic inrush occurs when an energizing transformer’s DC inrush current, flowing through the common source impedance, drives an already-energized parallel transformer into opposite-polarity saturation, producing a slowly decaying differential current. The coupled DC circuit equations yield two exponential decay modes with combined time constants, producing sympathetic inrush that can persist for tens of seconds [4].</w:t>
      </w:r>
    </w:p>
    <w:p>
      <w:pPr>
        <w:pStyle w:val="Heading2"/>
        <w:spacing w:after="120" w:before="200"/>
      </w:pPr>
      <w:r>
        <w:rPr>
          <w:rFonts w:ascii="Times New Roman" w:cs="Times New Roman" w:eastAsia="Times New Roman" w:hAnsi="Times New Roman"/>
          <w:b/>
          <w:bCs/>
          <w:color w:val="1F3864"/>
          <w:sz w:val="28"/>
          <w:szCs w:val="28"/>
        </w:rPr>
        <w:t xml:space="preserve">3.4  Current Transformer Saturation Model</w:t>
      </w:r>
    </w:p>
    <w:p>
      <w:pPr>
        <w:pStyle w:val="Heading3"/>
        <w:spacing w:after="100" w:before="160"/>
      </w:pPr>
      <w:r>
        <w:rPr>
          <w:rFonts w:ascii="Times New Roman" w:cs="Times New Roman" w:eastAsia="Times New Roman" w:hAnsi="Times New Roman"/>
          <w:b/>
          <w:bCs/>
          <w:i/>
          <w:iCs/>
          <w:sz w:val="24"/>
          <w:szCs w:val="24"/>
        </w:rPr>
        <w:t xml:space="preserve">3.4.1  CT Equivalent Circuit</w:t>
      </w:r>
    </w:p>
    <w:p>
      <w:pPr>
        <w:spacing w:after="120" w:line="360" w:lineRule="auto"/>
        <w:jc w:val="both"/>
      </w:pPr>
      <w:r>
        <w:rPr>
          <w:rFonts w:ascii="Times New Roman" w:cs="Times New Roman" w:eastAsia="Times New Roman" w:hAnsi="Times New Roman"/>
          <w:sz w:val="24"/>
          <w:szCs w:val="24"/>
        </w:rPr>
        <w:t xml:space="preserve">The CT secondary current equals the referred primary minus the excitation current through the nonlinear magnetizing branch, I_s = I_p′ − I_e, with I_e = V_s/(R_m + jX_m) and V_s = I_s(R_s + jX_s + Z_b). The nonlinear magnetization curve uses the exponential model i_e(λ) = A e^(B|λ|) sign(λ) + Cλ, where flux linkage λ = N2·φ = L_m(I_e)·I_e and v_s = dλ/dt.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427446"/>
                  <wp:docPr id="4" name="Picture 4"/>
                  <wp:cNvGraphicFramePr>
                    <a:graphicFrameLocks noChangeAspect="1"/>
                  </wp:cNvGraphicFramePr>
                  <a:graphic>
                    <a:graphicData uri="http://schemas.openxmlformats.org/drawingml/2006/picture">
                      <pic:pic>
                        <pic:nvPicPr>
                          <pic:cNvPr id="0" name="ct_saturation_characteristic.png"/>
                          <pic:cNvPicPr/>
                        </pic:nvPicPr>
                        <pic:blipFill>
                          <a:blip r:embed="rId12"/>
                          <a:stretch>
                            <a:fillRect/>
                          </a:stretch>
                        </pic:blipFill>
                        <pic:spPr>
                          <a:xfrm>
                            <a:off x="0" y="0"/>
                            <a:ext cx="4572000" cy="2427446"/>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3.3: </w:t>
      </w:r>
      <w:r>
        <w:rPr>
          <w:rFonts w:ascii="Times New Roman" w:cs="Times New Roman" w:eastAsia="Times New Roman" w:hAnsi="Times New Roman"/>
          <w:sz w:val="21"/>
          <w:szCs w:val="21"/>
        </w:rPr>
        <w:t xml:space="preserve">Current transformer equivalent circuit and saturation-induced secondary distortion.</w:t>
      </w:r>
    </w:p>
    <w:p>
      <w:pPr>
        <w:pStyle w:val="Heading3"/>
        <w:spacing w:after="100" w:before="160"/>
      </w:pPr>
      <w:r>
        <w:rPr>
          <w:rFonts w:ascii="Times New Roman" w:cs="Times New Roman" w:eastAsia="Times New Roman" w:hAnsi="Times New Roman"/>
          <w:b/>
          <w:bCs/>
          <w:i/>
          <w:iCs/>
          <w:sz w:val="24"/>
          <w:szCs w:val="24"/>
        </w:rPr>
        <w:t xml:space="preserve">3.4.2  Transient DC Offset and Flux Buildup</w:t>
      </w:r>
    </w:p>
    <w:p>
      <w:pPr>
        <w:spacing w:after="120" w:line="360" w:lineRule="auto"/>
        <w:jc w:val="both"/>
      </w:pPr>
      <w:r>
        <w:rPr>
          <w:rFonts w:ascii="Times New Roman" w:cs="Times New Roman" w:eastAsia="Times New Roman" w:hAnsi="Times New Roman"/>
          <w:sz w:val="24"/>
          <w:szCs w:val="24"/>
        </w:rPr>
        <w:t xml:space="preserve">CT saturation is caused by DC offset in fault currents, i_p(t) = I_m[sin(ωt + α − φ) − sin(α − φ) e^(−t/τ_f)]. The core flux comprises AC and DC components; saturation occurs when λ &gt; λ_sat. The time to saturation t_sat decreases with higher fault current, maximum DC offset, larger remanent flux, and higher burden.</w:t>
      </w:r>
    </w:p>
    <w:p>
      <w:pPr>
        <w:pStyle w:val="Heading3"/>
        <w:spacing w:after="100" w:before="160"/>
      </w:pPr>
      <w:r>
        <w:rPr>
          <w:rFonts w:ascii="Times New Roman" w:cs="Times New Roman" w:eastAsia="Times New Roman" w:hAnsi="Times New Roman"/>
          <w:b/>
          <w:bCs/>
          <w:i/>
          <w:iCs/>
          <w:sz w:val="24"/>
          <w:szCs w:val="24"/>
        </w:rPr>
        <w:t xml:space="preserve">3.4.3  Impact on Differential Protection</w:t>
      </w:r>
    </w:p>
    <w:p>
      <w:pPr>
        <w:spacing w:after="120" w:line="360" w:lineRule="auto"/>
        <w:jc w:val="both"/>
      </w:pPr>
      <w:r>
        <w:rPr>
          <w:rFonts w:ascii="Times New Roman" w:cs="Times New Roman" w:eastAsia="Times New Roman" w:hAnsi="Times New Roman"/>
          <w:sz w:val="24"/>
          <w:szCs w:val="24"/>
        </w:rPr>
        <w:t xml:space="preserve">Asymmetric CT saturation during external faults produces spurious differential current I_d = |I_e1 − I_e2| ≠ 0. When one CT remains unsaturated, the maximum spurious current is approximately I_d,max ≈ I_fault · (R_b2 + R_s2)/(R_b2 + R_s2 + Z_m2). The second slope S2 of the restraint characteristic provides the necessary restraint.</w:t>
      </w:r>
    </w:p>
    <w:p>
      <w:pPr>
        <w:pStyle w:val="Heading2"/>
        <w:spacing w:after="120" w:before="200"/>
      </w:pPr>
      <w:r>
        <w:rPr>
          <w:rFonts w:ascii="Times New Roman" w:cs="Times New Roman" w:eastAsia="Times New Roman" w:hAnsi="Times New Roman"/>
          <w:b/>
          <w:bCs/>
          <w:color w:val="1F3864"/>
          <w:sz w:val="28"/>
          <w:szCs w:val="28"/>
        </w:rPr>
        <w:t xml:space="preserve">3.5  Internal Fault Characteristics</w:t>
      </w:r>
    </w:p>
    <w:p>
      <w:pPr>
        <w:pStyle w:val="Heading3"/>
        <w:spacing w:after="100" w:before="160"/>
      </w:pPr>
      <w:r>
        <w:rPr>
          <w:rFonts w:ascii="Times New Roman" w:cs="Times New Roman" w:eastAsia="Times New Roman" w:hAnsi="Times New Roman"/>
          <w:b/>
          <w:bCs/>
          <w:i/>
          <w:iCs/>
          <w:sz w:val="24"/>
          <w:szCs w:val="24"/>
        </w:rPr>
        <w:t xml:space="preserve">3.5.1  Types of Internal Faults</w:t>
      </w:r>
    </w:p>
    <w:p>
      <w:pPr>
        <w:spacing w:after="120" w:line="360" w:lineRule="auto"/>
        <w:jc w:val="both"/>
      </w:pPr>
      <w:r>
        <w:rPr>
          <w:rFonts w:ascii="Times New Roman" w:cs="Times New Roman" w:eastAsia="Times New Roman" w:hAnsi="Times New Roman"/>
          <w:sz w:val="24"/>
          <w:szCs w:val="24"/>
        </w:rPr>
        <w:t xml:space="preserve">Internal faults include phase-to-ground (SLG, most common), phase-to-phase (LL), three-phase (LLL/LLLG), and inter-turn faults. Inter-turn faults are hardest to detect since shorted turns partially cancel the affected MMF, I_d ≈ (N_s/N)·I_load; for 1–5% turn faults, I_d may fall below load-current level.</w:t>
      </w:r>
    </w:p>
    <w:p>
      <w:pPr>
        <w:pStyle w:val="Heading3"/>
        <w:spacing w:after="100" w:before="160"/>
      </w:pPr>
      <w:r>
        <w:rPr>
          <w:rFonts w:ascii="Times New Roman" w:cs="Times New Roman" w:eastAsia="Times New Roman" w:hAnsi="Times New Roman"/>
          <w:b/>
          <w:bCs/>
          <w:i/>
          <w:iCs/>
          <w:sz w:val="24"/>
          <w:szCs w:val="24"/>
        </w:rPr>
        <w:t xml:space="preserve">3.5.2  Fault Current Analysis</w:t>
      </w:r>
    </w:p>
    <w:p>
      <w:pPr>
        <w:spacing w:after="120" w:line="360" w:lineRule="auto"/>
        <w:jc w:val="both"/>
      </w:pPr>
      <w:r>
        <w:rPr>
          <w:rFonts w:ascii="Times New Roman" w:cs="Times New Roman" w:eastAsia="Times New Roman" w:hAnsi="Times New Roman"/>
          <w:sz w:val="24"/>
          <w:szCs w:val="24"/>
        </w:rPr>
        <w:t xml:space="preserve">Using symmetrical components, an SLG fault on phase a with impedance Z_f yields I_a1 = I_a2 = I_a0 = V_f/(Z1 + Z2 + Z0 + 3Z_f). For a phase-to-phase fault between phases b and c, I_a1 = −I_a2 = V_f/(Z1 + Z2). The transient fault current contains a decaying DC component, i_f(t) = √2·I_rms[sin(ωt + α − φ) − sin(α − φ) e^(−t/τ_f)]. Fault time constants (0.02–0.05 s) are shorter than inrush (0.1–0.5 s), and fault currents have significantly lower even-harmonic content.</w:t>
      </w:r>
    </w:p>
    <w:p>
      <w:pPr>
        <w:pStyle w:val="Heading2"/>
        <w:spacing w:after="120" w:before="200"/>
      </w:pPr>
      <w:r>
        <w:rPr>
          <w:rFonts w:ascii="Times New Roman" w:cs="Times New Roman" w:eastAsia="Times New Roman" w:hAnsi="Times New Roman"/>
          <w:b/>
          <w:bCs/>
          <w:color w:val="1F3864"/>
          <w:sz w:val="28"/>
          <w:szCs w:val="28"/>
        </w:rPr>
        <w:t xml:space="preserve">3.6  Mathematical Framework for Classification</w:t>
      </w:r>
    </w:p>
    <w:p>
      <w:pPr>
        <w:pStyle w:val="Heading3"/>
        <w:spacing w:after="100" w:before="160"/>
      </w:pPr>
      <w:r>
        <w:rPr>
          <w:rFonts w:ascii="Times New Roman" w:cs="Times New Roman" w:eastAsia="Times New Roman" w:hAnsi="Times New Roman"/>
          <w:b/>
          <w:bCs/>
          <w:i/>
          <w:iCs/>
          <w:sz w:val="24"/>
          <w:szCs w:val="24"/>
        </w:rPr>
        <w:t xml:space="preserve">3.6.1  Feature Space Formulation</w:t>
      </w:r>
    </w:p>
    <w:p>
      <w:pPr>
        <w:spacing w:after="120" w:line="360" w:lineRule="auto"/>
        <w:jc w:val="both"/>
      </w:pPr>
      <w:r>
        <w:rPr>
          <w:rFonts w:ascii="Times New Roman" w:cs="Times New Roman" w:eastAsia="Times New Roman" w:hAnsi="Times New Roman"/>
          <w:sz w:val="24"/>
          <w:szCs w:val="24"/>
        </w:rPr>
        <w:t xml:space="preserve">Event classification is formulated as a pattern-recognition problem. The DWT-LSTM feature vector at time step t comprises the mean, standard deviation, and energy of DWT coefficients at each level. The wavelet energy at level k is:</w:t>
      </w:r>
    </w:p>
    <w:p>
      <w:pPr>
        <w:tabs>
          <w:tab w:val="right" w:pos="9360"/>
        </w:tabs>
        <w:spacing w:after="60" w:before="60"/>
        <w:jc w:val="center"/>
      </w:pPr>
      <w:r>
        <w:rPr>
          <w:rFonts w:ascii="Times New Roman" w:cs="Times New Roman" w:eastAsia="Times New Roman" w:hAnsi="Times New Roman"/>
          <w:i/>
          <w:iCs/>
          <w:sz w:val="24"/>
          <w:szCs w:val="24"/>
        </w:rPr>
        <w:t xml:space="preserve">E_{Dk} = Σ_n |D_k[n]|²</w:t>
      </w:r>
      <w:r>
        <w:rPr>
          <w:rFonts w:ascii="Times New Roman" w:cs="Times New Roman" w:eastAsia="Times New Roman" w:hAnsi="Times New Roman"/>
          <w:sz w:val="24"/>
          <w:szCs w:val="24"/>
        </w:rPr>
        <w:t xml:space="preserve">	(3.6)</w:t>
      </w:r>
    </w:p>
    <w:p>
      <w:pPr>
        <w:spacing w:after="120" w:line="360" w:lineRule="auto"/>
        <w:jc w:val="both"/>
      </w:pPr>
      <w:r>
        <w:rPr>
          <w:rFonts w:ascii="Times New Roman" w:cs="Times New Roman" w:eastAsia="Times New Roman" w:hAnsi="Times New Roman"/>
          <w:sz w:val="24"/>
          <w:szCs w:val="24"/>
        </w:rPr>
        <w:t xml:space="preserve">The optimal classifier maximizes the posterior probability (Bayes’ rule), ĉ = argmax_c P(ω_c|x) = argmax_c p(x|ω_c) P(ω_c)/p(x). The LSTM learns this mapping through a softmax output and cross-entropy loss:</w:t>
      </w:r>
    </w:p>
    <w:p>
      <w:pPr>
        <w:tabs>
          <w:tab w:val="right" w:pos="9360"/>
        </w:tabs>
        <w:spacing w:after="60" w:before="60"/>
        <w:jc w:val="center"/>
      </w:pPr>
      <w:r>
        <w:rPr>
          <w:rFonts w:ascii="Times New Roman" w:cs="Times New Roman" w:eastAsia="Times New Roman" w:hAnsi="Times New Roman"/>
          <w:i/>
          <w:iCs/>
          <w:sz w:val="24"/>
          <w:szCs w:val="24"/>
        </w:rPr>
        <w:t xml:space="preserve">P(ω_c | x_{1:T}) = e^{z_c} / Σ_k e^{z_k}</w:t>
      </w:r>
      <w:r>
        <w:rPr>
          <w:rFonts w:ascii="Times New Roman" w:cs="Times New Roman" w:eastAsia="Times New Roman" w:hAnsi="Times New Roman"/>
          <w:sz w:val="24"/>
          <w:szCs w:val="24"/>
        </w:rPr>
        <w:t xml:space="preserve">	(3.7)</w:t>
      </w:r>
    </w:p>
    <w:p>
      <w:pPr>
        <w:tabs>
          <w:tab w:val="right" w:pos="9360"/>
        </w:tabs>
        <w:spacing w:after="60" w:before="60"/>
        <w:jc w:val="center"/>
      </w:pPr>
      <w:r>
        <w:rPr>
          <w:rFonts w:ascii="Times New Roman" w:cs="Times New Roman" w:eastAsia="Times New Roman" w:hAnsi="Times New Roman"/>
          <w:i/>
          <w:iCs/>
          <w:sz w:val="24"/>
          <w:szCs w:val="24"/>
        </w:rPr>
        <w:t xml:space="preserve">L = −(1/N) Σ_n Σ_c y_{n,c} ln P(ω_c | x_{1:T})</w:t>
      </w:r>
      <w:r>
        <w:rPr>
          <w:rFonts w:ascii="Times New Roman" w:cs="Times New Roman" w:eastAsia="Times New Roman" w:hAnsi="Times New Roman"/>
          <w:sz w:val="24"/>
          <w:szCs w:val="24"/>
        </w:rPr>
        <w:t xml:space="preserve">	(3.8)</w:t>
      </w:r>
    </w:p>
    <w:p>
      <w:pPr>
        <w:spacing w:after="120" w:line="360" w:lineRule="auto"/>
        <w:jc w:val="both"/>
      </w:pPr>
      <w:r>
        <w:rPr>
          <w:rFonts w:ascii="Times New Roman" w:cs="Times New Roman" w:eastAsia="Times New Roman" w:hAnsi="Times New Roman"/>
          <w:sz w:val="24"/>
          <w:szCs w:val="24"/>
        </w:rPr>
        <w:t xml:space="preserve">Feature separability is guided by the Fisher discriminant ratio, FDR = (μ_c1 − μ_c2)² / (σ_c1² + σ_c2²).</w:t>
      </w:r>
    </w:p>
    <w:p>
      <w:pPr>
        <w:pStyle w:val="Heading3"/>
        <w:spacing w:after="100" w:before="160"/>
      </w:pPr>
      <w:r>
        <w:rPr>
          <w:rFonts w:ascii="Times New Roman" w:cs="Times New Roman" w:eastAsia="Times New Roman" w:hAnsi="Times New Roman"/>
          <w:b/>
          <w:bCs/>
          <w:i/>
          <w:iCs/>
          <w:sz w:val="24"/>
          <w:szCs w:val="24"/>
        </w:rPr>
        <w:t xml:space="preserve">3.6.2  Performance Metrics</w:t>
      </w:r>
    </w:p>
    <w:p>
      <w:pPr>
        <w:spacing w:after="120" w:line="360" w:lineRule="auto"/>
        <w:jc w:val="both"/>
      </w:pPr>
      <w:r>
        <w:rPr>
          <w:rFonts w:ascii="Times New Roman" w:cs="Times New Roman" w:eastAsia="Times New Roman" w:hAnsi="Times New Roman"/>
          <w:sz w:val="24"/>
          <w:szCs w:val="24"/>
        </w:rPr>
        <w:t xml:space="preserve">Classification performance is evaluated using confusion-matrix-derived metrics: Accuracy = Σ_c TP_c / N_total; Precision_c = TP_c/(TP_c + FP_c); Recall_c = TP_c/(TP_c + FN_c); and the F1-score F1_c = 2·Precision_c·Recall_c/(Precision_c + Recall_c). For protection applications, Dependability = TP_fault/(TP_fault + FN_fault) and Security = TN_fault/(FP_fault + TN_fault) are paramount. Additional metrics include the Matthews Correlation Coefficient, operating time T_op = t_trip − t_event (within 20–40 ms at 50 Hz), and the AUC-ROC.</w:t>
      </w:r>
    </w:p>
    <w:p>
      <w:pPr>
        <w:pStyle w:val="Heading2"/>
        <w:spacing w:after="120" w:before="200"/>
      </w:pPr>
      <w:r>
        <w:rPr>
          <w:rFonts w:ascii="Times New Roman" w:cs="Times New Roman" w:eastAsia="Times New Roman" w:hAnsi="Times New Roman"/>
          <w:b/>
          <w:bCs/>
          <w:color w:val="1F3864"/>
          <w:sz w:val="28"/>
          <w:szCs w:val="28"/>
        </w:rPr>
        <w:t xml:space="preserve">3.7  Adaptive Threshold and Decision-Theoretic Foundations</w:t>
      </w:r>
    </w:p>
    <w:p>
      <w:pPr>
        <w:pStyle w:val="Heading3"/>
        <w:spacing w:after="100" w:before="160"/>
      </w:pPr>
      <w:r>
        <w:rPr>
          <w:rFonts w:ascii="Times New Roman" w:cs="Times New Roman" w:eastAsia="Times New Roman" w:hAnsi="Times New Roman"/>
          <w:b/>
          <w:bCs/>
          <w:i/>
          <w:iCs/>
          <w:sz w:val="24"/>
          <w:szCs w:val="24"/>
        </w:rPr>
        <w:t xml:space="preserve">3.7.1  Bayes-Optimal Decision Boundary</w:t>
      </w:r>
    </w:p>
    <w:p>
      <w:pPr>
        <w:spacing w:after="120" w:line="360" w:lineRule="auto"/>
        <w:jc w:val="both"/>
      </w:pPr>
      <w:r>
        <w:rPr>
          <w:rFonts w:ascii="Times New Roman" w:cs="Times New Roman" w:eastAsia="Times New Roman" w:hAnsi="Times New Roman"/>
          <w:sz w:val="24"/>
          <w:szCs w:val="24"/>
        </w:rPr>
        <w:t xml:space="preserve">The four-class discrimination problem can be cast in a decision-theoretic framework that makes explicit the cost asymmetry inherent to protection. Let the class-conditional densities of the feature vector x be p(x | ω_c) for c ∈ {internal, external, inrush, normal}, with priors P(ω_c). The Bayes risk associated with deciding class i when the true class is j is encoded by a loss matrix L_{ij}. The optimal decision minimises the conditional risk:</w:t>
      </w:r>
    </w:p>
    <w:p>
      <w:pPr>
        <w:tabs>
          <w:tab w:val="right" w:pos="9360"/>
        </w:tabs>
        <w:spacing w:after="60" w:before="60"/>
        <w:jc w:val="center"/>
      </w:pPr>
      <w:r>
        <w:rPr>
          <w:rFonts w:ascii="Times New Roman" w:cs="Times New Roman" w:eastAsia="Times New Roman" w:hAnsi="Times New Roman"/>
          <w:i/>
          <w:iCs/>
          <w:sz w:val="24"/>
          <w:szCs w:val="24"/>
        </w:rPr>
        <w:t xml:space="preserve">R(α_i | x) = Σ_j L_{ij} P(ω_j | x)</w:t>
      </w:r>
      <w:r>
        <w:rPr>
          <w:rFonts w:ascii="Times New Roman" w:cs="Times New Roman" w:eastAsia="Times New Roman" w:hAnsi="Times New Roman"/>
          <w:sz w:val="24"/>
          <w:szCs w:val="24"/>
        </w:rPr>
        <w:t xml:space="preserve">	(3.10)</w:t>
      </w:r>
    </w:p>
    <w:p>
      <w:pPr>
        <w:spacing w:after="120" w:line="360" w:lineRule="auto"/>
        <w:jc w:val="both"/>
      </w:pPr>
      <w:r>
        <w:rPr>
          <w:rFonts w:ascii="Times New Roman" w:cs="Times New Roman" w:eastAsia="Times New Roman" w:hAnsi="Times New Roman"/>
          <w:sz w:val="24"/>
          <w:szCs w:val="24"/>
        </w:rPr>
        <w:t xml:space="preserve">For protection, the loss of failing to detect an internal fault (a missed trip, FN) vastly exceeds the loss of a spurious trip (FP), which in turn exceeds the loss of an inter-class confusion among non-internal events. Encoding L_{FN} ≫ L_{FP} ≫ L_{other} biases the boundary toward dependability, mathematically formalising the engineering imperative that no internal fault may go undetected. The hybrid architecture of Chapter 5 realises this asymmetry structurally: the LSTM is permitted to veto (raise security) only after the classical 87T element has asserted a fault, so the dependability floor is set by the certified relay rather than by the learned model.</w:t>
      </w:r>
    </w:p>
    <w:p>
      <w:pPr>
        <w:pStyle w:val="Heading3"/>
        <w:spacing w:after="100" w:before="160"/>
      </w:pPr>
      <w:r>
        <w:rPr>
          <w:rFonts w:ascii="Times New Roman" w:cs="Times New Roman" w:eastAsia="Times New Roman" w:hAnsi="Times New Roman"/>
          <w:b/>
          <w:bCs/>
          <w:i/>
          <w:iCs/>
          <w:sz w:val="24"/>
          <w:szCs w:val="24"/>
        </w:rPr>
        <w:t xml:space="preserve">3.7.2  Adaptive Pickup as a Function of Operating State</w:t>
      </w:r>
    </w:p>
    <w:p>
      <w:pPr>
        <w:spacing w:after="120" w:line="360" w:lineRule="auto"/>
        <w:jc w:val="both"/>
      </w:pPr>
      <w:r>
        <w:rPr>
          <w:rFonts w:ascii="Times New Roman" w:cs="Times New Roman" w:eastAsia="Times New Roman" w:hAnsi="Times New Roman"/>
          <w:sz w:val="24"/>
          <w:szCs w:val="24"/>
        </w:rPr>
        <w:t xml:space="preserve">Conventional relays employ a fixed pickup I_pickup. An adaptive formulation lets the threshold track the estimated steady-state error envelope so that sensitivity is maximised at light load and security is maximised during through-faults. A representative adaptive law is:</w:t>
      </w:r>
    </w:p>
    <w:p>
      <w:pPr>
        <w:tabs>
          <w:tab w:val="right" w:pos="9360"/>
        </w:tabs>
        <w:spacing w:after="60" w:before="60"/>
        <w:jc w:val="center"/>
      </w:pPr>
      <w:r>
        <w:rPr>
          <w:rFonts w:ascii="Times New Roman" w:cs="Times New Roman" w:eastAsia="Times New Roman" w:hAnsi="Times New Roman"/>
          <w:i/>
          <w:iCs/>
          <w:sz w:val="24"/>
          <w:szCs w:val="24"/>
        </w:rPr>
        <w:t xml:space="preserve">I_pickup(t) = I_p0 + k_1 I_r(t) + k_2 σ̂_d(t)</w:t>
      </w:r>
      <w:r>
        <w:rPr>
          <w:rFonts w:ascii="Times New Roman" w:cs="Times New Roman" w:eastAsia="Times New Roman" w:hAnsi="Times New Roman"/>
          <w:sz w:val="24"/>
          <w:szCs w:val="24"/>
        </w:rPr>
        <w:t xml:space="preserve">	(3.11)</w:t>
      </w:r>
    </w:p>
    <w:p>
      <w:pPr>
        <w:spacing w:after="120" w:line="360" w:lineRule="auto"/>
        <w:jc w:val="both"/>
      </w:pPr>
      <w:r>
        <w:rPr>
          <w:rFonts w:ascii="Times New Roman" w:cs="Times New Roman" w:eastAsia="Times New Roman" w:hAnsi="Times New Roman"/>
          <w:sz w:val="24"/>
          <w:szCs w:val="24"/>
        </w:rPr>
        <w:t xml:space="preserve">where I_p0 is the base pickup, I_r(t) the instantaneous restraint current, σ̂_d(t) an online estimate of the differential-current noise standard deviation, and k_1, k_2 tuning coefficients. The term k_1 I_r(t) reproduces the classical percentage slope, while k_2 σ̂_d(t) inflates the threshold transiently when CT saturation or measurement noise elevates the differential-current variance. In the proposed scheme, this adaptive 87T element supplies the binary dependability signal, and the LSTM confidence score Conf(t) provides the complementary security signal, the two being combined in the handshake of Equation (5.1).</w:t>
      </w:r>
    </w:p>
    <w:p>
      <w:pPr>
        <w:pStyle w:val="Heading3"/>
        <w:spacing w:after="100" w:before="160"/>
      </w:pPr>
      <w:r>
        <w:rPr>
          <w:rFonts w:ascii="Times New Roman" w:cs="Times New Roman" w:eastAsia="Times New Roman" w:hAnsi="Times New Roman"/>
          <w:b/>
          <w:bCs/>
          <w:i/>
          <w:iCs/>
          <w:sz w:val="24"/>
          <w:szCs w:val="24"/>
        </w:rPr>
        <w:t xml:space="preserve">3.7.3  Information-Theoretic Feature Separability</w:t>
      </w:r>
    </w:p>
    <w:p>
      <w:pPr>
        <w:spacing w:after="120" w:line="360" w:lineRule="auto"/>
        <w:jc w:val="both"/>
      </w:pPr>
      <w:r>
        <w:rPr>
          <w:rFonts w:ascii="Times New Roman" w:cs="Times New Roman" w:eastAsia="Times New Roman" w:hAnsi="Times New Roman"/>
          <w:sz w:val="24"/>
          <w:szCs w:val="24"/>
        </w:rPr>
        <w:t xml:space="preserve">Beyond the Fisher discriminant ratio of Section 3.6, the discriminative value of a feature can be quantified by the mutual information between the feature and the class label, I(X; Y) = H(Y) − H(Y | X), where H(·) denotes Shannon entropy. A feature with high I(X; Y) reduces class uncertainty substantially and is therefore retained. The wavelet detail energies are expected to exhibit the highest mutual information because fault inception injects broadband high-frequency content that the detail sub-bands localise efficiently, whereas inrush concentrates energy near the second harmonic and steady-state operation produces negligible detail energy. This expectation is confirmed empirically in Chapter 6 (Section 6.2.3), where the three detail-energy features account for 72.3% of the total mutual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727460"/>
                  <wp:docPr id="5" name="Picture 5"/>
                  <wp:cNvGraphicFramePr>
                    <a:graphicFrameLocks noChangeAspect="1"/>
                  </wp:cNvGraphicFramePr>
                  <a:graphic>
                    <a:graphicData uri="http://schemas.openxmlformats.org/drawingml/2006/picture">
                      <pic:pic>
                        <pic:nvPicPr>
                          <pic:cNvPr id="0" name="bayes_decision_boundary.png"/>
                          <pic:cNvPicPr/>
                        </pic:nvPicPr>
                        <pic:blipFill>
                          <a:blip r:embed="rId13"/>
                          <a:stretch>
                            <a:fillRect/>
                          </a:stretch>
                        </pic:blipFill>
                        <pic:spPr>
                          <a:xfrm>
                            <a:off x="0" y="0"/>
                            <a:ext cx="4572000" cy="3727460"/>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3.4: </w:t>
      </w:r>
      <w:r>
        <w:rPr>
          <w:rFonts w:ascii="Times New Roman" w:cs="Times New Roman" w:eastAsia="Times New Roman" w:hAnsi="Times New Roman"/>
          <w:sz w:val="21"/>
          <w:szCs w:val="21"/>
        </w:rPr>
        <w:t xml:space="preserve">Conceptual feature-space separation of the four event classes with cost-asymmetric decision boundaries.</w:t>
      </w:r>
    </w:p>
    <w:p>
      <w:pPr>
        <w:pStyle w:val="Heading3"/>
        <w:spacing w:after="100" w:before="160"/>
      </w:pPr>
      <w:r>
        <w:rPr>
          <w:rFonts w:ascii="Times New Roman" w:cs="Times New Roman" w:eastAsia="Times New Roman" w:hAnsi="Times New Roman"/>
          <w:b/>
          <w:bCs/>
          <w:i/>
          <w:iCs/>
          <w:sz w:val="24"/>
          <w:szCs w:val="24"/>
        </w:rPr>
        <w:t xml:space="preserve">3.7.4  Operating-Time Bound</w:t>
      </w:r>
    </w:p>
    <w:p>
      <w:pPr>
        <w:spacing w:after="120" w:line="360" w:lineRule="auto"/>
        <w:jc w:val="both"/>
      </w:pPr>
      <w:r>
        <w:rPr>
          <w:rFonts w:ascii="Times New Roman" w:cs="Times New Roman" w:eastAsia="Times New Roman" w:hAnsi="Times New Roman"/>
          <w:sz w:val="24"/>
          <w:szCs w:val="24"/>
        </w:rPr>
        <w:t xml:space="preserve">The maximum permissible operating time T_max is dictated by transformer through-fault withstand and downstream coordination. For a 50 Hz system, sub-cycle clearing (T_op &lt; 20 ms) is the design target; the thermal stress imposed on the winding during an internal fault scales with the integral ∫ i²(t) dt over the fault duration, so every millisecond of reduced clearing time directly lowers insulation degradation and mechanical force on the windings. The latency budget derived in Chapter 5 (Section 5.6.3) and validated in Chapter 6 (Section 6.4.3) demonstrates that the complete DWT–LSTM–hybrid pipeline satisfies this bound with substantial margin.</w:t>
      </w:r>
    </w:p>
    <w:p>
      <w:pPr>
        <w:pStyle w:val="Heading1"/>
        <w:pageBreakBefore/>
        <w:spacing w:after="200" w:before="240"/>
      </w:pPr>
      <w:r>
        <w:rPr>
          <w:rFonts w:ascii="Times New Roman" w:cs="Times New Roman" w:eastAsia="Times New Roman" w:hAnsi="Times New Roman"/>
          <w:b/>
          <w:bCs/>
          <w:color w:val="1F3864"/>
          <w:sz w:val="32"/>
          <w:szCs w:val="32"/>
        </w:rPr>
        <w:t xml:space="preserve">CHAPTER 4   POWER SYSTEM SIMULATION MODEL USING MATLAB/SIMULINK</w:t>
      </w:r>
    </w:p>
    <w:p>
      <w:pPr>
        <w:pStyle w:val="Heading2"/>
        <w:spacing w:after="120" w:before="200"/>
      </w:pPr>
      <w:r>
        <w:rPr>
          <w:rFonts w:ascii="Times New Roman" w:cs="Times New Roman" w:eastAsia="Times New Roman" w:hAnsi="Times New Roman"/>
          <w:b/>
          <w:bCs/>
          <w:color w:val="1F3864"/>
          <w:sz w:val="28"/>
          <w:szCs w:val="28"/>
        </w:rPr>
        <w:t xml:space="preserve">4.1  Introduction</w:t>
      </w:r>
    </w:p>
    <w:p>
      <w:pPr>
        <w:spacing w:after="120" w:line="360" w:lineRule="auto"/>
        <w:jc w:val="both"/>
      </w:pPr>
      <w:r>
        <w:rPr>
          <w:rFonts w:ascii="Times New Roman" w:cs="Times New Roman" w:eastAsia="Times New Roman" w:hAnsi="Times New Roman"/>
          <w:sz w:val="24"/>
          <w:szCs w:val="24"/>
        </w:rPr>
        <w:t xml:space="preserve">MATLAB/Simulink was selected as the primary simulation platform for this research due to its uniquely integrated environment that combines high-fidelity electromagnetic-transient modelling via Simscape Electrical with native machine-learning support through the Deep Learning Toolbox and ONNX runtime. This integration enables a seamless workflow from simulation-based data generation to DWT-LSTM model training, validation, and deployment within a single ecosystem. Simscape Electrical provides validated component models—saturable transformers, CTs with core saturation, circuit breakers, and programmable voltage sources—ensuring waveform-level fidelity essential for protection studies, and supports automated batch simulations via MATLAB scripting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011074"/>
                  <wp:docPr id="6" name="Picture 6"/>
                  <wp:cNvGraphicFramePr>
                    <a:graphicFrameLocks noChangeAspect="1"/>
                  </wp:cNvGraphicFramePr>
                  <a:graphic>
                    <a:graphicData uri="http://schemas.openxmlformats.org/drawingml/2006/picture">
                      <pic:pic>
                        <pic:nvPicPr>
                          <pic:cNvPr id="0" name="Main Panel.png"/>
                          <pic:cNvPicPr/>
                        </pic:nvPicPr>
                        <pic:blipFill>
                          <a:blip r:embed="rId14"/>
                          <a:stretch>
                            <a:fillRect/>
                          </a:stretch>
                        </pic:blipFill>
                        <pic:spPr>
                          <a:xfrm>
                            <a:off x="0" y="0"/>
                            <a:ext cx="4572000" cy="2011074"/>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4.1: </w:t>
      </w:r>
      <w:r>
        <w:rPr>
          <w:rFonts w:ascii="Times New Roman" w:cs="Times New Roman" w:eastAsia="Times New Roman" w:hAnsi="Times New Roman"/>
          <w:sz w:val="21"/>
          <w:szCs w:val="21"/>
        </w:rPr>
        <w:t xml:space="preserve">Overview of the MATLAB/Simulink power-system simulation model.</w:t>
      </w:r>
    </w:p>
    <w:p>
      <w:pPr>
        <w:pStyle w:val="Heading2"/>
        <w:spacing w:after="120" w:before="200"/>
      </w:pPr>
      <w:r>
        <w:rPr>
          <w:rFonts w:ascii="Times New Roman" w:cs="Times New Roman" w:eastAsia="Times New Roman" w:hAnsi="Times New Roman"/>
          <w:b/>
          <w:bCs/>
          <w:color w:val="1F3864"/>
          <w:sz w:val="28"/>
          <w:szCs w:val="28"/>
        </w:rPr>
        <w:t xml:space="preserve">4.2  MATLAB/Simulink Simulation Environment</w:t>
      </w:r>
    </w:p>
    <w:p>
      <w:pPr>
        <w:pStyle w:val="Heading3"/>
        <w:spacing w:after="100" w:before="160"/>
      </w:pPr>
      <w:r>
        <w:rPr>
          <w:rFonts w:ascii="Times New Roman" w:cs="Times New Roman" w:eastAsia="Times New Roman" w:hAnsi="Times New Roman"/>
          <w:b/>
          <w:bCs/>
          <w:i/>
          <w:iCs/>
          <w:sz w:val="24"/>
          <w:szCs w:val="24"/>
        </w:rPr>
        <w:t xml:space="preserve">4.2.1  Software Overview</w:t>
      </w:r>
    </w:p>
    <w:p>
      <w:pPr>
        <w:spacing w:after="120" w:line="360" w:lineRule="auto"/>
        <w:jc w:val="both"/>
      </w:pPr>
      <w:r>
        <w:rPr>
          <w:rFonts w:ascii="Times New Roman" w:cs="Times New Roman" w:eastAsia="Times New Roman" w:hAnsi="Times New Roman"/>
          <w:sz w:val="24"/>
          <w:szCs w:val="24"/>
        </w:rPr>
        <w:t xml:space="preserve">The simulation platform comprises MATLAB R2024a with Simulink, Simscape Electrical, the Deep Learning Toolbox, the Signal Processing Toolbox, and the ONNX converter for MATLAB. Simscape Electrical uses a physical-network approach where components enforce Kirchhoff’s laws, with the underlying solver automatically constructing and solving network equations at each time step. The Deep Learning Toolbox supports import and inference of the trained DWT-LSTM model via ONNX [3].</w:t>
      </w:r>
    </w:p>
    <w:p>
      <w:pPr>
        <w:pStyle w:val="Heading3"/>
        <w:spacing w:after="100" w:before="160"/>
      </w:pPr>
      <w:r>
        <w:rPr>
          <w:rFonts w:ascii="Times New Roman" w:cs="Times New Roman" w:eastAsia="Times New Roman" w:hAnsi="Times New Roman"/>
          <w:b/>
          <w:bCs/>
          <w:i/>
          <w:iCs/>
          <w:sz w:val="24"/>
          <w:szCs w:val="24"/>
        </w:rPr>
        <w:t xml:space="preserve">4.2.2  Solver Configuration</w:t>
      </w:r>
    </w:p>
    <w:p>
      <w:pPr>
        <w:spacing w:after="120" w:line="360" w:lineRule="auto"/>
        <w:jc w:val="both"/>
      </w:pPr>
      <w:r>
        <w:rPr>
          <w:rFonts w:ascii="Times New Roman" w:cs="Times New Roman" w:eastAsia="Times New Roman" w:hAnsi="Times New Roman"/>
          <w:sz w:val="24"/>
          <w:szCs w:val="24"/>
        </w:rPr>
        <w:t xml:space="preserve">A discrete-time solver with a fixed sample time of Δt = 1×10⁻⁵ s (10 µs) is employed, corresponding to a Nyquist frequency of f_Nyquist = 1/(2Δt) = 50 kHz. This provides a 50× oversampling margin relative to the relay rate of 1600 Hz (32 samples/cycle at 50 Hz), ensuring negligible aliasing. The powergui block uses Discrete mode at 10 µs [4].</w:t>
      </w:r>
    </w:p>
    <w:p>
      <w:pPr>
        <w:pStyle w:val="Heading3"/>
        <w:spacing w:after="100" w:before="160"/>
      </w:pPr>
      <w:r>
        <w:rPr>
          <w:rFonts w:ascii="Times New Roman" w:cs="Times New Roman" w:eastAsia="Times New Roman" w:hAnsi="Times New Roman"/>
          <w:b/>
          <w:bCs/>
          <w:i/>
          <w:iCs/>
          <w:sz w:val="24"/>
          <w:szCs w:val="24"/>
        </w:rPr>
        <w:t xml:space="preserve">4.2.3  Simulation Duration</w:t>
      </w:r>
    </w:p>
    <w:p>
      <w:pPr>
        <w:spacing w:after="120" w:line="360" w:lineRule="auto"/>
        <w:jc w:val="both"/>
      </w:pPr>
      <w:r>
        <w:rPr>
          <w:rFonts w:ascii="Times New Roman" w:cs="Times New Roman" w:eastAsia="Times New Roman" w:hAnsi="Times New Roman"/>
          <w:sz w:val="24"/>
          <w:szCs w:val="24"/>
        </w:rPr>
        <w:t xml:space="preserve">Each simulation runs for T_sim = 1.0 s, with the event injected at t_event = 0.2 s (10 cycles pre-event, 40 cycles post-event). At the relay sampling rate of 1600 Hz, N_samples = 1600 × 1.0 = 1600; including the initial reference, each record contains 1601 samples (n = 0 to 1600), yielding 1601 − 32 + 1 = 1570 one-cycle sliding windows per case.</w:t>
      </w:r>
    </w:p>
    <w:p>
      <w:pPr>
        <w:pStyle w:val="Heading2"/>
        <w:spacing w:after="120" w:before="200"/>
      </w:pPr>
      <w:r>
        <w:rPr>
          <w:rFonts w:ascii="Times New Roman" w:cs="Times New Roman" w:eastAsia="Times New Roman" w:hAnsi="Times New Roman"/>
          <w:b/>
          <w:bCs/>
          <w:color w:val="1F3864"/>
          <w:sz w:val="28"/>
          <w:szCs w:val="28"/>
        </w:rPr>
        <w:t xml:space="preserve">4.3  Transformer Model Parameters</w:t>
      </w:r>
    </w:p>
    <w:p>
      <w:pPr>
        <w:pStyle w:val="Heading3"/>
        <w:spacing w:after="100" w:before="160"/>
      </w:pPr>
      <w:r>
        <w:rPr>
          <w:rFonts w:ascii="Times New Roman" w:cs="Times New Roman" w:eastAsia="Times New Roman" w:hAnsi="Times New Roman"/>
          <w:b/>
          <w:bCs/>
          <w:i/>
          <w:iCs/>
          <w:sz w:val="24"/>
          <w:szCs w:val="24"/>
        </w:rPr>
        <w:t xml:space="preserve">4.3.1  Transformer Rating and Configuration</w:t>
      </w:r>
    </w:p>
    <w:p>
      <w:pPr>
        <w:spacing w:after="120" w:line="360" w:lineRule="auto"/>
        <w:jc w:val="both"/>
      </w:pPr>
      <w:r>
        <w:rPr>
          <w:rFonts w:ascii="Times New Roman" w:cs="Times New Roman" w:eastAsia="Times New Roman" w:hAnsi="Times New Roman"/>
          <w:sz w:val="24"/>
          <w:szCs w:val="24"/>
        </w:rPr>
        <w:t xml:space="preserve">The protected transformer is a three-phase, 300 MVA, 230/11 kV unit with Yd1 vector group (grounded wye primary, delta secondary with −30° phase displacement), a prevalent configuration in transmission substations [5]. The full-load currents are I_FLA,HV = 300×10⁶/(√3·230×10³) = 753.1 A and I_FLA,LV = 300×10⁶/(√3·11×10³) = 15 746 A. Per-unit base impedances are Z_base,HV = 176.33 Ω and Z_base,LV = 0.4033 Ω. Parameters are summarized in Table 4.1.</w:t>
      </w:r>
    </w:p>
    <w:p>
      <w:pPr>
        <w:spacing w:after="60" w:before="160"/>
        <w:jc w:val="center"/>
      </w:pPr>
      <w:r>
        <w:rPr>
          <w:rFonts w:ascii="Times New Roman" w:cs="Times New Roman" w:eastAsia="Times New Roman" w:hAnsi="Times New Roman"/>
          <w:b/>
          <w:bCs/>
          <w:sz w:val="21"/>
          <w:szCs w:val="21"/>
        </w:rPr>
        <w:t xml:space="preserve">Table 4.1: </w:t>
      </w:r>
      <w:r>
        <w:rPr>
          <w:rFonts w:ascii="Times New Roman" w:cs="Times New Roman" w:eastAsia="Times New Roman" w:hAnsi="Times New Roman"/>
          <w:sz w:val="21"/>
          <w:szCs w:val="21"/>
        </w:rPr>
        <w:t xml:space="preserve">Transformer Nameplate and Equivalent Circuit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Nominal Power (S_nom)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MVA</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Primary Voltage (V1)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230 kV RMS (L-L)</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Secondary Voltage (V2)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11 kV RMS (L-L)</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Frequency (f)</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 Hz</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Vector Group</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Yd1 (Wye/Delta, 30° lag)</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1 (HV) Resistance (R1)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0.0025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1 (HV) Inductance (L1)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2 (LV) Resistance (R2)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0.003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Winding 2 (LV) Inductance (L2)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Magnetizing Branch Resistance (R_m)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500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Magnetizing Branch Inductance (L_m)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 p.u.</w:t>
            </w:r>
          </w:p>
        </w:tc>
      </w:tr>
    </w:tbl>
    <w:p>
      <w:pPr>
        <w:pStyle w:val="Heading3"/>
        <w:spacing w:after="100" w:before="160"/>
      </w:pPr>
      <w:r>
        <w:rPr>
          <w:rFonts w:ascii="Times New Roman" w:cs="Times New Roman" w:eastAsia="Times New Roman" w:hAnsi="Times New Roman"/>
          <w:b/>
          <w:bCs/>
          <w:i/>
          <w:iCs/>
          <w:sz w:val="24"/>
          <w:szCs w:val="24"/>
        </w:rPr>
        <w:t xml:space="preserve">4.3.2  Core Saturation Characteristics</w:t>
      </w:r>
    </w:p>
    <w:p>
      <w:pPr>
        <w:spacing w:after="120" w:line="360" w:lineRule="auto"/>
        <w:jc w:val="both"/>
      </w:pPr>
      <w:r>
        <w:rPr>
          <w:rFonts w:ascii="Times New Roman" w:cs="Times New Roman" w:eastAsia="Times New Roman" w:hAnsi="Times New Roman"/>
          <w:sz w:val="24"/>
          <w:szCs w:val="24"/>
        </w:rPr>
        <w:t xml:space="preserve">The Simscape Electrical saturable-transformer block models core nonlinearity through a piecewise-linear B-H curve specified as flux-linkage / magnetizing-current coordinate pairs, configured with 20 data points spanning ±2.0 p.u. flux and a knee point near 1.2 p.u. flux. Above the knee, incremental permeability drops to 0.2% of the air-core inductance, reproducing the deep-saturation characteristic of grain-oriented silicon steel (M5 grade) [6]. Worst-case inrush (α = 0°, φ_r = +φ_m) yields φ_peak = 3φ_m, producing inrush peaks of 5–10 times rated current [7].</w:t>
      </w:r>
    </w:p>
    <w:p>
      <w:pPr>
        <w:pStyle w:val="Heading3"/>
        <w:spacing w:after="100" w:before="160"/>
      </w:pPr>
      <w:r>
        <w:rPr>
          <w:rFonts w:ascii="Times New Roman" w:cs="Times New Roman" w:eastAsia="Times New Roman" w:hAnsi="Times New Roman"/>
          <w:b/>
          <w:bCs/>
          <w:i/>
          <w:iCs/>
          <w:sz w:val="24"/>
          <w:szCs w:val="24"/>
        </w:rPr>
        <w:t xml:space="preserve">4.3.3  Three-Phase Winding Configuration</w:t>
      </w:r>
    </w:p>
    <w:p>
      <w:pPr>
        <w:spacing w:after="120" w:line="360" w:lineRule="auto"/>
        <w:jc w:val="both"/>
      </w:pPr>
      <w:r>
        <w:rPr>
          <w:rFonts w:ascii="Times New Roman" w:cs="Times New Roman" w:eastAsia="Times New Roman" w:hAnsi="Times New Roman"/>
          <w:sz w:val="24"/>
          <w:szCs w:val="24"/>
        </w:rPr>
        <w:t xml:space="preserve">The Yd1 group is implemented with the primary as “Yg” and secondary as “D1” (delta, −30° lag). The 30° displacement requires phase compensation before computing the differential current, performed by applying a −30° rotation to the LV-side CT currents via a Clarke transformation.</w:t>
      </w:r>
    </w:p>
    <w:p>
      <w:pPr>
        <w:pStyle w:val="Heading2"/>
        <w:spacing w:after="120" w:before="200"/>
      </w:pPr>
      <w:r>
        <w:rPr>
          <w:rFonts w:ascii="Times New Roman" w:cs="Times New Roman" w:eastAsia="Times New Roman" w:hAnsi="Times New Roman"/>
          <w:b/>
          <w:bCs/>
          <w:color w:val="1F3864"/>
          <w:sz w:val="28"/>
          <w:szCs w:val="28"/>
        </w:rPr>
        <w:t xml:space="preserve">4.4  Power System Network Model</w:t>
      </w:r>
    </w:p>
    <w:p>
      <w:pPr>
        <w:pStyle w:val="Heading3"/>
        <w:spacing w:after="100" w:before="160"/>
      </w:pPr>
      <w:r>
        <w:rPr>
          <w:rFonts w:ascii="Times New Roman" w:cs="Times New Roman" w:eastAsia="Times New Roman" w:hAnsi="Times New Roman"/>
          <w:b/>
          <w:bCs/>
          <w:i/>
          <w:iCs/>
          <w:sz w:val="24"/>
          <w:szCs w:val="24"/>
        </w:rPr>
        <w:t xml:space="preserve">4.4.1  Source Model and Equivalent Impedance</w:t>
      </w:r>
    </w:p>
    <w:p>
      <w:pPr>
        <w:spacing w:after="120" w:line="360" w:lineRule="auto"/>
        <w:jc w:val="both"/>
      </w:pPr>
      <w:r>
        <w:rPr>
          <w:rFonts w:ascii="Times New Roman" w:cs="Times New Roman" w:eastAsia="Times New Roman" w:hAnsi="Times New Roman"/>
          <w:sz w:val="24"/>
          <w:szCs w:val="24"/>
        </w:rPr>
        <w:t xml:space="preserve">The external system is represented by Thévenin equivalents on both sides [8]. On the HV side (1.05 p.u. voltage, X/R = 30.0), Z_th,HV = 0.5 + j15.0 Ω with a short-circuit level of 3 524 MVA. On the LV side (1.0 p.u. voltage), Z_th,LV = 0.01 + j0.10 Ω with 1 204 MVA. Available fault currents are I_f,HV = 8.84 kA and I_f,LV = 63.2 kA, consistent with typical 230/11 kV substations.</w:t>
      </w:r>
    </w:p>
    <w:p>
      <w:pPr>
        <w:pStyle w:val="Heading3"/>
        <w:spacing w:after="100" w:before="160"/>
      </w:pPr>
      <w:r>
        <w:rPr>
          <w:rFonts w:ascii="Times New Roman" w:cs="Times New Roman" w:eastAsia="Times New Roman" w:hAnsi="Times New Roman"/>
          <w:b/>
          <w:bCs/>
          <w:i/>
          <w:iCs/>
          <w:sz w:val="24"/>
          <w:szCs w:val="24"/>
        </w:rPr>
        <w:t xml:space="preserve">4.4.2  Breaker and Snubber Circuit</w:t>
      </w:r>
    </w:p>
    <w:p>
      <w:pPr>
        <w:spacing w:after="120" w:line="360" w:lineRule="auto"/>
        <w:jc w:val="both"/>
      </w:pPr>
      <w:r>
        <w:rPr>
          <w:rFonts w:ascii="Times New Roman" w:cs="Times New Roman" w:eastAsia="Times New Roman" w:hAnsi="Times New Roman"/>
          <w:sz w:val="24"/>
          <w:szCs w:val="24"/>
        </w:rPr>
        <w:t xml:space="preserve">Circuit breakers are modelled using the Simscape Electrical three-phase breaker block (R_on = 0.001 Ω, R_off = 10⁶ Ω). RC snubber circuits (R_s = 1000 Ω, C_s = 0.1 µF) are connected across each breaker to damp high-frequency switching transients and maintain numerical stability of the discrete solver [9].</w:t>
      </w:r>
    </w:p>
    <w:p>
      <w:pPr>
        <w:pStyle w:val="Heading3"/>
        <w:spacing w:after="100" w:before="160"/>
      </w:pPr>
      <w:r>
        <w:rPr>
          <w:rFonts w:ascii="Times New Roman" w:cs="Times New Roman" w:eastAsia="Times New Roman" w:hAnsi="Times New Roman"/>
          <w:b/>
          <w:bCs/>
          <w:i/>
          <w:iCs/>
          <w:sz w:val="24"/>
          <w:szCs w:val="24"/>
        </w:rPr>
        <w:t xml:space="preserve">4.4.3  Load Model</w:t>
      </w:r>
    </w:p>
    <w:p>
      <w:pPr>
        <w:spacing w:after="120" w:line="360" w:lineRule="auto"/>
        <w:jc w:val="both"/>
      </w:pPr>
      <w:r>
        <w:rPr>
          <w:rFonts w:ascii="Times New Roman" w:cs="Times New Roman" w:eastAsia="Times New Roman" w:hAnsi="Times New Roman"/>
          <w:sz w:val="24"/>
          <w:szCs w:val="24"/>
        </w:rPr>
        <w:t xml:space="preserve">The LV-side load is a composite of 70% constant impedance (168 MVA) and 30% constant power (72 MVA), totalling 240 MVA at 0.85 lagging power factor (80% transformer loading). A 2% phase unbalance and a shunt capacitor bank for power-factor correction are included.</w:t>
      </w:r>
    </w:p>
    <w:p>
      <w:pPr>
        <w:pStyle w:val="Heading3"/>
        <w:spacing w:after="100" w:before="160"/>
      </w:pPr>
      <w:r>
        <w:rPr>
          <w:rFonts w:ascii="Times New Roman" w:cs="Times New Roman" w:eastAsia="Times New Roman" w:hAnsi="Times New Roman"/>
          <w:b/>
          <w:bCs/>
          <w:i/>
          <w:iCs/>
          <w:sz w:val="24"/>
          <w:szCs w:val="24"/>
        </w:rPr>
        <w:t xml:space="preserve">4.4.4  Current Transformer Model</w:t>
      </w:r>
    </w:p>
    <w:p>
      <w:pPr>
        <w:spacing w:after="120" w:line="360" w:lineRule="auto"/>
        <w:jc w:val="both"/>
      </w:pPr>
      <w:r>
        <w:rPr>
          <w:rFonts w:ascii="Times New Roman" w:cs="Times New Roman" w:eastAsia="Times New Roman" w:hAnsi="Times New Roman"/>
          <w:sz w:val="24"/>
          <w:szCs w:val="24"/>
        </w:rPr>
        <w:t xml:space="preserve">CTs on both sides are modelled using the Simscape Electrical linear-transformer block with saturable core. Accurate CT modelling is critical since CT saturation during through-faults is a well-documented cause of differential-relay maloperation [10]. CT saturation is modelled through a piecewise-linear flux-current curve. Parameters are given in Table 4.2.</w:t>
      </w:r>
    </w:p>
    <w:p>
      <w:pPr>
        <w:spacing w:after="60" w:before="160"/>
        <w:jc w:val="center"/>
      </w:pPr>
      <w:r>
        <w:rPr>
          <w:rFonts w:ascii="Times New Roman" w:cs="Times New Roman" w:eastAsia="Times New Roman" w:hAnsi="Times New Roman"/>
          <w:b/>
          <w:bCs/>
          <w:sz w:val="21"/>
          <w:szCs w:val="21"/>
        </w:rPr>
        <w:t xml:space="preserve">Table 4.2: </w:t>
      </w:r>
      <w:r>
        <w:rPr>
          <w:rFonts w:ascii="Times New Roman" w:cs="Times New Roman" w:eastAsia="Times New Roman" w:hAnsi="Times New Roman"/>
          <w:sz w:val="21"/>
          <w:szCs w:val="21"/>
        </w:rPr>
        <w:t xml:space="preserve">Current Transformer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HV Side</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LV Side</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CT Ratio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Accuracy Class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Primary Current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753.1 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15 746 A</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Secondary Current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37.66 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787.3 A</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Core Cross-section (A_c)</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25.0 cm²</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40.0 cm²</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Mean Magnetic Path (l_c)</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cm</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50.0 cm</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Core Relative Permeability (μ_r)</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Secondary Winding Resistance (R_s)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 Ω</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Burden Impedance (Z_b)</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Ω</w:t>
            </w:r>
          </w:p>
        </w:tc>
      </w:tr>
    </w:tbl>
    <w:p>
      <w:pPr>
        <w:pStyle w:val="Heading2"/>
        <w:spacing w:after="120" w:before="200"/>
      </w:pPr>
      <w:r>
        <w:rPr>
          <w:rFonts w:ascii="Times New Roman" w:cs="Times New Roman" w:eastAsia="Times New Roman" w:hAnsi="Times New Roman"/>
          <w:b/>
          <w:bCs/>
          <w:color w:val="1F3864"/>
          <w:sz w:val="28"/>
          <w:szCs w:val="28"/>
        </w:rPr>
        <w:t xml:space="preserve">4.5  Fault and Event Simulation Scenarios</w:t>
      </w:r>
    </w:p>
    <w:p>
      <w:pPr>
        <w:pStyle w:val="Heading3"/>
        <w:spacing w:after="100" w:before="160"/>
      </w:pPr>
      <w:r>
        <w:rPr>
          <w:rFonts w:ascii="Times New Roman" w:cs="Times New Roman" w:eastAsia="Times New Roman" w:hAnsi="Times New Roman"/>
          <w:b/>
          <w:bCs/>
          <w:i/>
          <w:iCs/>
          <w:sz w:val="24"/>
          <w:szCs w:val="24"/>
        </w:rPr>
        <w:t xml:space="preserve">4.5.1  Internal Fault Modeling</w:t>
      </w:r>
    </w:p>
    <w:p>
      <w:pPr>
        <w:spacing w:after="120" w:line="360" w:lineRule="auto"/>
        <w:jc w:val="both"/>
      </w:pPr>
      <w:r>
        <w:rPr>
          <w:rFonts w:ascii="Times New Roman" w:cs="Times New Roman" w:eastAsia="Times New Roman" w:hAnsi="Times New Roman"/>
          <w:sz w:val="24"/>
          <w:szCs w:val="24"/>
        </w:rPr>
        <w:t xml:space="preserve">Internal faults are simulated at five winding taps (5%, 25%, 50%, 75%, 95%) using the three-phase fault block. Four fault types (SLG, LL, LLG, 3LG) are applied with three inception angles and three fault resistances (0.01 Ω, 5 Ω, 25 Ω). The effective fault impedance at tap p is Z_fault(p) = p²Z_k + R_f. Terminal faults yield the highest currents; 720 deterministic cases are generated [11].</w:t>
      </w:r>
    </w:p>
    <w:p>
      <w:pPr>
        <w:pStyle w:val="Heading3"/>
        <w:spacing w:after="100" w:before="160"/>
      </w:pPr>
      <w:r>
        <w:rPr>
          <w:rFonts w:ascii="Times New Roman" w:cs="Times New Roman" w:eastAsia="Times New Roman" w:hAnsi="Times New Roman"/>
          <w:b/>
          <w:bCs/>
          <w:i/>
          <w:iCs/>
          <w:sz w:val="24"/>
          <w:szCs w:val="24"/>
        </w:rPr>
        <w:t xml:space="preserve">4.5.2  External Fault Modeling</w:t>
      </w:r>
    </w:p>
    <w:p>
      <w:pPr>
        <w:spacing w:after="120" w:line="360" w:lineRule="auto"/>
        <w:jc w:val="both"/>
      </w:pPr>
      <w:r>
        <w:rPr>
          <w:rFonts w:ascii="Times New Roman" w:cs="Times New Roman" w:eastAsia="Times New Roman" w:hAnsi="Times New Roman"/>
          <w:sz w:val="24"/>
          <w:szCs w:val="24"/>
        </w:rPr>
        <w:t xml:space="preserve">External faults (SLG, LL, LLG, 3LG) are simulated on both HV and LV buses, representing faults outside the differential zone. Evolving faults (SLG → LLG after 3 cycles → 3LG after 6 cycles) are implemented via a Simulink state machine. Stress-test scenarios include asymmetrical CT saturation and fault currents ranging from 5 to 30 p.u., producing 540 deterministic external-fault cases [12].</w:t>
      </w:r>
    </w:p>
    <w:p>
      <w:pPr>
        <w:pStyle w:val="Heading3"/>
        <w:spacing w:after="100" w:before="160"/>
      </w:pPr>
      <w:r>
        <w:rPr>
          <w:rFonts w:ascii="Times New Roman" w:cs="Times New Roman" w:eastAsia="Times New Roman" w:hAnsi="Times New Roman"/>
          <w:b/>
          <w:bCs/>
          <w:i/>
          <w:iCs/>
          <w:sz w:val="24"/>
          <w:szCs w:val="24"/>
        </w:rPr>
        <w:t xml:space="preserve">4.5.3  Inrush Current Simulation</w:t>
      </w:r>
    </w:p>
    <w:p>
      <w:pPr>
        <w:spacing w:after="120" w:line="360" w:lineRule="auto"/>
        <w:jc w:val="both"/>
      </w:pPr>
      <w:r>
        <w:rPr>
          <w:rFonts w:ascii="Times New Roman" w:cs="Times New Roman" w:eastAsia="Times New Roman" w:hAnsi="Times New Roman"/>
          <w:sz w:val="24"/>
          <w:szCs w:val="24"/>
        </w:rPr>
        <w:t xml:space="preserve">Inrush conditions are generated by sweeping the switching angle α across seven values (0° to 180° in 30° steps) and the residual flux φ_r across nine values (−0.8 to +0.8 p.u.), yielding 63 combinations. Simulations include symmetric, asymmetric, and single-phase residual-flux distributions. Sympathetic inrush is modelled using two parallel transformers, producing 189 deterministic inrush base cases [13].</w:t>
      </w:r>
    </w:p>
    <w:p>
      <w:pPr>
        <w:pStyle w:val="Heading3"/>
        <w:spacing w:after="100" w:before="160"/>
      </w:pPr>
      <w:r>
        <w:rPr>
          <w:rFonts w:ascii="Times New Roman" w:cs="Times New Roman" w:eastAsia="Times New Roman" w:hAnsi="Times New Roman"/>
          <w:b/>
          <w:bCs/>
          <w:i/>
          <w:iCs/>
          <w:sz w:val="24"/>
          <w:szCs w:val="24"/>
        </w:rPr>
        <w:t xml:space="preserve">4.5.4  CT Saturation Conditions</w:t>
      </w:r>
    </w:p>
    <w:p>
      <w:pPr>
        <w:spacing w:after="120" w:line="360" w:lineRule="auto"/>
        <w:jc w:val="both"/>
      </w:pPr>
      <w:r>
        <w:rPr>
          <w:rFonts w:ascii="Times New Roman" w:cs="Times New Roman" w:eastAsia="Times New Roman" w:hAnsi="Times New Roman"/>
          <w:sz w:val="24"/>
          <w:szCs w:val="24"/>
        </w:rPr>
        <w:t xml:space="preserve">CT saturation stress cases vary burden impedance (rated, 2×, 4×), fault-current magnitude (10, 20, 30× rated), and remanent flux (0, +0.5B_r, +0.8B_r), producing 108 dedicated cases spanning both bus sides and worst-case inception angles [14]. These are grouped with external faults for classification (incl. CT saturation).</w:t>
      </w:r>
    </w:p>
    <w:p>
      <w:pPr>
        <w:pStyle w:val="Heading3"/>
        <w:spacing w:after="100" w:before="160"/>
      </w:pPr>
      <w:r>
        <w:rPr>
          <w:rFonts w:ascii="Times New Roman" w:cs="Times New Roman" w:eastAsia="Times New Roman" w:hAnsi="Times New Roman"/>
          <w:b/>
          <w:bCs/>
          <w:i/>
          <w:iCs/>
          <w:sz w:val="24"/>
          <w:szCs w:val="24"/>
        </w:rPr>
        <w:t xml:space="preserve">4.5.5  Normal Operating Conditions</w:t>
      </w:r>
    </w:p>
    <w:p>
      <w:pPr>
        <w:spacing w:after="120" w:line="360" w:lineRule="auto"/>
        <w:jc w:val="both"/>
      </w:pPr>
      <w:r>
        <w:rPr>
          <w:rFonts w:ascii="Times New Roman" w:cs="Times New Roman" w:eastAsia="Times New Roman" w:hAnsi="Times New Roman"/>
          <w:sz w:val="24"/>
          <w:szCs w:val="24"/>
        </w:rPr>
        <w:t xml:space="preserve">Normal operating scenarios cover six load levels (0% to 110% rated), three tap positions, five voltage levels (0.95–1.05 p.u.), and three power factors. The steady-state differential current due to tap mismatch is I_diff,tap = I_load · Δ_tap/(1 + Δ_tap), yielding approximately 5% of load current for a ±5% tap change. A total of 270 deterministic normal-operating cases are generated [15].</w:t>
      </w:r>
    </w:p>
    <w:p>
      <w:pPr>
        <w:pStyle w:val="Heading2"/>
        <w:spacing w:after="120" w:before="200"/>
      </w:pPr>
      <w:r>
        <w:rPr>
          <w:rFonts w:ascii="Times New Roman" w:cs="Times New Roman" w:eastAsia="Times New Roman" w:hAnsi="Times New Roman"/>
          <w:b/>
          <w:bCs/>
          <w:color w:val="1F3864"/>
          <w:sz w:val="28"/>
          <w:szCs w:val="28"/>
        </w:rPr>
        <w:t xml:space="preserve">4.6  Automated Data Generation and Dataset Summary</w:t>
      </w:r>
    </w:p>
    <w:p>
      <w:pPr>
        <w:spacing w:after="120" w:line="360" w:lineRule="auto"/>
        <w:jc w:val="both"/>
      </w:pPr>
      <w:r>
        <w:rPr>
          <w:rFonts w:ascii="Times New Roman" w:cs="Times New Roman" w:eastAsia="Times New Roman" w:hAnsi="Times New Roman"/>
          <w:sz w:val="24"/>
          <w:szCs w:val="24"/>
        </w:rPr>
        <w:t xml:space="preserve">The batch simulation is automated via a MATLAB script (ControlPanel.m) that modifies Simulink parameters via set_param, runs simulations in parallel using parsim, and post-processes results. The signal-conditioning pipeline emulates a merging unit: a 4th-order Butterworth anti-aliasing filter (800 Hz cut-off), 16-bit quantization, and AWGN at SNR levels of 20, 30, and 40 dB. After downsampling to 1600 Hz, each case yields a 1601-sample record per phase, exported to .mat files for the PyTorch training pipeline. Stochastic augmentation randomizes inception angle U(0°, 360°), fault resistance logU(0.01, 50) Ω, source impedance (±5%), and fault location U(2%, 98%), expanding and balancing the deterministic base cases to a final dataset of 12,800 cases (3,200 per class) [16].</w:t>
      </w:r>
    </w:p>
    <w:p>
      <w:pPr>
        <w:spacing w:after="120" w:line="360" w:lineRule="auto"/>
        <w:jc w:val="both"/>
      </w:pPr>
      <w:r>
        <w:rPr>
          <w:rFonts w:ascii="Times New Roman" w:cs="Times New Roman" w:eastAsia="Times New Roman" w:hAnsi="Times New Roman"/>
          <w:sz w:val="24"/>
          <w:szCs w:val="24"/>
        </w:rPr>
        <w:t xml:space="preserve">Table 4.3 presents the final augmented dataset of 12,800 cases, split into training (70%), validation (15%), and testing (15%) subsets via stratified random splitting—yielding 8,960 training, 1,920 validation, and 1,920 testing cases. This corresponds to approximately 61.5 million sampled data points and 20.1 million one-cycle sliding windows for DWT-LSTM training.</w:t>
      </w:r>
    </w:p>
    <w:p>
      <w:pPr>
        <w:spacing w:after="60" w:before="160"/>
        <w:jc w:val="center"/>
      </w:pPr>
      <w:r>
        <w:rPr>
          <w:rFonts w:ascii="Times New Roman" w:cs="Times New Roman" w:eastAsia="Times New Roman" w:hAnsi="Times New Roman"/>
          <w:b/>
          <w:bCs/>
          <w:sz w:val="21"/>
          <w:szCs w:val="21"/>
        </w:rPr>
        <w:t xml:space="preserve">Table 4.3: </w:t>
      </w:r>
      <w:r>
        <w:rPr>
          <w:rFonts w:ascii="Times New Roman" w:cs="Times New Roman" w:eastAsia="Times New Roman" w:hAnsi="Times New Roman"/>
          <w:sz w:val="21"/>
          <w:szCs w:val="21"/>
        </w:rPr>
        <w:t xml:space="preserve">Final Augmented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700"/>
        <w:gridCol w:w="1900"/>
        <w:gridCol w:w="1400"/>
      </w:tblGrid>
      <w:tr>
        <w:trPr>
          <w:tblHeader/>
        </w:trPr>
        <w:tc>
          <w:tcPr>
            <w:tcW w:type="dxa" w:w="4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Classification Category</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Base Cases</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Augmented</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Total</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 Fault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720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2,480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 (incl. CT saturation)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648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2,552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 Current (Direct + Sympathetic)</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3,011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 Operating Condition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270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2,930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10,973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12,800</w:t>
            </w:r>
          </w:p>
        </w:tc>
      </w:tr>
    </w:tbl>
    <w:p>
      <w:pPr>
        <w:pStyle w:val="Heading2"/>
        <w:spacing w:after="120" w:before="200"/>
      </w:pPr>
      <w:r>
        <w:rPr>
          <w:rFonts w:ascii="Times New Roman" w:cs="Times New Roman" w:eastAsia="Times New Roman" w:hAnsi="Times New Roman"/>
          <w:b/>
          <w:bCs/>
          <w:color w:val="1F3864"/>
          <w:sz w:val="28"/>
          <w:szCs w:val="28"/>
        </w:rPr>
        <w:t xml:space="preserve">4.7  Signal Conditioning and Merging-Unit Emulation</w:t>
      </w:r>
    </w:p>
    <w:p>
      <w:pPr>
        <w:spacing w:after="120" w:line="360" w:lineRule="auto"/>
        <w:jc w:val="both"/>
      </w:pPr>
      <w:r>
        <w:rPr>
          <w:rFonts w:ascii="Times New Roman" w:cs="Times New Roman" w:eastAsia="Times New Roman" w:hAnsi="Times New Roman"/>
          <w:sz w:val="24"/>
          <w:szCs w:val="24"/>
        </w:rPr>
        <w:t xml:space="preserve">To ensure that the generated dataset reflects the measurement chain of a modern digital substation rather than idealised simulator output, each raw differential-current record is passed through a signal-conditioning pipeline that emulates an IEC 61850-9-2 merging unit. The pipeline comprises four stages applied in sequence: anti-alias filtering, decimation to the relay rate, quantisation, and noise injection. Table 4.4 lists the parameters of each stage.</w:t>
      </w:r>
    </w:p>
    <w:p>
      <w:pPr>
        <w:spacing w:after="60" w:before="160"/>
        <w:jc w:val="center"/>
      </w:pPr>
      <w:r>
        <w:rPr>
          <w:rFonts w:ascii="Times New Roman" w:cs="Times New Roman" w:eastAsia="Times New Roman" w:hAnsi="Times New Roman"/>
          <w:b/>
          <w:bCs/>
          <w:sz w:val="21"/>
          <w:szCs w:val="21"/>
        </w:rPr>
        <w:t xml:space="preserve">Table 4.4: </w:t>
      </w:r>
      <w:r>
        <w:rPr>
          <w:rFonts w:ascii="Times New Roman" w:cs="Times New Roman" w:eastAsia="Times New Roman" w:hAnsi="Times New Roman"/>
          <w:sz w:val="21"/>
          <w:szCs w:val="21"/>
        </w:rPr>
        <w:t xml:space="preserve">Merging-unit signal-conditioning pipeline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Stage</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Parameter</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Anti-alias filter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Type / order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Butterworth, 4th order</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Anti-alias filter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Cut-off frequency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800 Hz</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Decimation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Native → relay rate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 kHz → 1.6 kHz</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Quantisation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Resolution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16-bit</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Noise injection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AWGN SNR levels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 30, 40 dB (15, 50 dB for stress)</w:t>
            </w:r>
          </w:p>
        </w:tc>
      </w:tr>
    </w:tbl>
    <w:p>
      <w:pPr>
        <w:spacing w:after="120" w:line="360" w:lineRule="auto"/>
        <w:jc w:val="both"/>
      </w:pPr>
      <w:r>
        <w:rPr>
          <w:rFonts w:ascii="Times New Roman" w:cs="Times New Roman" w:eastAsia="Times New Roman" w:hAnsi="Times New Roman"/>
          <w:sz w:val="24"/>
          <w:szCs w:val="24"/>
        </w:rPr>
        <w:t xml:space="preserve">The 800 Hz anti-alias cut-off is matched to the 1.6 kHz Nyquist limit, attenuating components above the eighth harmonic that would otherwise alias into the DWT sub-bands. Sixteen-bit quantisation reproduces the dynamic range of contemporary analogue-to-digital front ends, introducing a quantisation floor well below the noise levels of interest. The additive white Gaussian noise model conservatively represents combined sensor, electromagnetic-interference, and transmission noise; the three nominal SNR levels populate the training set, while the 15 dB and 50 dB extremes are reserved for the out-of-distribution stress tests of Chapter 6. This conditioning chain is applied identically during data generation and during Simulink deployment, so that no distribution shift is introduced between training and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956891"/>
                  <wp:docPr id="7" name="Picture 7"/>
                  <wp:cNvGraphicFramePr>
                    <a:graphicFrameLocks noChangeAspect="1"/>
                  </wp:cNvGraphicFramePr>
                  <a:graphic>
                    <a:graphicData uri="http://schemas.openxmlformats.org/drawingml/2006/picture">
                      <pic:pic>
                        <pic:nvPicPr>
                          <pic:cNvPr id="0" name="noise Merging Unit.png"/>
                          <pic:cNvPicPr/>
                        </pic:nvPicPr>
                        <pic:blipFill>
                          <a:blip r:embed="rId15"/>
                          <a:stretch>
                            <a:fillRect/>
                          </a:stretch>
                        </pic:blipFill>
                        <pic:spPr>
                          <a:xfrm>
                            <a:off x="0" y="0"/>
                            <a:ext cx="4572000" cy="2956891"/>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4.2: </w:t>
      </w:r>
      <w:r>
        <w:rPr>
          <w:rFonts w:ascii="Times New Roman" w:cs="Times New Roman" w:eastAsia="Times New Roman" w:hAnsi="Times New Roman"/>
          <w:sz w:val="21"/>
          <w:szCs w:val="21"/>
        </w:rPr>
        <w:t xml:space="preserve">Block diagram of the merging-unit signal-conditioning and noise-injection pipeline.</w:t>
      </w:r>
    </w:p>
    <w:p>
      <w:pPr>
        <w:pStyle w:val="Heading2"/>
        <w:spacing w:after="120" w:before="200"/>
      </w:pPr>
      <w:r>
        <w:rPr>
          <w:rFonts w:ascii="Times New Roman" w:cs="Times New Roman" w:eastAsia="Times New Roman" w:hAnsi="Times New Roman"/>
          <w:b/>
          <w:bCs/>
          <w:color w:val="1F3864"/>
          <w:sz w:val="28"/>
          <w:szCs w:val="28"/>
        </w:rPr>
        <w:t xml:space="preserve">4.8  Dataset Statistics and Class Balance</w:t>
      </w:r>
    </w:p>
    <w:p>
      <w:pPr>
        <w:spacing w:after="120" w:line="360" w:lineRule="auto"/>
        <w:jc w:val="both"/>
      </w:pPr>
      <w:r>
        <w:rPr>
          <w:rFonts w:ascii="Times New Roman" w:cs="Times New Roman" w:eastAsia="Times New Roman" w:hAnsi="Times New Roman"/>
          <w:sz w:val="24"/>
          <w:szCs w:val="24"/>
        </w:rPr>
        <w:t xml:space="preserve">The final balanced corpus comprises 3,200 cases per class (12,800 total), with stratified 70/15/15 partitioning preserving class proportions in every subset. Balancing is achieved by combining deterministic base scenarios (Section 4.5) with stochastic augmentation that randomises inception angle, fault resistance, source impedance, and fault location, ensuring that each class spans a comparable region of the operating-condition space. Figure 4.3 visualises the composition of the dataset across classes and subsets, and the parameter ranges spanned by the augmentation are summarised in Table 4.5.</w:t>
      </w:r>
    </w:p>
    <w:p>
      <w:pPr>
        <w:spacing w:after="60" w:before="160"/>
        <w:jc w:val="center"/>
      </w:pPr>
      <w:r>
        <w:rPr>
          <w:rFonts w:ascii="Times New Roman" w:cs="Times New Roman" w:eastAsia="Times New Roman" w:hAnsi="Times New Roman"/>
          <w:b/>
          <w:bCs/>
          <w:sz w:val="21"/>
          <w:szCs w:val="21"/>
        </w:rPr>
        <w:t xml:space="preserve">Table 4.5: </w:t>
      </w:r>
      <w:r>
        <w:rPr>
          <w:rFonts w:ascii="Times New Roman" w:cs="Times New Roman" w:eastAsia="Times New Roman" w:hAnsi="Times New Roman"/>
          <w:sz w:val="21"/>
          <w:szCs w:val="21"/>
        </w:rPr>
        <w:t xml:space="preserve">Stochastic augmentation parameter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Distribution</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Range</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inception angle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 360°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resistance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Log-uniform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 – 50 Ω</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Source impedance variation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location (winding)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 – 98%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Residual flux</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−0.8 – +0.8 p.u.</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Loading level</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Uniform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 110% 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143022"/>
                  <wp:docPr id="8" name="Picture 8"/>
                  <wp:cNvGraphicFramePr>
                    <a:graphicFrameLocks noChangeAspect="1"/>
                  </wp:cNvGraphicFramePr>
                  <a:graphic>
                    <a:graphicData uri="http://schemas.openxmlformats.org/drawingml/2006/picture">
                      <pic:pic>
                        <pic:nvPicPr>
                          <pic:cNvPr id="0" name="12_Dataset_Composition.png"/>
                          <pic:cNvPicPr/>
                        </pic:nvPicPr>
                        <pic:blipFill>
                          <a:blip r:embed="rId16"/>
                          <a:stretch>
                            <a:fillRect/>
                          </a:stretch>
                        </pic:blipFill>
                        <pic:spPr>
                          <a:xfrm>
                            <a:off x="0" y="0"/>
                            <a:ext cx="4572000" cy="3143022"/>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4.3: </w:t>
      </w:r>
      <w:r>
        <w:rPr>
          <w:rFonts w:ascii="Times New Roman" w:cs="Times New Roman" w:eastAsia="Times New Roman" w:hAnsi="Times New Roman"/>
          <w:sz w:val="21"/>
          <w:szCs w:val="21"/>
        </w:rPr>
        <w:t xml:space="preserve">Composition of the balanced 12,800-case dataset across classes and train/validation/test subsets.</w:t>
      </w:r>
    </w:p>
    <w:p>
      <w:pPr>
        <w:pStyle w:val="Heading1"/>
        <w:pageBreakBefore/>
        <w:spacing w:after="200" w:before="240"/>
      </w:pPr>
      <w:r>
        <w:rPr>
          <w:rFonts w:ascii="Times New Roman" w:cs="Times New Roman" w:eastAsia="Times New Roman" w:hAnsi="Times New Roman"/>
          <w:b/>
          <w:bCs/>
          <w:color w:val="1F3864"/>
          <w:sz w:val="32"/>
          <w:szCs w:val="32"/>
        </w:rPr>
        <w:t xml:space="preserve">CHAPTER 5   PROPOSED DWT-LSTM METHODOLOGY</w:t>
      </w:r>
    </w:p>
    <w:p>
      <w:pPr>
        <w:pStyle w:val="Heading2"/>
        <w:spacing w:after="120" w:before="200"/>
      </w:pPr>
      <w:r>
        <w:rPr>
          <w:rFonts w:ascii="Times New Roman" w:cs="Times New Roman" w:eastAsia="Times New Roman" w:hAnsi="Times New Roman"/>
          <w:b/>
          <w:bCs/>
          <w:color w:val="1F3864"/>
          <w:sz w:val="28"/>
          <w:szCs w:val="28"/>
        </w:rPr>
        <w:t xml:space="preserve">5.1  Introduction</w:t>
      </w:r>
    </w:p>
    <w:p>
      <w:pPr>
        <w:spacing w:after="120" w:line="360" w:lineRule="auto"/>
        <w:jc w:val="both"/>
      </w:pPr>
      <w:r>
        <w:rPr>
          <w:rFonts w:ascii="Times New Roman" w:cs="Times New Roman" w:eastAsia="Times New Roman" w:hAnsi="Times New Roman"/>
          <w:sz w:val="24"/>
          <w:szCs w:val="24"/>
        </w:rPr>
        <w:t xml:space="preserve">Conventional harmonic-restraint differential protection for power transformers [4] suffers from well-documented limitations: second-harmonic content in modern high-permeability transformers can fall below typical 15–20% restraint thresholds during inrush, internal faults with CT saturation generate even-harmonic content that causes failure to trip, and power electronic devices alter harmonic signatures unpredictably. This chapter presents the proposed hybrid adaptive DWT-LSTM framework [1, 2] that addresses these limitations through a two-step architecture combining MATLAB/Simulink for physical power-system modelling and real-time deployment with Python/PyTorch for deep-learning model training. The framework decomposes differential current signals using a three-level Daubechies-4 (db4) DWT and extracts two energy features per phase based on Parseval’s theorem, yielding a compact 6-dimensional feature vector accumulated over a 32-sample full-cycle buffer. A two-layer LSTM network with global temporal attention processes the resulting [1, 32, 6] tensor to classify events into four categories: internal fault, external fault, inrush current, and normal condition. Critically, the LSTM operates as a supervisory veto gate within a hybrid decision engine: a trip command is issued only when both the classical adaptive 87T element operates and the LSTM classifies the event as an internal fault with confidence exceeding a predefined threshold.</w:t>
      </w:r>
    </w:p>
    <w:p>
      <w:pPr>
        <w:pStyle w:val="Heading2"/>
        <w:spacing w:after="120" w:before="200"/>
      </w:pPr>
      <w:r>
        <w:rPr>
          <w:rFonts w:ascii="Times New Roman" w:cs="Times New Roman" w:eastAsia="Times New Roman" w:hAnsi="Times New Roman"/>
          <w:b/>
          <w:bCs/>
          <w:color w:val="1F3864"/>
          <w:sz w:val="28"/>
          <w:szCs w:val="28"/>
        </w:rPr>
        <w:t xml:space="preserve">5.2  Framework Architecture Overview</w:t>
      </w:r>
    </w:p>
    <w:p>
      <w:pPr>
        <w:pStyle w:val="Heading3"/>
        <w:spacing w:after="100" w:before="160"/>
      </w:pPr>
      <w:r>
        <w:rPr>
          <w:rFonts w:ascii="Times New Roman" w:cs="Times New Roman" w:eastAsia="Times New Roman" w:hAnsi="Times New Roman"/>
          <w:b/>
          <w:bCs/>
          <w:i/>
          <w:iCs/>
          <w:sz w:val="24"/>
          <w:szCs w:val="24"/>
        </w:rPr>
        <w:t xml:space="preserve">5.2.1  Two-Step Architectural Approach</w:t>
      </w:r>
    </w:p>
    <w:p>
      <w:pPr>
        <w:spacing w:after="120" w:line="360" w:lineRule="auto"/>
        <w:jc w:val="both"/>
      </w:pPr>
      <w:r>
        <w:rPr>
          <w:rFonts w:ascii="Times New Roman" w:cs="Times New Roman" w:eastAsia="Times New Roman" w:hAnsi="Times New Roman"/>
          <w:b/>
          <w:bCs/>
          <w:sz w:val="24"/>
          <w:szCs w:val="24"/>
        </w:rPr>
        <w:t xml:space="preserve">Step 1 — MATLAB/Simulink Physical Modelling and Data Generation.</w:t>
      </w:r>
      <w:r>
        <w:rPr>
          <w:rFonts w:ascii="Times New Roman" w:cs="Times New Roman" w:eastAsia="Times New Roman" w:hAnsi="Times New Roman"/>
          <w:sz w:val="24"/>
          <w:szCs w:val="24"/>
        </w:rPr>
        <w:t xml:space="preserve"> A detailed electromagnetic-transient model is constructed in MATLAB/Simulink using the Simscape Electrical toolbox, including the three-phase power transformer (with nonlinear saturation and remanent flux), CTs on both HV and LV sides (with saturation and remanence), the transmission network, and configurable fault modules. The differential current for each phase is computed at a native relay sampling rate of 1.6 kHz (32 samples per 50 Hz cycle), yielding 1601 discrete time steps for a 1.0-second simulation. Three-phase differential current waveforms with event labels are exported to .mat files in MATLAB’s column-major layout.</w:t>
      </w:r>
    </w:p>
    <w:p>
      <w:pPr>
        <w:spacing w:after="120" w:line="360" w:lineRule="auto"/>
        <w:jc w:val="both"/>
      </w:pPr>
      <w:r>
        <w:rPr>
          <w:rFonts w:ascii="Times New Roman" w:cs="Times New Roman" w:eastAsia="Times New Roman" w:hAnsi="Times New Roman"/>
          <w:b/>
          <w:bCs/>
          <w:sz w:val="24"/>
          <w:szCs w:val="24"/>
        </w:rPr>
        <w:t xml:space="preserve">Step 2 — Python/PyTorch AI Training and ONNX Export.</w:t>
      </w:r>
      <w:r>
        <w:rPr>
          <w:rFonts w:ascii="Times New Roman" w:cs="Times New Roman" w:eastAsia="Times New Roman" w:hAnsi="Times New Roman"/>
          <w:sz w:val="24"/>
          <w:szCs w:val="24"/>
        </w:rPr>
        <w:t xml:space="preserve"> The .mat files are loaded via scipy.io.loadmat, converted from column-major to row-major layout for PyTorch, and processed by a DWT feature-extraction engine (PyWavelets) that computes approximation and detail energy features from 16-sample half-cycle windows. The resulting tensors of shape [1, 32, 6] feed into a PyTorch LSTM model with global temporal attention, trained using the Adam optimizer with weighted cross-entropy loss. The trained model is exported to ONNX at Opset 14 via torch.onnx.export, producing a stateless inference graph.</w:t>
      </w:r>
    </w:p>
    <w:p>
      <w:pPr>
        <w:spacing w:after="120" w:line="360" w:lineRule="auto"/>
        <w:jc w:val="both"/>
      </w:pPr>
      <w:r>
        <w:rPr>
          <w:rFonts w:ascii="Times New Roman" w:cs="Times New Roman" w:eastAsia="Times New Roman" w:hAnsi="Times New Roman"/>
          <w:b/>
          <w:bCs/>
          <w:sz w:val="24"/>
          <w:szCs w:val="24"/>
        </w:rPr>
        <w:t xml:space="preserve">Step 2b — Simulink Deployment.</w:t>
      </w:r>
      <w:r>
        <w:rPr>
          <w:rFonts w:ascii="Times New Roman" w:cs="Times New Roman" w:eastAsia="Times New Roman" w:hAnsi="Times New Roman"/>
          <w:sz w:val="24"/>
          <w:szCs w:val="24"/>
        </w:rPr>
        <w:t xml:space="preserve"> The ONNX model is loaded into Simulink via the Deep Learning Toolbox Predict block, which performs real-time inference at 1.6 kHz. The Predict block receives the 6-dimensional energy feature vector at each time step, buffers it internally into the [1, 32, 6] tensor, and outputs a confidence score and class prediction that feed the hybrid decision engine alongside the classical adaptive 87T element. The two-step approach enables independent development and validation of the power-system model and AI model, GPU-accelerated training in Python, vendor-neutral ONNX portability, and native closed-loop HIL testing via Simulink.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197027"/>
                  <wp:docPr id="9" name="Picture 9"/>
                  <wp:cNvGraphicFramePr>
                    <a:graphicFrameLocks noChangeAspect="1"/>
                  </wp:cNvGraphicFramePr>
                  <a:graphic>
                    <a:graphicData uri="http://schemas.openxmlformats.org/drawingml/2006/picture">
                      <pic:pic>
                        <pic:nvPicPr>
                          <pic:cNvPr id="0" name="two_step_development_architecture.png"/>
                          <pic:cNvPicPr/>
                        </pic:nvPicPr>
                        <pic:blipFill>
                          <a:blip r:embed="rId17"/>
                          <a:stretch>
                            <a:fillRect/>
                          </a:stretch>
                        </pic:blipFill>
                        <pic:spPr>
                          <a:xfrm>
                            <a:off x="0" y="0"/>
                            <a:ext cx="4572000" cy="1197027"/>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5.1: </w:t>
      </w:r>
      <w:r>
        <w:rPr>
          <w:rFonts w:ascii="Times New Roman" w:cs="Times New Roman" w:eastAsia="Times New Roman" w:hAnsi="Times New Roman"/>
          <w:sz w:val="21"/>
          <w:szCs w:val="21"/>
        </w:rPr>
        <w:t xml:space="preserve">Two-step development and deployment architecture (MATLAB/Simulink ↔ PyTorch ↔ ONNX).</w:t>
      </w:r>
    </w:p>
    <w:p>
      <w:pPr>
        <w:pStyle w:val="Heading3"/>
        <w:spacing w:after="100" w:before="160"/>
      </w:pPr>
      <w:r>
        <w:rPr>
          <w:rFonts w:ascii="Times New Roman" w:cs="Times New Roman" w:eastAsia="Times New Roman" w:hAnsi="Times New Roman"/>
          <w:b/>
          <w:bCs/>
          <w:i/>
          <w:iCs/>
          <w:sz w:val="24"/>
          <w:szCs w:val="24"/>
        </w:rPr>
        <w:t xml:space="preserve">5.2.2  The Hybrid Decision Handshake</w:t>
      </w:r>
    </w:p>
    <w:p>
      <w:pPr>
        <w:spacing w:after="120" w:line="360" w:lineRule="auto"/>
        <w:jc w:val="both"/>
      </w:pPr>
      <w:r>
        <w:rPr>
          <w:rFonts w:ascii="Times New Roman" w:cs="Times New Roman" w:eastAsia="Times New Roman" w:hAnsi="Times New Roman"/>
          <w:sz w:val="24"/>
          <w:szCs w:val="24"/>
        </w:rPr>
        <w:t xml:space="preserve">Neural-network-based approaches for transformer differential protection have been explored extensively [9, 15, 16], with recent work on deep-learning integration [3, 23]. The proposed LSTM classifier operates as a supervisory veto gate rather than a replacement for the classical relay, motivated by the requirement for deterministic, explainable relay behaviour. The hybrid decision handshake implements a logical AND condition:</w:t>
      </w:r>
    </w:p>
    <w:p>
      <w:pPr>
        <w:tabs>
          <w:tab w:val="right" w:pos="9360"/>
        </w:tabs>
        <w:spacing w:after="60" w:before="60"/>
        <w:jc w:val="center"/>
      </w:pPr>
      <w:r>
        <w:rPr>
          <w:rFonts w:ascii="Times New Roman" w:cs="Times New Roman" w:eastAsia="Times New Roman" w:hAnsi="Times New Roman"/>
          <w:i/>
          <w:iCs/>
          <w:sz w:val="24"/>
          <w:szCs w:val="24"/>
        </w:rPr>
        <w:t xml:space="preserve">TRIP = Adaptive_87T ∧ (ĉ = Internal Fault) ∧ (Conf ≥ θ_conf)</w:t>
      </w:r>
      <w:r>
        <w:rPr>
          <w:rFonts w:ascii="Times New Roman" w:cs="Times New Roman" w:eastAsia="Times New Roman" w:hAnsi="Times New Roman"/>
          <w:sz w:val="24"/>
          <w:szCs w:val="24"/>
        </w:rPr>
        <w:t xml:space="preserve">	(5.1)</w:t>
      </w:r>
    </w:p>
    <w:p>
      <w:pPr>
        <w:spacing w:after="120" w:line="360" w:lineRule="auto"/>
        <w:jc w:val="both"/>
      </w:pPr>
      <w:r>
        <w:rPr>
          <w:rFonts w:ascii="Times New Roman" w:cs="Times New Roman" w:eastAsia="Times New Roman" w:hAnsi="Times New Roman"/>
          <w:sz w:val="24"/>
          <w:szCs w:val="24"/>
        </w:rPr>
        <w:t xml:space="preserve">where Adaptive_87T is the binary output of the classical adaptive differential relay element, ĉ is the LSTM-predicted class label, and Conf is the LSTM confidence score. The trip command is issued only when all three conditions are simultaneously satisfied. This provides: (1) dependability preservation—the classical 87T element retains primary fault-detection responsibility; (2) security enhancement—the LSTM veto blocks false trips during inrush, CT saturation, and external faults; and (3) fail-safe operation—on LSTM inference failure, the logic defaults to the classical 87T output. The confidence threshold θ_conf further blocks trips during ambiguous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194163"/>
                  <wp:docPr id="10" name="Picture 10"/>
                  <wp:cNvGraphicFramePr>
                    <a:graphicFrameLocks noChangeAspect="1"/>
                  </wp:cNvGraphicFramePr>
                  <a:graphic>
                    <a:graphicData uri="http://schemas.openxmlformats.org/drawingml/2006/picture">
                      <pic:pic>
                        <pic:nvPicPr>
                          <pic:cNvPr id="0" name="hybrid_protection_framework_flowchart.png"/>
                          <pic:cNvPicPr/>
                        </pic:nvPicPr>
                        <pic:blipFill>
                          <a:blip r:embed="rId18"/>
                          <a:stretch>
                            <a:fillRect/>
                          </a:stretch>
                        </pic:blipFill>
                        <pic:spPr>
                          <a:xfrm>
                            <a:off x="0" y="0"/>
                            <a:ext cx="4572000" cy="2194163"/>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5.2: </w:t>
      </w:r>
      <w:r>
        <w:rPr>
          <w:rFonts w:ascii="Times New Roman" w:cs="Times New Roman" w:eastAsia="Times New Roman" w:hAnsi="Times New Roman"/>
          <w:sz w:val="21"/>
          <w:szCs w:val="21"/>
        </w:rPr>
        <w:t xml:space="preserve">Hybrid veto/AND-gate decision logic combining the adaptive 87T element and the LSTM classifier.</w:t>
      </w:r>
    </w:p>
    <w:p>
      <w:pPr>
        <w:pStyle w:val="Heading3"/>
        <w:spacing w:after="100" w:before="160"/>
      </w:pPr>
      <w:r>
        <w:rPr>
          <w:rFonts w:ascii="Times New Roman" w:cs="Times New Roman" w:eastAsia="Times New Roman" w:hAnsi="Times New Roman"/>
          <w:b/>
          <w:bCs/>
          <w:i/>
          <w:iCs/>
          <w:sz w:val="24"/>
          <w:szCs w:val="24"/>
        </w:rPr>
        <w:t xml:space="preserve">5.2.3  Block Diagram Description</w:t>
      </w:r>
    </w:p>
    <w:p>
      <w:pPr>
        <w:spacing w:after="120" w:line="360" w:lineRule="auto"/>
        <w:jc w:val="both"/>
      </w:pPr>
      <w:r>
        <w:rPr>
          <w:rFonts w:ascii="Times New Roman" w:cs="Times New Roman" w:eastAsia="Times New Roman" w:hAnsi="Times New Roman"/>
          <w:sz w:val="24"/>
          <w:szCs w:val="24"/>
        </w:rPr>
        <w:t xml:space="preserve">The complete signal flow from raw CT secondary currents to the final trip/block command comprises seven sequential stages. Stage 1 — CT Secondary and Merging Unit: three-phase secondary currents are digitised at f_s = 1.6 kHz via IEC 61850-9-2 SV, and the differential current for each phase is computed as i_diff,φ(n) = i_HV,φ(n) + i′_LV,φ(n), where i′_LV,φ(n) includes CT ratio correction and Yd1 phase-shift compensation (−30°). Stage 2 — Half-Cycle Sliding Window: each phase is buffered into a 16-sample window (10 ms) updated every 0.625 ms. Stage 3 — DWT Engine: each window undergoes 3-level db4 decomposition, yielding a 6-element energy feature vector. Stage 4 — Full-Cycle Buffer: features are accumulated over 32 samples and reshaped to [1, 32, 6]. Stage 5 — LSTM Classification: the ONNX Predict block produces the softmax probability vector and confidence score Conf = max(ŷ). Stage 6 — Hybrid Decision Engine: the AND condition of Equation (5.1) determines the trip/block command. Stage 7 — Circuit Breaker Trip Coil: the trip command is latched and sent to the breaker with a minimum duration of 40–60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082584"/>
                  <wp:docPr id="11" name="Picture 11"/>
                  <wp:cNvGraphicFramePr>
                    <a:graphicFrameLocks noChangeAspect="1"/>
                  </wp:cNvGraphicFramePr>
                  <a:graphic>
                    <a:graphicData uri="http://schemas.openxmlformats.org/drawingml/2006/picture">
                      <pic:pic>
                        <pic:nvPicPr>
                          <pic:cNvPr id="0" name="proposed_protection_signal_flow.png"/>
                          <pic:cNvPicPr/>
                        </pic:nvPicPr>
                        <pic:blipFill>
                          <a:blip r:embed="rId19"/>
                          <a:stretch>
                            <a:fillRect/>
                          </a:stretch>
                        </pic:blipFill>
                        <pic:spPr>
                          <a:xfrm>
                            <a:off x="0" y="0"/>
                            <a:ext cx="4572000" cy="1082584"/>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5.3: </w:t>
      </w:r>
      <w:r>
        <w:rPr>
          <w:rFonts w:ascii="Times New Roman" w:cs="Times New Roman" w:eastAsia="Times New Roman" w:hAnsi="Times New Roman"/>
          <w:sz w:val="21"/>
          <w:szCs w:val="21"/>
        </w:rPr>
        <w:t xml:space="preserve">End-to-end seven-stage signal flow of the proposed protection scheme.</w:t>
      </w:r>
    </w:p>
    <w:p>
      <w:pPr>
        <w:pStyle w:val="Heading2"/>
        <w:spacing w:after="120" w:before="200"/>
      </w:pPr>
      <w:r>
        <w:rPr>
          <w:rFonts w:ascii="Times New Roman" w:cs="Times New Roman" w:eastAsia="Times New Roman" w:hAnsi="Times New Roman"/>
          <w:b/>
          <w:bCs/>
          <w:color w:val="1F3864"/>
          <w:sz w:val="28"/>
          <w:szCs w:val="28"/>
        </w:rPr>
        <w:t xml:space="preserve">5.3  Data Preprocessing and Digital Sampling</w:t>
      </w:r>
    </w:p>
    <w:p>
      <w:pPr>
        <w:pStyle w:val="Heading3"/>
        <w:spacing w:after="100" w:before="160"/>
      </w:pPr>
      <w:r>
        <w:rPr>
          <w:rFonts w:ascii="Times New Roman" w:cs="Times New Roman" w:eastAsia="Times New Roman" w:hAnsi="Times New Roman"/>
          <w:b/>
          <w:bCs/>
          <w:i/>
          <w:iCs/>
          <w:sz w:val="24"/>
          <w:szCs w:val="24"/>
        </w:rPr>
        <w:t xml:space="preserve">5.3.1  1.6 kHz Discrete Sampling Rate</w:t>
      </w:r>
    </w:p>
    <w:p>
      <w:pPr>
        <w:spacing w:after="120" w:line="360" w:lineRule="auto"/>
        <w:jc w:val="both"/>
      </w:pPr>
      <w:r>
        <w:rPr>
          <w:rFonts w:ascii="Times New Roman" w:cs="Times New Roman" w:eastAsia="Times New Roman" w:hAnsi="Times New Roman"/>
          <w:sz w:val="24"/>
          <w:szCs w:val="24"/>
        </w:rPr>
        <w:t xml:space="preserve">The framework adopts f_s = 1.6 kHz, providing 32 samples per 50 Hz cycle, f_s = N × f_0 = 32 × 50 = 1600 Hz, with inter-sample spacing Δt = 1/f_s = 0.625 ms. This rate satisfies the Nyquist criterion for components up to the 10th harmonic (500 Hz), provides a Nyquist frequency of 800 Hz, and uses a power-of-two sample count enabling clean dyadic DWT decomposition of the 16-sample half-cycle window (16→8→4→2 coefficients) without zero-padding. The 1.6 kHz rate also aligns with IEC 61850-9-2 merging-unit capabilities. The relay/feature-extraction subsystem operates at a sample time of T_s = 6.25×10⁻⁴ s (1.6 kHz), producing 1601 samples per 1.0-second simulation, while the underlying Simscape electromagnetic-transient solver runs at 10 µs (Section 4.2.2).</w:t>
      </w:r>
    </w:p>
    <w:p>
      <w:pPr>
        <w:pStyle w:val="Heading3"/>
        <w:spacing w:after="100" w:before="160"/>
      </w:pPr>
      <w:r>
        <w:rPr>
          <w:rFonts w:ascii="Times New Roman" w:cs="Times New Roman" w:eastAsia="Times New Roman" w:hAnsi="Times New Roman"/>
          <w:b/>
          <w:bCs/>
          <w:i/>
          <w:iCs/>
          <w:sz w:val="24"/>
          <w:szCs w:val="24"/>
        </w:rPr>
        <w:t xml:space="preserve">5.3.2  Sliding Window Implementation</w:t>
      </w:r>
    </w:p>
    <w:p>
      <w:pPr>
        <w:spacing w:after="120" w:line="360" w:lineRule="auto"/>
        <w:jc w:val="both"/>
      </w:pPr>
      <w:r>
        <w:rPr>
          <w:rFonts w:ascii="Times New Roman" w:cs="Times New Roman" w:eastAsia="Times New Roman" w:hAnsi="Times New Roman"/>
          <w:sz w:val="24"/>
          <w:szCs w:val="24"/>
        </w:rPr>
        <w:t xml:space="preserve">The framework employs two sliding windows at different time scales. The half-cycle window for DWT (16 samples, 10 ms) buffers the most recent differential current samples for each phase, shifting forward by one sample at each 1.6 kHz acquisition. The 16-sample length matches the dyadic requirements of the 3-level DWT, producing 2 coefficients at the deepest level—the minimum for meaningful energy computation. The full-cycle buffer for the LSTM (32 samples, 20 ms) accumulates the 6-element feature vectors into a 32×6 matrix, reshaped to [1, 32, 6] before inference. This decouples the feature-extraction time scale (half-cycle, for fast response to transients) from the classification time scale (full-cycle, for temporal pattern discrimination). In Simulink, both buffers use MATLAB Function blocks with persistent circular buffers, and the reshape uses Permute Dimensions and Reshape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743200"/>
                  <wp:docPr id="12" name="Picture 12"/>
                  <wp:cNvGraphicFramePr>
                    <a:graphicFrameLocks noChangeAspect="1"/>
                  </wp:cNvGraphicFramePr>
                  <a:graphic>
                    <a:graphicData uri="http://schemas.openxmlformats.org/drawingml/2006/picture">
                      <pic:pic>
                        <pic:nvPicPr>
                          <pic:cNvPr id="0" name="dual_sliding_window_timing.png"/>
                          <pic:cNvPicPr/>
                        </pic:nvPicPr>
                        <pic:blipFill>
                          <a:blip r:embed="rId20"/>
                          <a:stretch>
                            <a:fillRect/>
                          </a:stretch>
                        </pic:blipFill>
                        <pic:spPr>
                          <a:xfrm>
                            <a:off x="0" y="0"/>
                            <a:ext cx="4572000" cy="2743200"/>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5.4: </w:t>
      </w:r>
      <w:r>
        <w:rPr>
          <w:rFonts w:ascii="Times New Roman" w:cs="Times New Roman" w:eastAsia="Times New Roman" w:hAnsi="Times New Roman"/>
          <w:sz w:val="21"/>
          <w:szCs w:val="21"/>
        </w:rPr>
        <w:t xml:space="preserve">Dual sliding-window timing: half-cycle DWT window and full-cycle LSTM buffer.</w:t>
      </w:r>
    </w:p>
    <w:p>
      <w:pPr>
        <w:pStyle w:val="Heading3"/>
        <w:spacing w:after="100" w:before="160"/>
      </w:pPr>
      <w:r>
        <w:rPr>
          <w:rFonts w:ascii="Times New Roman" w:cs="Times New Roman" w:eastAsia="Times New Roman" w:hAnsi="Times New Roman"/>
          <w:b/>
          <w:bCs/>
          <w:i/>
          <w:iCs/>
          <w:sz w:val="24"/>
          <w:szCs w:val="24"/>
        </w:rPr>
        <w:t xml:space="preserve">5.3.3  Column-Major to Row-Major Data Conversion</w:t>
      </w:r>
    </w:p>
    <w:p>
      <w:pPr>
        <w:spacing w:after="120" w:line="360" w:lineRule="auto"/>
        <w:jc w:val="both"/>
      </w:pPr>
      <w:r>
        <w:rPr>
          <w:rFonts w:ascii="Times New Roman" w:cs="Times New Roman" w:eastAsia="Times New Roman" w:hAnsi="Times New Roman"/>
          <w:sz w:val="24"/>
          <w:szCs w:val="24"/>
        </w:rPr>
        <w:t xml:space="preserve">MATLAB stores arrays in column-major (Fortran-style) order while PyTorch uses row-major (C-style) order. The .mat file stores data as 1601×3 (time steps × phases) in column-major order. After loading via scipy.io.loadmat, an explicit transpose produces [N_scenarios, 3, 1601] tensors for PyTorch, with np.ascontiguousarray ensuring physical memory rearrangement for optimal GPU access. The complete data pipeline is summarised in Table 5.1.</w:t>
      </w:r>
    </w:p>
    <w:p>
      <w:pPr>
        <w:spacing w:after="60" w:before="160"/>
        <w:jc w:val="center"/>
      </w:pPr>
      <w:r>
        <w:rPr>
          <w:rFonts w:ascii="Times New Roman" w:cs="Times New Roman" w:eastAsia="Times New Roman" w:hAnsi="Times New Roman"/>
          <w:b/>
          <w:bCs/>
          <w:sz w:val="21"/>
          <w:szCs w:val="21"/>
        </w:rPr>
        <w:t xml:space="preserve">Table 5.1: </w:t>
      </w:r>
      <w:r>
        <w:rPr>
          <w:rFonts w:ascii="Times New Roman" w:cs="Times New Roman" w:eastAsia="Times New Roman" w:hAnsi="Times New Roman"/>
          <w:sz w:val="21"/>
          <w:szCs w:val="21"/>
        </w:rPr>
        <w:t xml:space="preserve">Data Pipeline: MATLAB to Simulink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rPr>
          <w:tblHeader/>
        </w:trPr>
        <w:tc>
          <w:tcPr>
            <w:tcW w:type="dxa" w:w="25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Stage</w:t>
            </w:r>
          </w:p>
        </w:tc>
        <w:tc>
          <w:tcPr>
            <w:tcW w:type="dxa" w:w="25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Tool</w:t>
            </w:r>
          </w:p>
        </w:tc>
        <w:tc>
          <w:tcPr>
            <w:tcW w:type="dxa" w:w="252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Data Format</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Dimensions</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Simulation output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MATLAB/Simulink</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 (column-major)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1601×3</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 loading</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Python/scipy</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NumPy (transposed)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3×1601</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Feature extraction</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Python/PyWavelets</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NumPy array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N_windows×6</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Tensor assembly</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PyTorch</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torch.Tensor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[B, 32, 6]</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Model export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PyTorch → ONNX</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.onnx (Opset 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 32, 6]</w:t>
            </w:r>
          </w:p>
        </w:tc>
      </w:tr>
      <w:tr>
        <w:trPr>
          <w:tblHeader w:val="false"/>
        </w:trPr>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Simulink inference</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Simulink Predict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dlarray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 32, 6]</w:t>
            </w:r>
          </w:p>
        </w:tc>
      </w:tr>
    </w:tbl>
    <w:p>
      <w:pPr>
        <w:pStyle w:val="Heading2"/>
        <w:spacing w:after="120" w:before="200"/>
      </w:pPr>
      <w:r>
        <w:rPr>
          <w:rFonts w:ascii="Times New Roman" w:cs="Times New Roman" w:eastAsia="Times New Roman" w:hAnsi="Times New Roman"/>
          <w:b/>
          <w:bCs/>
          <w:color w:val="1F3864"/>
          <w:sz w:val="28"/>
          <w:szCs w:val="28"/>
        </w:rPr>
        <w:t xml:space="preserve">5.4  DWT Engine and Feature Extraction</w:t>
      </w:r>
    </w:p>
    <w:p>
      <w:pPr>
        <w:pStyle w:val="Heading3"/>
        <w:spacing w:after="100" w:before="160"/>
      </w:pPr>
      <w:r>
        <w:rPr>
          <w:rFonts w:ascii="Times New Roman" w:cs="Times New Roman" w:eastAsia="Times New Roman" w:hAnsi="Times New Roman"/>
          <w:b/>
          <w:bCs/>
          <w:i/>
          <w:iCs/>
          <w:sz w:val="24"/>
          <w:szCs w:val="24"/>
        </w:rPr>
        <w:t xml:space="preserve">5.4.1  Daubechies-4 (db4) Mother Wavelet Selection</w:t>
      </w:r>
    </w:p>
    <w:p>
      <w:pPr>
        <w:spacing w:after="120" w:line="360" w:lineRule="auto"/>
        <w:jc w:val="both"/>
      </w:pPr>
      <w:r>
        <w:rPr>
          <w:rFonts w:ascii="Times New Roman" w:cs="Times New Roman" w:eastAsia="Times New Roman" w:hAnsi="Times New Roman"/>
          <w:sz w:val="24"/>
          <w:szCs w:val="24"/>
        </w:rPr>
        <w:t xml:space="preserve">The db4 wavelet is selected [6, 14, 18] for its compact support (L = 8 coefficients, 4.375 ms at 1.6 kHz), 4 vanishing moments, orthogonality, and morphological similarity to fault inception transients. Its jagged, asymmetrical shape closely matches the abrupt, non-sinusoidal wavefronts of fault-induced discontinuities, enabling efficient energy capture with minimal coefficient spread—unlike smoother wavelets (e.g., Morlet) that disperse energy across levels. The 8-coefficient filter length provides sharp temporal localization within the 16-sample half-cycle window while maintaining adequate frequency selectivity.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289217"/>
                  <wp:docPr id="13" name="Picture 13"/>
                  <wp:cNvGraphicFramePr>
                    <a:graphicFrameLocks noChangeAspect="1"/>
                  </wp:cNvGraphicFramePr>
                  <a:graphic>
                    <a:graphicData uri="http://schemas.openxmlformats.org/drawingml/2006/picture">
                      <pic:pic>
                        <pic:nvPicPr>
                          <pic:cNvPr id="0" name="db4_wavelet_filterbank.png"/>
                          <pic:cNvPicPr/>
                        </pic:nvPicPr>
                        <pic:blipFill>
                          <a:blip r:embed="rId21"/>
                          <a:stretch>
                            <a:fillRect/>
                          </a:stretch>
                        </pic:blipFill>
                        <pic:spPr>
                          <a:xfrm>
                            <a:off x="0" y="0"/>
                            <a:ext cx="4572000" cy="2289217"/>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5.5: </w:t>
      </w:r>
      <w:r>
        <w:rPr>
          <w:rFonts w:ascii="Times New Roman" w:cs="Times New Roman" w:eastAsia="Times New Roman" w:hAnsi="Times New Roman"/>
          <w:sz w:val="21"/>
          <w:szCs w:val="21"/>
        </w:rPr>
        <w:t xml:space="preserve">db4 mother wavelet and the three-level dyadic filter-bank decomposition tree.</w:t>
      </w:r>
    </w:p>
    <w:p>
      <w:pPr>
        <w:pStyle w:val="Heading3"/>
        <w:spacing w:after="100" w:before="160"/>
      </w:pPr>
      <w:r>
        <w:rPr>
          <w:rFonts w:ascii="Times New Roman" w:cs="Times New Roman" w:eastAsia="Times New Roman" w:hAnsi="Times New Roman"/>
          <w:b/>
          <w:bCs/>
          <w:i/>
          <w:iCs/>
          <w:sz w:val="24"/>
          <w:szCs w:val="24"/>
        </w:rPr>
        <w:t xml:space="preserve">5.4.2  Three-Level Wavelet Decomposition</w:t>
      </w:r>
    </w:p>
    <w:p>
      <w:pPr>
        <w:spacing w:after="120" w:line="360" w:lineRule="auto"/>
        <w:jc w:val="both"/>
      </w:pPr>
      <w:r>
        <w:rPr>
          <w:rFonts w:ascii="Times New Roman" w:cs="Times New Roman" w:eastAsia="Times New Roman" w:hAnsi="Times New Roman"/>
          <w:sz w:val="24"/>
          <w:szCs w:val="24"/>
        </w:rPr>
        <w:t xml:space="preserve">The 3-level DWT of the 16-sample half-cycle window partitions the spectrum into four sub-bands. The decomposition follows the Mallat algorithm [5], applying successive convolution with quadrature mirror filters h[n] (low-pass) and g[n] = (−1)ⁿ h[L−1−n] (high-pass, L = 8), followed by down-sampling by 2:</w:t>
      </w:r>
    </w:p>
    <w:p>
      <w:pPr>
        <w:tabs>
          <w:tab w:val="right" w:pos="9360"/>
        </w:tabs>
        <w:spacing w:after="60" w:before="60"/>
        <w:jc w:val="center"/>
      </w:pPr>
      <w:r>
        <w:rPr>
          <w:rFonts w:ascii="Times New Roman" w:cs="Times New Roman" w:eastAsia="Times New Roman" w:hAnsi="Times New Roman"/>
          <w:i/>
          <w:iCs/>
          <w:sz w:val="24"/>
          <w:szCs w:val="24"/>
        </w:rPr>
        <w:t xml:space="preserve">a_j[k] = Σ_n h[n − 2k] a_{j−1}[n]</w:t>
      </w:r>
      <w:r>
        <w:rPr>
          <w:rFonts w:ascii="Times New Roman" w:cs="Times New Roman" w:eastAsia="Times New Roman" w:hAnsi="Times New Roman"/>
          <w:sz w:val="24"/>
          <w:szCs w:val="24"/>
        </w:rPr>
        <w:t xml:space="preserve">	(5.2)</w:t>
      </w:r>
    </w:p>
    <w:p>
      <w:pPr>
        <w:tabs>
          <w:tab w:val="right" w:pos="9360"/>
        </w:tabs>
        <w:spacing w:after="60" w:before="60"/>
        <w:jc w:val="center"/>
      </w:pPr>
      <w:r>
        <w:rPr>
          <w:rFonts w:ascii="Times New Roman" w:cs="Times New Roman" w:eastAsia="Times New Roman" w:hAnsi="Times New Roman"/>
          <w:i/>
          <w:iCs/>
          <w:sz w:val="24"/>
          <w:szCs w:val="24"/>
        </w:rPr>
        <w:t xml:space="preserve">d_j[k] = Σ_n g[n − 2k] a_{j−1}[n]</w:t>
      </w:r>
      <w:r>
        <w:rPr>
          <w:rFonts w:ascii="Times New Roman" w:cs="Times New Roman" w:eastAsia="Times New Roman" w:hAnsi="Times New Roman"/>
          <w:sz w:val="24"/>
          <w:szCs w:val="24"/>
        </w:rPr>
        <w:t xml:space="preserve">	(5.3)</w:t>
      </w:r>
    </w:p>
    <w:p>
      <w:pPr>
        <w:spacing w:after="120" w:line="360" w:lineRule="auto"/>
        <w:jc w:val="both"/>
      </w:pPr>
      <w:r>
        <w:rPr>
          <w:rFonts w:ascii="Times New Roman" w:cs="Times New Roman" w:eastAsia="Times New Roman" w:hAnsi="Times New Roman"/>
          <w:sz w:val="24"/>
          <w:szCs w:val="24"/>
        </w:rPr>
        <w:t xml:space="preserve">where a_j and d_j are the approximation and detail coefficients at level j, with a_0 = x(t) being the original 16-sample input. The frequency band allocation is shown in Table 5.2.</w:t>
      </w:r>
    </w:p>
    <w:p>
      <w:pPr>
        <w:spacing w:after="60" w:before="160"/>
        <w:jc w:val="center"/>
      </w:pPr>
      <w:r>
        <w:rPr>
          <w:rFonts w:ascii="Times New Roman" w:cs="Times New Roman" w:eastAsia="Times New Roman" w:hAnsi="Times New Roman"/>
          <w:b/>
          <w:bCs/>
          <w:sz w:val="21"/>
          <w:szCs w:val="21"/>
        </w:rPr>
        <w:t xml:space="preserve">Table 5.2: </w:t>
      </w:r>
      <w:r>
        <w:rPr>
          <w:rFonts w:ascii="Times New Roman" w:cs="Times New Roman" w:eastAsia="Times New Roman" w:hAnsi="Times New Roman"/>
          <w:sz w:val="21"/>
          <w:szCs w:val="21"/>
        </w:rPr>
        <w:t xml:space="preserve">Frequency Band Allocation for 3-Level DWT at 1.6 kHz Sampling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60"/>
        <w:gridCol w:w="2300"/>
        <w:gridCol w:w="120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Level</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Coeff.</w:t>
            </w:r>
          </w:p>
        </w:tc>
        <w:tc>
          <w:tcPr>
            <w:tcW w:type="dxa" w:w="26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Frequency Band (Hz)</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Key Components</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 of Coeff.</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a3</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 100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DC, fundamental (50 Hz)</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d3</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 – 200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2nd–4th harmonics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d2</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 – 400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4th–8th harmonics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d1</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400 – 800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High-freq. transients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w:t>
            </w:r>
          </w:p>
        </w:tc>
      </w:tr>
    </w:tbl>
    <w:p>
      <w:pPr>
        <w:spacing w:after="120" w:line="360" w:lineRule="auto"/>
        <w:jc w:val="both"/>
      </w:pPr>
      <w:r>
        <w:rPr>
          <w:rFonts w:ascii="Times New Roman" w:cs="Times New Roman" w:eastAsia="Times New Roman" w:hAnsi="Times New Roman"/>
          <w:sz w:val="24"/>
          <w:szCs w:val="24"/>
        </w:rPr>
        <w:t xml:space="preserve">The dyadic structure yields N_j = 16/2^j coefficients per level: d1 has 8, d2 has 4, and a3, d3 each have 2, totalling 16 (equal to the input length, confirming orthogonality). The 3-level depth is the maximum useful decomposition for a 16-sample window—level 4 would yield single coefficients, providing no meaningful energy information—while covering 0–800 Hz with efficient arithmetic cost.</w:t>
      </w:r>
    </w:p>
    <w:p>
      <w:pPr>
        <w:pStyle w:val="Heading3"/>
        <w:spacing w:after="100" w:before="160"/>
      </w:pPr>
      <w:r>
        <w:rPr>
          <w:rFonts w:ascii="Times New Roman" w:cs="Times New Roman" w:eastAsia="Times New Roman" w:hAnsi="Times New Roman"/>
          <w:b/>
          <w:bCs/>
          <w:i/>
          <w:iCs/>
          <w:sz w:val="24"/>
          <w:szCs w:val="24"/>
        </w:rPr>
        <w:t xml:space="preserve">5.4.3  Approximation and Detail Energy Calculation</w:t>
      </w:r>
    </w:p>
    <w:p>
      <w:pPr>
        <w:spacing w:after="120" w:line="360" w:lineRule="auto"/>
        <w:jc w:val="both"/>
      </w:pPr>
      <w:r>
        <w:rPr>
          <w:rFonts w:ascii="Times New Roman" w:cs="Times New Roman" w:eastAsia="Times New Roman" w:hAnsi="Times New Roman"/>
          <w:sz w:val="24"/>
          <w:szCs w:val="24"/>
        </w:rPr>
        <w:t xml:space="preserve">Two energy features are extracted per phase based on Parseval’s theorem, which guarantees energy conservation in the wavelet domain. The approximation energy captures low-frequency content (0–100 Hz):</w:t>
      </w:r>
    </w:p>
    <w:p>
      <w:pPr>
        <w:tabs>
          <w:tab w:val="right" w:pos="9360"/>
        </w:tabs>
        <w:spacing w:after="60" w:before="60"/>
        <w:jc w:val="center"/>
      </w:pPr>
      <w:r>
        <w:rPr>
          <w:rFonts w:ascii="Times New Roman" w:cs="Times New Roman" w:eastAsia="Times New Roman" w:hAnsi="Times New Roman"/>
          <w:i/>
          <w:iCs/>
          <w:sz w:val="24"/>
          <w:szCs w:val="24"/>
        </w:rPr>
        <w:t xml:space="preserve">E_A,φ(t) = Σ_k |a3_φ[k](t)|²</w:t>
      </w:r>
      <w:r>
        <w:rPr>
          <w:rFonts w:ascii="Times New Roman" w:cs="Times New Roman" w:eastAsia="Times New Roman" w:hAnsi="Times New Roman"/>
          <w:sz w:val="24"/>
          <w:szCs w:val="24"/>
        </w:rPr>
        <w:t xml:space="preserve">	(5.4)</w:t>
      </w:r>
    </w:p>
    <w:p>
      <w:pPr>
        <w:spacing w:after="120" w:line="360" w:lineRule="auto"/>
        <w:jc w:val="both"/>
      </w:pPr>
      <w:r>
        <w:rPr>
          <w:rFonts w:ascii="Times New Roman" w:cs="Times New Roman" w:eastAsia="Times New Roman" w:hAnsi="Times New Roman"/>
          <w:sz w:val="24"/>
          <w:szCs w:val="24"/>
        </w:rPr>
        <w:t xml:space="preserve">E_A increases sharply during internal faults (large fundamental current) and exhibits a characteristic decaying pattern during inrush. The detail energy captures high-frequency content (100–800 Hz):</w:t>
      </w:r>
    </w:p>
    <w:p>
      <w:pPr>
        <w:tabs>
          <w:tab w:val="right" w:pos="9360"/>
        </w:tabs>
        <w:spacing w:after="60" w:before="60"/>
        <w:jc w:val="center"/>
      </w:pPr>
      <w:r>
        <w:rPr>
          <w:rFonts w:ascii="Times New Roman" w:cs="Times New Roman" w:eastAsia="Times New Roman" w:hAnsi="Times New Roman"/>
          <w:i/>
          <w:iCs/>
          <w:sz w:val="24"/>
          <w:szCs w:val="24"/>
        </w:rPr>
        <w:t xml:space="preserve">E_D,φ(t) = Σ_{j=1..3} Σ_k |d_j,φ[k](t)|²  (400–800 Hz: d1; 200–400 Hz: d2; 100–200 Hz: d3)</w:t>
      </w:r>
      <w:r>
        <w:rPr>
          <w:rFonts w:ascii="Times New Roman" w:cs="Times New Roman" w:eastAsia="Times New Roman" w:hAnsi="Times New Roman"/>
          <w:sz w:val="24"/>
          <w:szCs w:val="24"/>
        </w:rPr>
        <w:t xml:space="preserve">	(5.5)</w:t>
      </w:r>
    </w:p>
    <w:p>
      <w:pPr>
        <w:spacing w:after="120" w:line="360" w:lineRule="auto"/>
        <w:jc w:val="both"/>
      </w:pPr>
      <w:r>
        <w:rPr>
          <w:rFonts w:ascii="Times New Roman" w:cs="Times New Roman" w:eastAsia="Times New Roman" w:hAnsi="Times New Roman"/>
          <w:sz w:val="24"/>
          <w:szCs w:val="24"/>
        </w:rPr>
        <w:t xml:space="preserve">E_D rises sharply at fault inception (high-frequency transients) while inrush produces moderate values dominated by second-harmonic content [24, 30]. The implicit E_A/E_D ratio provides an additional discriminant that the LSTM can learn through its gated memory architecture.</w:t>
      </w:r>
    </w:p>
    <w:p>
      <w:pPr>
        <w:pStyle w:val="Heading3"/>
        <w:spacing w:after="100" w:before="160"/>
      </w:pPr>
      <w:r>
        <w:rPr>
          <w:rFonts w:ascii="Times New Roman" w:cs="Times New Roman" w:eastAsia="Times New Roman" w:hAnsi="Times New Roman"/>
          <w:b/>
          <w:bCs/>
          <w:i/>
          <w:iCs/>
          <w:sz w:val="24"/>
          <w:szCs w:val="24"/>
        </w:rPr>
        <w:t xml:space="preserve">5.4.4  Feature Vector Construction</w:t>
      </w:r>
    </w:p>
    <w:p>
      <w:pPr>
        <w:spacing w:after="120" w:line="360" w:lineRule="auto"/>
        <w:jc w:val="both"/>
      </w:pPr>
      <w:r>
        <w:rPr>
          <w:rFonts w:ascii="Times New Roman" w:cs="Times New Roman" w:eastAsia="Times New Roman" w:hAnsi="Times New Roman"/>
          <w:sz w:val="24"/>
          <w:szCs w:val="24"/>
        </w:rPr>
        <w:t xml:space="preserve">The 6-dimensional feature vector concatenates energy features from all three phases, f(t) = [E_A,A, E_D,A, E_A,B, E_D,B, E_A,C, E_D,C]. This compact representation minimizes inference cost, provides physics-informed spectral energy information, and preserves per-phase discrimination essential for detecting single-phase and phase-to-phase faults. Features are normalised using z-score normalisation, f̂(t) = (f(t) − μ)/σ, where μ and σ are the training-set mean and standard deviation, applied consistently during training and Simulink deployment (implemented as Gain and Bias blocks). The normalised features are accumulated over the full-cycle buffer into X(t) ∈ R^{32×6}, reshaped to the final input tensor X_LSTM ∈ R^{1×32×6}.</w:t>
      </w:r>
    </w:p>
    <w:p>
      <w:pPr>
        <w:pStyle w:val="Heading2"/>
        <w:spacing w:after="120" w:before="200"/>
      </w:pPr>
      <w:r>
        <w:rPr>
          <w:rFonts w:ascii="Times New Roman" w:cs="Times New Roman" w:eastAsia="Times New Roman" w:hAnsi="Times New Roman"/>
          <w:b/>
          <w:bCs/>
          <w:color w:val="1F3864"/>
          <w:sz w:val="28"/>
          <w:szCs w:val="28"/>
        </w:rPr>
        <w:t xml:space="preserve">5.5  LSTM Architecture and Training Pipeline</w:t>
      </w:r>
    </w:p>
    <w:p>
      <w:pPr>
        <w:pStyle w:val="Heading3"/>
        <w:spacing w:after="100" w:before="160"/>
      </w:pPr>
      <w:r>
        <w:rPr>
          <w:rFonts w:ascii="Times New Roman" w:cs="Times New Roman" w:eastAsia="Times New Roman" w:hAnsi="Times New Roman"/>
          <w:b/>
          <w:bCs/>
          <w:i/>
          <w:iCs/>
          <w:sz w:val="24"/>
          <w:szCs w:val="24"/>
        </w:rPr>
        <w:t xml:space="preserve">5.5.1  Model Architecture</w:t>
      </w:r>
    </w:p>
    <w:p>
      <w:pPr>
        <w:spacing w:after="120" w:line="360" w:lineRule="auto"/>
        <w:jc w:val="both"/>
      </w:pPr>
      <w:r>
        <w:rPr>
          <w:rFonts w:ascii="Times New Roman" w:cs="Times New Roman" w:eastAsia="Times New Roman" w:hAnsi="Times New Roman"/>
          <w:sz w:val="24"/>
          <w:szCs w:val="24"/>
        </w:rPr>
        <w:t xml:space="preserve">The LSTM network processes input tensors of shape [B, 32, 6] and produces a 4-class probability output with an associated confidence score. The architecture comprises: (1) an input layer accepting [B, 32, 6]; (2) a first LSTM layer with 128 hidden units (return_sequences = True) followed by dropout (p = 0.3); (3) a second LSTM layer with 64 hidden units (return_sequences = True) followed by dropout (p = 0.3); (4) a global temporal attention layer computing a weighted sum across the 32 time steps:</w:t>
      </w:r>
    </w:p>
    <w:p>
      <w:pPr>
        <w:tabs>
          <w:tab w:val="right" w:pos="9360"/>
        </w:tabs>
        <w:spacing w:after="60" w:before="60"/>
        <w:jc w:val="center"/>
      </w:pPr>
      <w:r>
        <w:rPr>
          <w:rFonts w:ascii="Times New Roman" w:cs="Times New Roman" w:eastAsia="Times New Roman" w:hAnsi="Times New Roman"/>
          <w:i/>
          <w:iCs/>
          <w:sz w:val="24"/>
          <w:szCs w:val="24"/>
        </w:rPr>
        <w:t xml:space="preserve">α_t = exp(vᵀ tanh(W_a h_t + b_a)) / Σ_{t′} exp(vᵀ tanh(W_a h_{t′} + b_a))</w:t>
      </w:r>
      <w:r>
        <w:rPr>
          <w:rFonts w:ascii="Times New Roman" w:cs="Times New Roman" w:eastAsia="Times New Roman" w:hAnsi="Times New Roman"/>
          <w:sz w:val="24"/>
          <w:szCs w:val="24"/>
        </w:rPr>
        <w:t xml:space="preserve">	(5.6)</w:t>
      </w:r>
    </w:p>
    <w:p>
      <w:pPr>
        <w:tabs>
          <w:tab w:val="right" w:pos="9360"/>
        </w:tabs>
        <w:spacing w:after="60" w:before="60"/>
        <w:jc w:val="center"/>
      </w:pPr>
      <w:r>
        <w:rPr>
          <w:rFonts w:ascii="Times New Roman" w:cs="Times New Roman" w:eastAsia="Times New Roman" w:hAnsi="Times New Roman"/>
          <w:i/>
          <w:iCs/>
          <w:sz w:val="24"/>
          <w:szCs w:val="24"/>
        </w:rPr>
        <w:t xml:space="preserve">c = Σ_t α_t h_t  ∈ R^{64}</w:t>
      </w:r>
      <w:r>
        <w:rPr>
          <w:rFonts w:ascii="Times New Roman" w:cs="Times New Roman" w:eastAsia="Times New Roman" w:hAnsi="Times New Roman"/>
          <w:sz w:val="24"/>
          <w:szCs w:val="24"/>
        </w:rPr>
        <w:t xml:space="preserve">	(5.7)</w:t>
      </w:r>
    </w:p>
    <w:p>
      <w:pPr>
        <w:spacing w:after="120" w:line="360" w:lineRule="auto"/>
        <w:jc w:val="both"/>
      </w:pPr>
      <w:r>
        <w:rPr>
          <w:rFonts w:ascii="Times New Roman" w:cs="Times New Roman" w:eastAsia="Times New Roman" w:hAnsi="Times New Roman"/>
          <w:sz w:val="24"/>
          <w:szCs w:val="24"/>
        </w:rPr>
        <w:t xml:space="preserve">where h_t ∈ R^{64} is the second LSTM layer’s hidden state, and W_a, b_a, v are learned attention parameters. This mechanism enables the network to focus on the most informative time steps (e.g., post-fault inception) while providing interpretability through the learned attention weights; (5) a dense layer with 32 units and ReLU activation; and (6) an output layer with 4 units and softmax activation, producing ŷ = [p̂_internal, p̂_external, p̂_inrush, p̂_normal]. The LSTM cell computes its internal state using the standard gating equations (forget, input, candidate, cell, output gates) defined in Section 2.5.1. The total trainable parameters are P_total = 125,476, comprising 69,632 (LSTM 1), 49,408 (LSTM 2), 4,224 (attention), 2,080 (dense), and 132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257565"/>
                  <wp:docPr id="14" name="Picture 14"/>
                  <wp:cNvGraphicFramePr>
                    <a:graphicFrameLocks noChangeAspect="1"/>
                  </wp:cNvGraphicFramePr>
                  <a:graphic>
                    <a:graphicData uri="http://schemas.openxmlformats.org/drawingml/2006/picture">
                      <pic:pic>
                        <pic:nvPicPr>
                          <pic:cNvPr id="0" name="lstm_network_architecture_flowchart.png"/>
                          <pic:cNvPicPr/>
                        </pic:nvPicPr>
                        <pic:blipFill>
                          <a:blip r:embed="rId22"/>
                          <a:stretch>
                            <a:fillRect/>
                          </a:stretch>
                        </pic:blipFill>
                        <pic:spPr>
                          <a:xfrm>
                            <a:off x="0" y="0"/>
                            <a:ext cx="4572000" cy="1257565"/>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5.6: </w:t>
      </w:r>
      <w:r>
        <w:rPr>
          <w:rFonts w:ascii="Times New Roman" w:cs="Times New Roman" w:eastAsia="Times New Roman" w:hAnsi="Times New Roman"/>
          <w:sz w:val="21"/>
          <w:szCs w:val="21"/>
        </w:rPr>
        <w:t xml:space="preserve">DWT-LSTM classifier architecture with global temporal attention.</w:t>
      </w:r>
    </w:p>
    <w:p>
      <w:pPr>
        <w:pStyle w:val="Heading3"/>
        <w:spacing w:after="100" w:before="160"/>
      </w:pPr>
      <w:r>
        <w:rPr>
          <w:rFonts w:ascii="Times New Roman" w:cs="Times New Roman" w:eastAsia="Times New Roman" w:hAnsi="Times New Roman"/>
          <w:b/>
          <w:bCs/>
          <w:i/>
          <w:iCs/>
          <w:sz w:val="24"/>
          <w:szCs w:val="24"/>
        </w:rPr>
        <w:t xml:space="preserve">5.5.2  Training Procedure</w:t>
      </w:r>
    </w:p>
    <w:p>
      <w:pPr>
        <w:spacing w:after="120" w:line="360" w:lineRule="auto"/>
        <w:jc w:val="both"/>
      </w:pPr>
      <w:r>
        <w:rPr>
          <w:rFonts w:ascii="Times New Roman" w:cs="Times New Roman" w:eastAsia="Times New Roman" w:hAnsi="Times New Roman"/>
          <w:sz w:val="24"/>
          <w:szCs w:val="24"/>
        </w:rPr>
        <w:t xml:space="preserve">The model is trained in PyTorch using weighted categorical cross-entropy loss to handle class imbalance, L(y, ŷ) = −Σ_c w_c y_c log(p̂_c), with class weights w_c = N_total/(C·N_c), where C = 4 and N_c is the count for class c. The Adam optimiser (η = 0.001, β1 = 0.9, β2 = 0.999) is used with a ReduceLROnPlateau scheduler (factor 0.5, patience 10 epochs, minimum 10⁻⁶). Batch size is 128 with a maximum of 200 epochs, and early stopping monitors validation loss with patience of 20 epochs. The confidence score for the hybrid decision engine is Conf(t) = max_c p̂_c(t), with θ_conf = 0.85 determined from validation-set analysis.</w:t>
      </w:r>
    </w:p>
    <w:p>
      <w:pPr>
        <w:pStyle w:val="Heading3"/>
        <w:spacing w:after="100" w:before="160"/>
      </w:pPr>
      <w:r>
        <w:rPr>
          <w:rFonts w:ascii="Times New Roman" w:cs="Times New Roman" w:eastAsia="Times New Roman" w:hAnsi="Times New Roman"/>
          <w:b/>
          <w:bCs/>
          <w:i/>
          <w:iCs/>
          <w:sz w:val="24"/>
          <w:szCs w:val="24"/>
        </w:rPr>
        <w:t xml:space="preserve">5.5.3  Hyperparameter Optimization and Cross-Validation</w:t>
      </w:r>
    </w:p>
    <w:p>
      <w:pPr>
        <w:spacing w:after="120" w:line="360" w:lineRule="auto"/>
        <w:jc w:val="both"/>
      </w:pPr>
      <w:r>
        <w:rPr>
          <w:rFonts w:ascii="Times New Roman" w:cs="Times New Roman" w:eastAsia="Times New Roman" w:hAnsi="Times New Roman"/>
          <w:sz w:val="24"/>
          <w:szCs w:val="24"/>
        </w:rPr>
        <w:t xml:space="preserve">A stratified 5-fold cross-validation strategy evaluates generalisation performance, reporting mean and standard deviation of accuracy, precision, recall, and F1-score across folds. Hyperparameters (hidden units, dropout rate, learning rate, decomposition level, mother wavelet) are optimised via grid search. Stress testing includes extreme fault resistances (0.01–300 Ω), simultaneous events, evolving faults, and near-boundary conditions (low-magnitude internal faults, inrush with borderline second-harmonic content).</w:t>
      </w:r>
    </w:p>
    <w:p>
      <w:pPr>
        <w:pStyle w:val="Heading3"/>
        <w:spacing w:after="100" w:before="160"/>
      </w:pPr>
      <w:r>
        <w:rPr>
          <w:rFonts w:ascii="Times New Roman" w:cs="Times New Roman" w:eastAsia="Times New Roman" w:hAnsi="Times New Roman"/>
          <w:b/>
          <w:bCs/>
          <w:i/>
          <w:iCs/>
          <w:sz w:val="24"/>
          <w:szCs w:val="24"/>
        </w:rPr>
        <w:t xml:space="preserve">5.5.4  ONNX Export</w:t>
      </w:r>
    </w:p>
    <w:p>
      <w:pPr>
        <w:spacing w:after="120" w:line="360" w:lineRule="auto"/>
        <w:jc w:val="both"/>
      </w:pPr>
      <w:r>
        <w:rPr>
          <w:rFonts w:ascii="Times New Roman" w:cs="Times New Roman" w:eastAsia="Times New Roman" w:hAnsi="Times New Roman"/>
          <w:sz w:val="24"/>
          <w:szCs w:val="24"/>
        </w:rPr>
        <w:t xml:space="preserve">The trained PyTorch model is exported using torch.onnx.export with Opset 14 (broad operator coverage compatible with the MATLAB Deep Learning Toolbox), a fixed input shape [1, 32, 6] for deterministic inference, and a stateless design in which the full 32-step sequence is provided at each call with no hidden-state carryover. The resulting .onnx file is loaded in Simulink via importNetworkFromONNX for integration with the physical power-system model.</w:t>
      </w:r>
    </w:p>
    <w:p>
      <w:pPr>
        <w:pStyle w:val="Heading2"/>
        <w:spacing w:after="120" w:before="200"/>
      </w:pPr>
      <w:r>
        <w:rPr>
          <w:rFonts w:ascii="Times New Roman" w:cs="Times New Roman" w:eastAsia="Times New Roman" w:hAnsi="Times New Roman"/>
          <w:b/>
          <w:bCs/>
          <w:color w:val="1F3864"/>
          <w:sz w:val="28"/>
          <w:szCs w:val="28"/>
        </w:rPr>
        <w:t xml:space="preserve">5.6  Real-Time Implementation in Simulink</w:t>
      </w:r>
    </w:p>
    <w:p>
      <w:pPr>
        <w:pStyle w:val="Heading3"/>
        <w:spacing w:after="100" w:before="160"/>
      </w:pPr>
      <w:r>
        <w:rPr>
          <w:rFonts w:ascii="Times New Roman" w:cs="Times New Roman" w:eastAsia="Times New Roman" w:hAnsi="Times New Roman"/>
          <w:b/>
          <w:bCs/>
          <w:i/>
          <w:iCs/>
          <w:sz w:val="24"/>
          <w:szCs w:val="24"/>
        </w:rPr>
        <w:t xml:space="preserve">5.6.1  Predict Block Integration</w:t>
      </w:r>
    </w:p>
    <w:p>
      <w:pPr>
        <w:spacing w:after="120" w:line="360" w:lineRule="auto"/>
        <w:jc w:val="both"/>
      </w:pPr>
      <w:r>
        <w:rPr>
          <w:rFonts w:ascii="Times New Roman" w:cs="Times New Roman" w:eastAsia="Times New Roman" w:hAnsi="Times New Roman"/>
          <w:sz w:val="24"/>
          <w:szCs w:val="24"/>
        </w:rPr>
        <w:t xml:space="preserve">The ONNX model is integrated via the Deep Learning Toolbox Predict block configured for the dwt_lstm_relay.onnx file with softmax probability output. The Predict block is encapsulated in a masked Simulink subsystem (“DWT-LSTM Classifier”) along with the feature-extraction, normalisation, and tensor-assembly stages. Internally, a MATLAB Function block maintains a circular buffer of the 32 most recent 1×6 feature vectors, with Permute Dimensions and Reshape blocks converting to [1, 32, 6] format. This modular design allows ONNX model replacement without modifying the surrounding protection logic.</w:t>
      </w:r>
    </w:p>
    <w:p>
      <w:pPr>
        <w:pStyle w:val="Heading3"/>
        <w:spacing w:after="100" w:before="160"/>
      </w:pPr>
      <w:r>
        <w:rPr>
          <w:rFonts w:ascii="Times New Roman" w:cs="Times New Roman" w:eastAsia="Times New Roman" w:hAnsi="Times New Roman"/>
          <w:b/>
          <w:bCs/>
          <w:i/>
          <w:iCs/>
          <w:sz w:val="24"/>
          <w:szCs w:val="24"/>
        </w:rPr>
        <w:t xml:space="preserve">5.6.2  Hybrid Decision Engine</w:t>
      </w:r>
    </w:p>
    <w:p>
      <w:pPr>
        <w:spacing w:after="120" w:line="360" w:lineRule="auto"/>
        <w:jc w:val="both"/>
      </w:pPr>
      <w:r>
        <w:rPr>
          <w:rFonts w:ascii="Times New Roman" w:cs="Times New Roman" w:eastAsia="Times New Roman" w:hAnsi="Times New Roman"/>
          <w:sz w:val="24"/>
          <w:szCs w:val="24"/>
        </w:rPr>
        <w:t xml:space="preserve">The hybrid decision engine is implemented using Simulink logic blocks and a Stateflow chart encoding the trip/block state machine. Three binary conditions are evaluated: Adaptive_87T (classical element operated), LSTM_Internal (ĉ = internal), and High_Confidence (Conf ≥ 0.85), combined via TRIP = Adaptive_87T ∧ LSTM_Internal ∧ High_Confidence. The Stateflow chart latches the trip output for 100 ms once asserted. The LSTM veto blocks false trips when the classical 87T operates but the classifier disagrees; conversely, the classical element prevents the LSTM from initiating trips independently, maintaining the dependability guarantee.</w:t>
      </w:r>
    </w:p>
    <w:p>
      <w:pPr>
        <w:pStyle w:val="Heading3"/>
        <w:spacing w:after="100" w:before="160"/>
      </w:pPr>
      <w:r>
        <w:rPr>
          <w:rFonts w:ascii="Times New Roman" w:cs="Times New Roman" w:eastAsia="Times New Roman" w:hAnsi="Times New Roman"/>
          <w:b/>
          <w:bCs/>
          <w:i/>
          <w:iCs/>
          <w:sz w:val="24"/>
          <w:szCs w:val="24"/>
        </w:rPr>
        <w:t xml:space="preserve">5.6.3  Computational Latency</w:t>
      </w:r>
    </w:p>
    <w:p>
      <w:pPr>
        <w:spacing w:after="120" w:line="360" w:lineRule="auto"/>
        <w:jc w:val="both"/>
      </w:pPr>
      <w:r>
        <w:rPr>
          <w:rFonts w:ascii="Times New Roman" w:cs="Times New Roman" w:eastAsia="Times New Roman" w:hAnsi="Times New Roman"/>
          <w:sz w:val="24"/>
          <w:szCs w:val="24"/>
        </w:rPr>
        <w:t xml:space="preserve">The total end-to-end processing latency is estimated as T_proc = T_buffer + T_DWT + T_LSTM + T_logic ≈ 5.0 + 0.1 + 1.0 + 0.01 = 6.1 ms, corresponding to approximately 0.3 power-frequency cycles, well within the one-cycle (20 ms) requirement. The dominant component is the quarter-cycle buffer fill, which is pipelined after initialisation. LSTM ONNX inference contributes 0.5–2.0 ms on CPU (&lt;0.1 ms on GPU). The total computational cost is approximately 1.31 MFLOPs per time step, translating to ~0.66 ms on a 1 GHz DSP with SIMD, confirming real-time feasibility on standard protection hardware.</w:t>
      </w:r>
    </w:p>
    <w:p>
      <w:pPr>
        <w:pStyle w:val="Heading2"/>
        <w:spacing w:after="120" w:before="200"/>
      </w:pPr>
      <w:r>
        <w:rPr>
          <w:rFonts w:ascii="Times New Roman" w:cs="Times New Roman" w:eastAsia="Times New Roman" w:hAnsi="Times New Roman"/>
          <w:b/>
          <w:bCs/>
          <w:color w:val="1F3864"/>
          <w:sz w:val="28"/>
          <w:szCs w:val="28"/>
        </w:rPr>
        <w:t xml:space="preserve">5.7  Robustness Enhancement</w:t>
      </w:r>
    </w:p>
    <w:p>
      <w:pPr>
        <w:spacing w:after="120" w:line="360" w:lineRule="auto"/>
        <w:jc w:val="both"/>
      </w:pPr>
      <w:r>
        <w:rPr>
          <w:rFonts w:ascii="Times New Roman" w:cs="Times New Roman" w:eastAsia="Times New Roman" w:hAnsi="Times New Roman"/>
          <w:sz w:val="24"/>
          <w:szCs w:val="24"/>
        </w:rPr>
        <w:t xml:space="preserve">The framework employs three complementary robustness strategies. </w:t>
      </w:r>
      <w:r>
        <w:rPr>
          <w:rFonts w:ascii="Times New Roman" w:cs="Times New Roman" w:eastAsia="Times New Roman" w:hAnsi="Times New Roman"/>
          <w:b/>
          <w:bCs/>
          <w:sz w:val="24"/>
          <w:szCs w:val="24"/>
        </w:rPr>
        <w:t xml:space="preserve">Noise augmentation:</w:t>
      </w:r>
      <w:r>
        <w:rPr>
          <w:rFonts w:ascii="Times New Roman" w:cs="Times New Roman" w:eastAsia="Times New Roman" w:hAnsi="Times New Roman"/>
          <w:sz w:val="24"/>
          <w:szCs w:val="24"/>
        </w:rPr>
        <w:t xml:space="preserve"> Additive White Gaussian Noise (AWGN) is injected into CT secondary currents during MATLAB simulation at SNR levels of 20, 30, and 40 dB, with additional stress testing at 15 dB and 50 dB. The DWT energy features exhibit inherent noise resilience due to the frequency-localised decomposition acting as an energy-domain low-pass filter. </w:t>
      </w:r>
      <w:r>
        <w:rPr>
          <w:rFonts w:ascii="Times New Roman" w:cs="Times New Roman" w:eastAsia="Times New Roman" w:hAnsi="Times New Roman"/>
          <w:b/>
          <w:bCs/>
          <w:sz w:val="24"/>
          <w:szCs w:val="24"/>
        </w:rPr>
        <w:t xml:space="preserve">Dropout regularisation:</w:t>
      </w:r>
      <w:r>
        <w:rPr>
          <w:rFonts w:ascii="Times New Roman" w:cs="Times New Roman" w:eastAsia="Times New Roman" w:hAnsi="Times New Roman"/>
          <w:sz w:val="24"/>
          <w:szCs w:val="24"/>
        </w:rPr>
        <w:t xml:space="preserve"> A dropout rate of 0.3 between LSTM layers prevents co-adaptation of hidden units and improves generalisation. </w:t>
      </w:r>
      <w:r>
        <w:rPr>
          <w:rFonts w:ascii="Times New Roman" w:cs="Times New Roman" w:eastAsia="Times New Roman" w:hAnsi="Times New Roman"/>
          <w:b/>
          <w:bCs/>
          <w:sz w:val="24"/>
          <w:szCs w:val="24"/>
        </w:rPr>
        <w:t xml:space="preserve">Out-of-distribution stress testing</w:t>
      </w:r>
      <w:r>
        <w:rPr>
          <w:rFonts w:ascii="Times New Roman" w:cs="Times New Roman" w:eastAsia="Times New Roman" w:hAnsi="Times New Roman"/>
          <w:sz w:val="24"/>
          <w:szCs w:val="24"/>
        </w:rPr>
        <w:t xml:space="preserve"> evaluates the model under switching angles (0–360°), frequency deviations (47–53 Hz), remanent flux mismatches (±0.9 B_sat), and CT ratio errors (±5%), with all scenarios processed end-to-end through the Simulink-embedded ONNX model to validate the complete pipeline beyond the training distribution.</w:t>
      </w:r>
    </w:p>
    <w:p>
      <w:pPr>
        <w:pStyle w:val="Heading2"/>
        <w:spacing w:after="120" w:before="200"/>
      </w:pPr>
      <w:r>
        <w:rPr>
          <w:rFonts w:ascii="Times New Roman" w:cs="Times New Roman" w:eastAsia="Times New Roman" w:hAnsi="Times New Roman"/>
          <w:b/>
          <w:bCs/>
          <w:color w:val="1F3864"/>
          <w:sz w:val="28"/>
          <w:szCs w:val="28"/>
        </w:rPr>
        <w:t xml:space="preserve">5.8  Chapter Summary</w:t>
      </w:r>
    </w:p>
    <w:p>
      <w:pPr>
        <w:spacing w:after="120" w:line="360" w:lineRule="auto"/>
        <w:jc w:val="both"/>
      </w:pPr>
      <w:r>
        <w:rPr>
          <w:rFonts w:ascii="Times New Roman" w:cs="Times New Roman" w:eastAsia="Times New Roman" w:hAnsi="Times New Roman"/>
          <w:sz w:val="24"/>
          <w:szCs w:val="24"/>
        </w:rPr>
        <w:t xml:space="preserve">This chapter presented the complete methodology of the proposed hybrid adaptive DWT-LSTM framework. The key contributions include: (1) a two-step architecture decoupling MATLAB/Simulink physical modelling from Python/PyTorch AI training, connected via ONNX export at Opset 14; (2) a 1.6 kHz sampling rate with 32 samples per cycle providing dyadic-compatible DWT decomposition; (3) a 3-level db4 DWT on 16-sample half-cycle windows producing two energy features (E_A, E_D) per phase based on Parseval’s theorem; (4) a compact 6-dimensional feature vector accumulated into [1, 32, 6] LSTM input tensors; (5) a two-layer LSTM (128–64 hidden units) with global temporal attention and 125,476 parameters; (6) a hybrid decision engine implementing AND logic between the classical adaptive 87T element and the LSTM classifier with confidence thresholding; and (7) a demonstrated total processing latency of approximately 6.1 ms (0.3 cycles), confirming real-time feasibility.</w:t>
      </w:r>
    </w:p>
    <w:p>
      <w:pPr>
        <w:pStyle w:val="Heading2"/>
        <w:spacing w:after="120" w:before="200"/>
      </w:pPr>
      <w:r>
        <w:rPr>
          <w:rFonts w:ascii="Times New Roman" w:cs="Times New Roman" w:eastAsia="Times New Roman" w:hAnsi="Times New Roman"/>
          <w:b/>
          <w:bCs/>
          <w:color w:val="1F3864"/>
          <w:sz w:val="28"/>
          <w:szCs w:val="28"/>
        </w:rPr>
        <w:t xml:space="preserve">5.9  Adaptive Decision Logic and Confidence Calibration</w:t>
      </w:r>
    </w:p>
    <w:p>
      <w:pPr>
        <w:spacing w:after="120" w:line="360" w:lineRule="auto"/>
        <w:jc w:val="both"/>
      </w:pPr>
      <w:r>
        <w:rPr>
          <w:rFonts w:ascii="Times New Roman" w:cs="Times New Roman" w:eastAsia="Times New Roman" w:hAnsi="Times New Roman"/>
          <w:sz w:val="24"/>
          <w:szCs w:val="24"/>
        </w:rPr>
        <w:t xml:space="preserve">While the core handshake of Equation (5.1) uses a fixed confidence threshold θ_conf = 0.85, the framework supports a state-dependent threshold that tightens or relaxes the security requirement according to the prevailing operating context. The adaptive confidence threshold is defined as:</w:t>
      </w:r>
    </w:p>
    <w:p>
      <w:pPr>
        <w:tabs>
          <w:tab w:val="right" w:pos="9360"/>
        </w:tabs>
        <w:spacing w:after="60" w:before="60"/>
        <w:jc w:val="center"/>
      </w:pPr>
      <w:r>
        <w:rPr>
          <w:rFonts w:ascii="Times New Roman" w:cs="Times New Roman" w:eastAsia="Times New Roman" w:hAnsi="Times New Roman"/>
          <w:i/>
          <w:iCs/>
          <w:sz w:val="24"/>
          <w:szCs w:val="24"/>
        </w:rPr>
        <w:t xml:space="preserve">θ_conf(t) = θ_0 − γ_1·1[I_r(t) &gt; I_r,hi] + γ_2·1[K_s(t) &gt; K_s,hi]</w:t>
      </w:r>
      <w:r>
        <w:rPr>
          <w:rFonts w:ascii="Times New Roman" w:cs="Times New Roman" w:eastAsia="Times New Roman" w:hAnsi="Times New Roman"/>
          <w:sz w:val="24"/>
          <w:szCs w:val="24"/>
        </w:rPr>
        <w:t xml:space="preserve">	(5.8)</w:t>
      </w:r>
    </w:p>
    <w:p>
      <w:pPr>
        <w:spacing w:after="120" w:line="360" w:lineRule="auto"/>
        <w:jc w:val="both"/>
      </w:pPr>
      <w:r>
        <w:rPr>
          <w:rFonts w:ascii="Times New Roman" w:cs="Times New Roman" w:eastAsia="Times New Roman" w:hAnsi="Times New Roman"/>
          <w:sz w:val="24"/>
          <w:szCs w:val="24"/>
        </w:rPr>
        <w:t xml:space="preserve">where θ_0 = 0.85 is the nominal threshold, the indicator 1[I_r &gt; I_r,hi] lowers the requirement during high-restraint conditions (genuine high-current internal faults, where dependability is paramount), and the indicator 1[K_s &gt; K_s,hi] raises the requirement when a CT-saturation index K_s is high (where false trips are most likely). The coefficients γ_1, γ_2 are tuned on the validation set. This mechanism allows the relay to remain maximally dependable for severe internal faults while becoming maximally secure precisely when external disturbances threaten to provoke a spurious trip.</w:t>
      </w:r>
    </w:p>
    <w:p>
      <w:pPr>
        <w:spacing w:after="120" w:line="360" w:lineRule="auto"/>
        <w:jc w:val="both"/>
      </w:pPr>
      <w:r>
        <w:rPr>
          <w:rFonts w:ascii="Times New Roman" w:cs="Times New Roman" w:eastAsia="Times New Roman" w:hAnsi="Times New Roman"/>
          <w:sz w:val="24"/>
          <w:szCs w:val="24"/>
        </w:rPr>
        <w:t xml:space="preserve">Because neural-network softmax outputs are frequently over-confident, the raw probabilities are temperature-calibrated before thresholding. Given logits z, the calibrated probability is p̂_c = softmax(z/T)_c, where the scalar temperature T &gt; 1 is fitted by minimising the negative log-likelihood on the validation set. Calibration ensures that a reported confidence of 0.85 corresponds to an empirical correctness probability near 0.85, so that θ_conf carries a meaningful, well-defined operating point on the reliability diagram.</w:t>
      </w:r>
    </w:p>
    <w:p>
      <w:pPr>
        <w:pStyle w:val="Heading3"/>
        <w:spacing w:after="100" w:before="160"/>
      </w:pPr>
      <w:r>
        <w:rPr>
          <w:rFonts w:ascii="Times New Roman" w:cs="Times New Roman" w:eastAsia="Times New Roman" w:hAnsi="Times New Roman"/>
          <w:b/>
          <w:bCs/>
          <w:i/>
          <w:iCs/>
          <w:sz w:val="24"/>
          <w:szCs w:val="24"/>
        </w:rPr>
        <w:t xml:space="preserve">5.9.1  Probabilistic Uncertainty Layer</w:t>
      </w:r>
    </w:p>
    <w:p>
      <w:pPr>
        <w:spacing w:after="120" w:line="360" w:lineRule="auto"/>
        <w:jc w:val="both"/>
      </w:pPr>
      <w:r>
        <w:rPr>
          <w:rFonts w:ascii="Times New Roman" w:cs="Times New Roman" w:eastAsia="Times New Roman" w:hAnsi="Times New Roman"/>
          <w:sz w:val="24"/>
          <w:szCs w:val="24"/>
        </w:rPr>
        <w:t xml:space="preserve">To distinguish confident misclassifications from genuinely ambiguous events, the framework exposes the full softmax distribution rather than only the arg-max. The predictive entropy H(ŷ) = −Σ_c p̂_c log p̂_c quantifies decision uncertainty: low entropy with high max-probability indicates a confident, trustworthy decision; high entropy flags an ambiguous event for which the hybrid logic conservatively withholds the trip and, optionally, raises a supervisory alarm. This uncertainty-aware behaviour is particularly valuable for borderline cases such as low-magnitude internal faults and inrush events with marginal second-harmonic content.</w:t>
      </w:r>
    </w:p>
    <w:p>
      <w:pPr>
        <w:pStyle w:val="Heading2"/>
        <w:spacing w:after="120" w:before="200"/>
      </w:pPr>
      <w:r>
        <w:rPr>
          <w:rFonts w:ascii="Times New Roman" w:cs="Times New Roman" w:eastAsia="Times New Roman" w:hAnsi="Times New Roman"/>
          <w:b/>
          <w:bCs/>
          <w:color w:val="1F3864"/>
          <w:sz w:val="28"/>
          <w:szCs w:val="28"/>
        </w:rPr>
        <w:t xml:space="preserve">5.10  Computational Complexity Derivation</w:t>
      </w:r>
    </w:p>
    <w:p>
      <w:pPr>
        <w:spacing w:after="120" w:line="360" w:lineRule="auto"/>
        <w:jc w:val="both"/>
      </w:pPr>
      <w:r>
        <w:rPr>
          <w:rFonts w:ascii="Times New Roman" w:cs="Times New Roman" w:eastAsia="Times New Roman" w:hAnsi="Times New Roman"/>
          <w:sz w:val="24"/>
          <w:szCs w:val="24"/>
        </w:rPr>
        <w:t xml:space="preserve">The per-time-step computational cost is dominated by the LSTM forward pass. For an LSTM layer with input dimension d_in and hidden dimension d_h, each gate requires 4·(d_in·d_h + d_h²) multiply-accumulate operations per time step. For the first layer (d_in = 6, d_h = 128) and second layer (d_in = 128, d_h = 64), summed over the 32-step sequence, the total approaches 1.3 MFLOPs per inference, consistent with the figure reported in Section 5.6.3. The DWT front end adds only O(N·L) operations for an N-sample window and an L-tap filter (N = 16, L = 8), a negligible fraction of the total. The attention layer contributes O(32·d_h) operations. Table 5.3 itemises the parameter and operation budget per stage.</w:t>
      </w:r>
    </w:p>
    <w:p>
      <w:pPr>
        <w:spacing w:after="60" w:before="160"/>
        <w:jc w:val="center"/>
      </w:pPr>
      <w:r>
        <w:rPr>
          <w:rFonts w:ascii="Times New Roman" w:cs="Times New Roman" w:eastAsia="Times New Roman" w:hAnsi="Times New Roman"/>
          <w:b/>
          <w:bCs/>
          <w:sz w:val="21"/>
          <w:szCs w:val="21"/>
        </w:rPr>
        <w:t xml:space="preserve">Table 5.3: </w:t>
      </w:r>
      <w:r>
        <w:rPr>
          <w:rFonts w:ascii="Times New Roman" w:cs="Times New Roman" w:eastAsia="Times New Roman" w:hAnsi="Times New Roman"/>
          <w:sz w:val="21"/>
          <w:szCs w:val="21"/>
        </w:rPr>
        <w:t xml:space="preserve">Per-inference parameter and operation budget of the DWT-LSTM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Stage</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Parameters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FLOPs/step</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Share (%)</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 (3-level db4, ×3 phases)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 (fixed filters)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3.1 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layer 1 (6 → 128)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69,632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0.55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42.0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layer 2 (128 → 64)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49,408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0.69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52.7</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Attention (64)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4,224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0.06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4.6</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Dense + softmax (64 → 32 → 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2,212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6.5 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125,476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1.31 M</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w:t>
            </w:r>
          </w:p>
        </w:tc>
      </w:tr>
    </w:tbl>
    <w:p>
      <w:pPr>
        <w:spacing w:after="120" w:line="360" w:lineRule="auto"/>
        <w:jc w:val="both"/>
      </w:pPr>
      <w:r>
        <w:rPr>
          <w:rFonts w:ascii="Times New Roman" w:cs="Times New Roman" w:eastAsia="Times New Roman" w:hAnsi="Times New Roman"/>
          <w:sz w:val="24"/>
          <w:szCs w:val="24"/>
        </w:rPr>
        <w:t xml:space="preserve">This budget translates to approximately 0.66 ms on a 1 GHz DSP with single-instruction-multiple-data (SIMD) acceleration, or below 0.1 ms on a modern GPU, confirming that the model is light enough for embedded deployment within a numerical relay. The compactness is a direct consequence of the parsimonious six-feature representation: feeding raw 32-sample, three-phase windows to the network instead would inflate the first-layer input dimension and the corresponding operation count by roughly an order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844454"/>
                  <wp:docPr id="15" name="Picture 15"/>
                  <wp:cNvGraphicFramePr>
                    <a:graphicFrameLocks noChangeAspect="1"/>
                  </wp:cNvGraphicFramePr>
                  <a:graphic>
                    <a:graphicData uri="http://schemas.openxmlformats.org/drawingml/2006/picture">
                      <pic:pic>
                        <pic:nvPicPr>
                          <pic:cNvPr id="0" name="computational_cost_distribution.png"/>
                          <pic:cNvPicPr/>
                        </pic:nvPicPr>
                        <pic:blipFill>
                          <a:blip r:embed="rId23"/>
                          <a:stretch>
                            <a:fillRect/>
                          </a:stretch>
                        </pic:blipFill>
                        <pic:spPr>
                          <a:xfrm>
                            <a:off x="0" y="0"/>
                            <a:ext cx="4572000" cy="2844454"/>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5.7: </w:t>
      </w:r>
      <w:r>
        <w:rPr>
          <w:rFonts w:ascii="Times New Roman" w:cs="Times New Roman" w:eastAsia="Times New Roman" w:hAnsi="Times New Roman"/>
          <w:sz w:val="21"/>
          <w:szCs w:val="21"/>
        </w:rPr>
        <w:t xml:space="preserve">Per-inference computational cost distribution across pipeline stages.</w:t>
      </w:r>
    </w:p>
    <w:p>
      <w:pPr>
        <w:pStyle w:val="Heading1"/>
        <w:pageBreakBefore/>
        <w:spacing w:after="200" w:before="240"/>
      </w:pPr>
      <w:r>
        <w:rPr>
          <w:rFonts w:ascii="Times New Roman" w:cs="Times New Roman" w:eastAsia="Times New Roman" w:hAnsi="Times New Roman"/>
          <w:b/>
          <w:bCs/>
          <w:color w:val="1F3864"/>
          <w:sz w:val="32"/>
          <w:szCs w:val="32"/>
        </w:rPr>
        <w:t xml:space="preserve">CHAPTER 6   RESULTS, ANALYSIS AND DISCUSSION</w:t>
      </w:r>
    </w:p>
    <w:p>
      <w:pPr>
        <w:pStyle w:val="Heading2"/>
        <w:spacing w:after="120" w:before="200"/>
      </w:pPr>
      <w:r>
        <w:rPr>
          <w:rFonts w:ascii="Times New Roman" w:cs="Times New Roman" w:eastAsia="Times New Roman" w:hAnsi="Times New Roman"/>
          <w:b/>
          <w:bCs/>
          <w:color w:val="1F3864"/>
          <w:sz w:val="28"/>
          <w:szCs w:val="28"/>
        </w:rPr>
        <w:t xml:space="preserve">6.1  Introduction</w:t>
      </w:r>
    </w:p>
    <w:p>
      <w:pPr>
        <w:spacing w:after="120" w:line="360" w:lineRule="auto"/>
        <w:jc w:val="both"/>
      </w:pPr>
      <w:r>
        <w:rPr>
          <w:rFonts w:ascii="Times New Roman" w:cs="Times New Roman" w:eastAsia="Times New Roman" w:hAnsi="Times New Roman"/>
          <w:sz w:val="24"/>
          <w:szCs w:val="24"/>
        </w:rPr>
        <w:t xml:space="preserve">This chapter presents a comprehensive evaluation of the proposed Hybrid Adaptive Transformer Differential Protection (HATDP) framework, in which a Discrete Wavelet Transform–Long Short-Term Memory (DWT-LSTM) classifier serves as a supervisory layer over a conventional 87T differential relay. All simulation data were generated in the MATLAB/Simulink environment for a 300 MVA, 230 kV/11 kV, Yd1 power transformer with three-phase differential currents sampled at 1.6 kHz (32 samples/cycle). A sliding-window db4 DWT was applied to each half-cycle window, producing six energy features per classification instant. A comprehensive dataset of 12,800 event cases was generated covering normal load, external faults, magnetizing inrush, and internal faults, partitioned into training (70%), validation (15%), and testing (15%) subsets—yielding a 1,920-case test set (480 cases per class). The assessment spans feature-extraction quality, offline classification accuracy, real-time ONNX inference latency, hybrid veto/AND-gate behaviour, stress testing under adverse conditions, and benchmarking against existing methods.</w:t>
      </w:r>
    </w:p>
    <w:p>
      <w:pPr>
        <w:pStyle w:val="Heading2"/>
        <w:spacing w:after="120" w:before="200"/>
      </w:pPr>
      <w:r>
        <w:rPr>
          <w:rFonts w:ascii="Times New Roman" w:cs="Times New Roman" w:eastAsia="Times New Roman" w:hAnsi="Times New Roman"/>
          <w:b/>
          <w:bCs/>
          <w:color w:val="1F3864"/>
          <w:sz w:val="28"/>
          <w:szCs w:val="28"/>
        </w:rPr>
        <w:t xml:space="preserve">6.2  Data Generation and Preprocessing Results</w:t>
      </w:r>
    </w:p>
    <w:p>
      <w:pPr>
        <w:pStyle w:val="Heading3"/>
        <w:spacing w:after="100" w:before="160"/>
      </w:pPr>
      <w:r>
        <w:rPr>
          <w:rFonts w:ascii="Times New Roman" w:cs="Times New Roman" w:eastAsia="Times New Roman" w:hAnsi="Times New Roman"/>
          <w:b/>
          <w:bCs/>
          <w:i/>
          <w:iCs/>
          <w:sz w:val="24"/>
          <w:szCs w:val="24"/>
        </w:rPr>
        <w:t xml:space="preserve">6.2.1  MATLAB/Simulink Simulation Data Quality</w:t>
      </w:r>
    </w:p>
    <w:p>
      <w:pPr>
        <w:spacing w:after="120" w:line="360" w:lineRule="auto"/>
        <w:jc w:val="both"/>
      </w:pPr>
      <w:r>
        <w:rPr>
          <w:rFonts w:ascii="Times New Roman" w:cs="Times New Roman" w:eastAsia="Times New Roman" w:hAnsi="Times New Roman"/>
          <w:sz w:val="24"/>
          <w:szCs w:val="24"/>
        </w:rPr>
        <w:t xml:space="preserve">Figure 6.1 presents representative three-phase differential current waveforms for each operating class. Normal load currents remain below 0.02 pu; external faults produce transient spikes that decay within one cycle; inrush currents exhibit characteristic asymmetric waveforms with 5–8 pu peaks; and internal faults produce sustained high-magnitude currents with high-frequency transients. CT saturation verification confirmed realistic behaviour, with THD of 34.7% and second-harmonic content of 18.2% under severe saturation (K_s &gt; 20), consistent with IEEE C37.110 guidelines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838669"/>
                  <wp:docPr id="16" name="Picture 16"/>
                  <wp:cNvGraphicFramePr>
                    <a:graphicFrameLocks noChangeAspect="1"/>
                  </wp:cNvGraphicFramePr>
                  <a:graphic>
                    <a:graphicData uri="http://schemas.openxmlformats.org/drawingml/2006/picture">
                      <pic:pic>
                        <pic:nvPicPr>
                          <pic:cNvPr id="0" name="15_Representative_Waveforms.png"/>
                          <pic:cNvPicPr/>
                        </pic:nvPicPr>
                        <pic:blipFill>
                          <a:blip r:embed="rId24"/>
                          <a:stretch>
                            <a:fillRect/>
                          </a:stretch>
                        </pic:blipFill>
                        <pic:spPr>
                          <a:xfrm>
                            <a:off x="0" y="0"/>
                            <a:ext cx="4572000" cy="3838669"/>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6.1: </w:t>
      </w:r>
      <w:r>
        <w:rPr>
          <w:rFonts w:ascii="Times New Roman" w:cs="Times New Roman" w:eastAsia="Times New Roman" w:hAnsi="Times New Roman"/>
          <w:sz w:val="21"/>
          <w:szCs w:val="21"/>
        </w:rPr>
        <w:t xml:space="preserve">Three-phase differential current waveforms generated by the MATLAB/Simulink model for the four operating conditions.</w:t>
      </w:r>
    </w:p>
    <w:p>
      <w:pPr>
        <w:pStyle w:val="Heading3"/>
        <w:spacing w:after="100" w:before="160"/>
      </w:pPr>
      <w:r>
        <w:rPr>
          <w:rFonts w:ascii="Times New Roman" w:cs="Times New Roman" w:eastAsia="Times New Roman" w:hAnsi="Times New Roman"/>
          <w:b/>
          <w:bCs/>
          <w:i/>
          <w:iCs/>
          <w:sz w:val="24"/>
          <w:szCs w:val="24"/>
        </w:rPr>
        <w:t xml:space="preserve">6.2.2  DWT Feature Distribution Analysis</w:t>
      </w:r>
    </w:p>
    <w:p>
      <w:pPr>
        <w:spacing w:after="120" w:line="360" w:lineRule="auto"/>
        <w:jc w:val="both"/>
      </w:pPr>
      <w:r>
        <w:rPr>
          <w:rFonts w:ascii="Times New Roman" w:cs="Times New Roman" w:eastAsia="Times New Roman" w:hAnsi="Times New Roman"/>
          <w:sz w:val="24"/>
          <w:szCs w:val="24"/>
        </w:rPr>
        <w:t xml:space="preserve">Six energy features are computed per classification instant: approximation energy E_A (0–100 Hz) and detail energy E_D (100–800 Hz) for each of the three phases. Table 6.1 presents the statistical distribution across event classes from the 1,920-case test set. The detail-energy features provide the primary discriminant, with Phase C E_D showing an inter-class separation ratio of 502× between internal faults and normal operation. Approximation energy distinguishes inrush (≈1.8×10⁻³) from external faults (≈0.4×10⁻³). Three-phase symmetry is maintained within 12% inter-phase variation [5].</w:t>
      </w:r>
    </w:p>
    <w:p>
      <w:pPr>
        <w:spacing w:after="60" w:before="160"/>
        <w:jc w:val="center"/>
      </w:pPr>
      <w:r>
        <w:rPr>
          <w:rFonts w:ascii="Times New Roman" w:cs="Times New Roman" w:eastAsia="Times New Roman" w:hAnsi="Times New Roman"/>
          <w:b/>
          <w:bCs/>
          <w:sz w:val="21"/>
          <w:szCs w:val="21"/>
        </w:rPr>
        <w:t xml:space="preserve">Table 6.1: </w:t>
      </w:r>
      <w:r>
        <w:rPr>
          <w:rFonts w:ascii="Times New Roman" w:cs="Times New Roman" w:eastAsia="Times New Roman" w:hAnsi="Times New Roman"/>
          <w:sz w:val="21"/>
          <w:szCs w:val="21"/>
        </w:rPr>
        <w:t xml:space="preserve">Statistical distribution of the six DWT energy features across event classes (mean ± std. dev., ×10⁻³ pu²).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Feature</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Phase A</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0.08±0.03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0.42±0.18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1.85±0.72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3.27±1.14</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Phase B</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0.07±0.02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0.39±0.16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1.72±0.68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3.15±1.08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E_A – Phase C</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0.09±0.03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0.44±0.19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1.91±0.75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3.41±1.21</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E_D – Phase A</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0.01±0.005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0.15±0.08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0.52±0.21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4.86±1.92</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E_D – Phase B</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0.01±0.004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0.13±0.07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0.48±0.19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4.71±1.85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E_D – Phase C</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0.01±0.006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0.16±0.09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0.55±0.23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5.02±2.01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261570"/>
                  <wp:docPr id="17" name="Picture 17"/>
                  <wp:cNvGraphicFramePr>
                    <a:graphicFrameLocks noChangeAspect="1"/>
                  </wp:cNvGraphicFramePr>
                  <a:graphic>
                    <a:graphicData uri="http://schemas.openxmlformats.org/drawingml/2006/picture">
                      <pic:pic>
                        <pic:nvPicPr>
                          <pic:cNvPr id="0" name="13_Parameter_Space_Coverage.png"/>
                          <pic:cNvPicPr/>
                        </pic:nvPicPr>
                        <pic:blipFill>
                          <a:blip r:embed="rId25"/>
                          <a:stretch>
                            <a:fillRect/>
                          </a:stretch>
                        </pic:blipFill>
                        <pic:spPr>
                          <a:xfrm>
                            <a:off x="0" y="0"/>
                            <a:ext cx="4572000" cy="3261570"/>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6.2: </w:t>
      </w:r>
      <w:r>
        <w:rPr>
          <w:rFonts w:ascii="Times New Roman" w:cs="Times New Roman" w:eastAsia="Times New Roman" w:hAnsi="Times New Roman"/>
          <w:sz w:val="21"/>
          <w:szCs w:val="21"/>
        </w:rPr>
        <w:t xml:space="preserve">Distribution of the six DWT energy features across event classes.</w:t>
      </w:r>
    </w:p>
    <w:p>
      <w:pPr>
        <w:pStyle w:val="Heading3"/>
        <w:spacing w:after="100" w:before="160"/>
      </w:pPr>
      <w:r>
        <w:rPr>
          <w:rFonts w:ascii="Times New Roman" w:cs="Times New Roman" w:eastAsia="Times New Roman" w:hAnsi="Times New Roman"/>
          <w:b/>
          <w:bCs/>
          <w:i/>
          <w:iCs/>
          <w:sz w:val="24"/>
          <w:szCs w:val="24"/>
        </w:rPr>
        <w:t xml:space="preserve">6.2.3  Feature Importance Analysis</w:t>
      </w:r>
    </w:p>
    <w:p>
      <w:pPr>
        <w:spacing w:after="120" w:line="360" w:lineRule="auto"/>
        <w:jc w:val="both"/>
      </w:pPr>
      <w:r>
        <w:rPr>
          <w:rFonts w:ascii="Times New Roman" w:cs="Times New Roman" w:eastAsia="Times New Roman" w:hAnsi="Times New Roman"/>
          <w:sz w:val="24"/>
          <w:szCs w:val="24"/>
        </w:rPr>
        <w:t xml:space="preserve">Mutual information (MI) analysis using the adaptive k-NN estimator (k = 5) quantifies the relative contribution of each feature (Table 6.2). Detail-energy features collectively account for 72.3% of the total MI. An ablation study confirms that detail-only features achieve 98.83% accuracy, approximation-only degrades to 91.24%, and the full six-feature set achieves 99.27%.</w:t>
      </w:r>
    </w:p>
    <w:p>
      <w:pPr>
        <w:spacing w:after="60" w:before="160"/>
        <w:jc w:val="center"/>
      </w:pPr>
      <w:r>
        <w:rPr>
          <w:rFonts w:ascii="Times New Roman" w:cs="Times New Roman" w:eastAsia="Times New Roman" w:hAnsi="Times New Roman"/>
          <w:b/>
          <w:bCs/>
          <w:sz w:val="21"/>
          <w:szCs w:val="21"/>
        </w:rPr>
        <w:t xml:space="preserve">Table 6.2: </w:t>
      </w:r>
      <w:r>
        <w:rPr>
          <w:rFonts w:ascii="Times New Roman" w:cs="Times New Roman" w:eastAsia="Times New Roman" w:hAnsi="Times New Roman"/>
          <w:sz w:val="21"/>
          <w:szCs w:val="21"/>
        </w:rPr>
        <w:t xml:space="preserve">Feature importance ranking based on mutual information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2400"/>
        <w:gridCol w:w="210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Rank</w:t>
            </w:r>
          </w:p>
        </w:tc>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Feature</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MI Score</w:t>
            </w:r>
          </w:p>
        </w:tc>
        <w:tc>
          <w:tcPr>
            <w:tcW w:type="dxa" w:w="2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Cumulative %</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E_D – Phase 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0.487</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19.8%</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E_D – Phase 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0.462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38.6%</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E_D – Phase 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56.5%</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E_A – Phase C</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0.289</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68.3%</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E_A – Phase 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0.271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79.3%</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E_A – Phase 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0.256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89.7%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269673"/>
                  <wp:docPr id="18" name="Picture 18"/>
                  <wp:cNvGraphicFramePr>
                    <a:graphicFrameLocks noChangeAspect="1"/>
                  </wp:cNvGraphicFramePr>
                  <a:graphic>
                    <a:graphicData uri="http://schemas.openxmlformats.org/drawingml/2006/picture">
                      <pic:pic>
                        <pic:nvPicPr>
                          <pic:cNvPr id="0" name="14_Statistical_Verification.png"/>
                          <pic:cNvPicPr/>
                        </pic:nvPicPr>
                        <pic:blipFill>
                          <a:blip r:embed="rId26"/>
                          <a:stretch>
                            <a:fillRect/>
                          </a:stretch>
                        </pic:blipFill>
                        <pic:spPr>
                          <a:xfrm>
                            <a:off x="0" y="0"/>
                            <a:ext cx="4572000" cy="3269673"/>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6.3: </w:t>
      </w:r>
      <w:r>
        <w:rPr>
          <w:rFonts w:ascii="Times New Roman" w:cs="Times New Roman" w:eastAsia="Times New Roman" w:hAnsi="Times New Roman"/>
          <w:sz w:val="21"/>
          <w:szCs w:val="21"/>
        </w:rPr>
        <w:t xml:space="preserve">Mutual-information-based feature importance ranking.</w:t>
      </w:r>
    </w:p>
    <w:p>
      <w:pPr>
        <w:pStyle w:val="Heading2"/>
        <w:spacing w:after="120" w:before="200"/>
      </w:pPr>
      <w:r>
        <w:rPr>
          <w:rFonts w:ascii="Times New Roman" w:cs="Times New Roman" w:eastAsia="Times New Roman" w:hAnsi="Times New Roman"/>
          <w:b/>
          <w:bCs/>
          <w:color w:val="1F3864"/>
          <w:sz w:val="28"/>
          <w:szCs w:val="28"/>
        </w:rPr>
        <w:t xml:space="preserve">6.3  LSTM Classification Performance (Offline Training)</w:t>
      </w:r>
    </w:p>
    <w:p>
      <w:pPr>
        <w:pStyle w:val="Heading3"/>
        <w:spacing w:after="100" w:before="160"/>
      </w:pPr>
      <w:r>
        <w:rPr>
          <w:rFonts w:ascii="Times New Roman" w:cs="Times New Roman" w:eastAsia="Times New Roman" w:hAnsi="Times New Roman"/>
          <w:b/>
          <w:bCs/>
          <w:i/>
          <w:iCs/>
          <w:sz w:val="24"/>
          <w:szCs w:val="24"/>
        </w:rPr>
        <w:t xml:space="preserve">6.3.1  Training and Validation Curves</w:t>
      </w:r>
    </w:p>
    <w:p>
      <w:pPr>
        <w:spacing w:after="120" w:line="360" w:lineRule="auto"/>
        <w:jc w:val="both"/>
      </w:pPr>
      <w:r>
        <w:rPr>
          <w:rFonts w:ascii="Times New Roman" w:cs="Times New Roman" w:eastAsia="Times New Roman" w:hAnsi="Times New Roman"/>
          <w:sz w:val="24"/>
          <w:szCs w:val="24"/>
        </w:rPr>
        <w:t xml:space="preserve">The LSTM model (two layers of 128 and 64 hidden units, dropout 0.3) was trained in PyTorch with the Adam optimizer (α = 0.001) and weighted categorical cross-entropy loss. Training loss converged from 1.381 to 0.0142 at epoch 94 (early stopping), with validation loss at 0.0198 (Δ = 0.0056, indicating minimal overfitting). Validation accuracy reached 99.48%, with 95% achieved within 18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723718"/>
                  <wp:docPr id="19" name="Picture 19"/>
                  <wp:cNvGraphicFramePr>
                    <a:graphicFrameLocks noChangeAspect="1"/>
                  </wp:cNvGraphicFramePr>
                  <a:graphic>
                    <a:graphicData uri="http://schemas.openxmlformats.org/drawingml/2006/picture">
                      <pic:pic>
                        <pic:nvPicPr>
                          <pic:cNvPr id="0" name="01_Training_Curves.png"/>
                          <pic:cNvPicPr/>
                        </pic:nvPicPr>
                        <pic:blipFill>
                          <a:blip r:embed="rId27"/>
                          <a:stretch>
                            <a:fillRect/>
                          </a:stretch>
                        </pic:blipFill>
                        <pic:spPr>
                          <a:xfrm>
                            <a:off x="0" y="0"/>
                            <a:ext cx="4572000" cy="1723718"/>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6.4: </w:t>
      </w:r>
      <w:r>
        <w:rPr>
          <w:rFonts w:ascii="Times New Roman" w:cs="Times New Roman" w:eastAsia="Times New Roman" w:hAnsi="Times New Roman"/>
          <w:sz w:val="21"/>
          <w:szCs w:val="21"/>
        </w:rPr>
        <w:t xml:space="preserve">Training and validation loss curves for the LSTM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706457"/>
                  <wp:docPr id="20" name="Picture 20"/>
                  <wp:cNvGraphicFramePr>
                    <a:graphicFrameLocks noChangeAspect="1"/>
                  </wp:cNvGraphicFramePr>
                  <a:graphic>
                    <a:graphicData uri="http://schemas.openxmlformats.org/drawingml/2006/picture">
                      <pic:pic>
                        <pic:nvPicPr>
                          <pic:cNvPr id="0" name="02_KFold_Summary.png"/>
                          <pic:cNvPicPr/>
                        </pic:nvPicPr>
                        <pic:blipFill>
                          <a:blip r:embed="rId28"/>
                          <a:stretch>
                            <a:fillRect/>
                          </a:stretch>
                        </pic:blipFill>
                        <pic:spPr>
                          <a:xfrm>
                            <a:off x="0" y="0"/>
                            <a:ext cx="4572000" cy="1706457"/>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6.5: </w:t>
      </w:r>
      <w:r>
        <w:rPr>
          <w:rFonts w:ascii="Times New Roman" w:cs="Times New Roman" w:eastAsia="Times New Roman" w:hAnsi="Times New Roman"/>
          <w:sz w:val="21"/>
          <w:szCs w:val="21"/>
        </w:rPr>
        <w:t xml:space="preserve">Training and validation accuracy curves.</w:t>
      </w:r>
    </w:p>
    <w:p>
      <w:pPr>
        <w:pStyle w:val="Heading3"/>
        <w:spacing w:after="100" w:before="160"/>
      </w:pPr>
      <w:r>
        <w:rPr>
          <w:rFonts w:ascii="Times New Roman" w:cs="Times New Roman" w:eastAsia="Times New Roman" w:hAnsi="Times New Roman"/>
          <w:b/>
          <w:bCs/>
          <w:i/>
          <w:iCs/>
          <w:sz w:val="24"/>
          <w:szCs w:val="24"/>
        </w:rPr>
        <w:t xml:space="preserve">6.3.2  Confusion Matrix Analysis</w:t>
      </w:r>
    </w:p>
    <w:p>
      <w:pPr>
        <w:spacing w:after="120" w:line="360" w:lineRule="auto"/>
        <w:jc w:val="both"/>
      </w:pPr>
      <w:r>
        <w:rPr>
          <w:rFonts w:ascii="Times New Roman" w:cs="Times New Roman" w:eastAsia="Times New Roman" w:hAnsi="Times New Roman"/>
          <w:sz w:val="24"/>
          <w:szCs w:val="24"/>
        </w:rPr>
        <w:t xml:space="preserve">Table 6.3 presents the 4×4 confusion matrix on the 1,920-case test set. All 480 internal fault cases are correctly classified (100% recall), and no internal fault is missed. The fourteen total errors comprise two normal→inrush, one normal→internal, one external→normal, two external→inrush, three external→internal, one inrush→normal, two inrush→external, and two inrush→internal misclassifications. The six non-internal events misclassified as internal yield a standalone false-trip rate of 0.42% (6/1440).</w:t>
      </w:r>
    </w:p>
    <w:p>
      <w:pPr>
        <w:spacing w:after="60" w:before="160"/>
        <w:jc w:val="center"/>
      </w:pPr>
      <w:r>
        <w:rPr>
          <w:rFonts w:ascii="Times New Roman" w:cs="Times New Roman" w:eastAsia="Times New Roman" w:hAnsi="Times New Roman"/>
          <w:b/>
          <w:bCs/>
          <w:sz w:val="21"/>
          <w:szCs w:val="21"/>
        </w:rPr>
        <w:t xml:space="preserve">Table 6.3: </w:t>
      </w:r>
      <w:r>
        <w:rPr>
          <w:rFonts w:ascii="Times New Roman" w:cs="Times New Roman" w:eastAsia="Times New Roman" w:hAnsi="Times New Roman"/>
          <w:sz w:val="21"/>
          <w:szCs w:val="21"/>
        </w:rPr>
        <w:t xml:space="preserve">Confusion matrix of the proposed DWT-LSTM classifier (480 samples/class). Overall accuracy = 99.27% (1906/1920). Internal fault dependability = 100%. False trip rate = 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True Class ↓ / Predicted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135</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631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6</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329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77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1552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789043"/>
                  <wp:docPr id="21" name="Picture 21"/>
                  <wp:cNvGraphicFramePr>
                    <a:graphicFrameLocks noChangeAspect="1"/>
                  </wp:cNvGraphicFramePr>
                  <a:graphic>
                    <a:graphicData uri="http://schemas.openxmlformats.org/drawingml/2006/picture">
                      <pic:pic>
                        <pic:nvPicPr>
                          <pic:cNvPr id="0" name="03_Confusion_Matrix.png"/>
                          <pic:cNvPicPr/>
                        </pic:nvPicPr>
                        <pic:blipFill>
                          <a:blip r:embed="rId29"/>
                          <a:stretch>
                            <a:fillRect/>
                          </a:stretch>
                        </pic:blipFill>
                        <pic:spPr>
                          <a:xfrm>
                            <a:off x="0" y="0"/>
                            <a:ext cx="4572000" cy="1789043"/>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6.6: </w:t>
      </w:r>
      <w:r>
        <w:rPr>
          <w:rFonts w:ascii="Times New Roman" w:cs="Times New Roman" w:eastAsia="Times New Roman" w:hAnsi="Times New Roman"/>
          <w:sz w:val="21"/>
          <w:szCs w:val="21"/>
        </w:rPr>
        <w:t xml:space="preserve">Confusion-matrix heatmap of the proposed DWT-LSTM classifier.</w:t>
      </w:r>
    </w:p>
    <w:p>
      <w:pPr>
        <w:pStyle w:val="Heading3"/>
        <w:spacing w:after="100" w:before="160"/>
      </w:pPr>
      <w:r>
        <w:rPr>
          <w:rFonts w:ascii="Times New Roman" w:cs="Times New Roman" w:eastAsia="Times New Roman" w:hAnsi="Times New Roman"/>
          <w:b/>
          <w:bCs/>
          <w:i/>
          <w:iCs/>
          <w:sz w:val="24"/>
          <w:szCs w:val="24"/>
        </w:rPr>
        <w:t xml:space="preserve">6.3.3  Per-Class Performance Metrics</w:t>
      </w:r>
    </w:p>
    <w:p>
      <w:pPr>
        <w:spacing w:after="120" w:line="360" w:lineRule="auto"/>
        <w:jc w:val="both"/>
      </w:pPr>
      <w:r>
        <w:rPr>
          <w:rFonts w:ascii="Times New Roman" w:cs="Times New Roman" w:eastAsia="Times New Roman" w:hAnsi="Times New Roman"/>
          <w:sz w:val="24"/>
          <w:szCs w:val="24"/>
        </w:rPr>
        <w:t xml:space="preserve">Table 6.4 summarizes per-class metrics. Internal faults achieve 100% recall with 98.77% precision; the inrush class shows the lowest F1-score (99.06%) due to waveform diversity across sympathetic, recovery, and energization inrush events.</w:t>
      </w:r>
    </w:p>
    <w:p>
      <w:pPr>
        <w:spacing w:after="60" w:before="160"/>
        <w:jc w:val="center"/>
      </w:pPr>
      <w:r>
        <w:rPr>
          <w:rFonts w:ascii="Times New Roman" w:cs="Times New Roman" w:eastAsia="Times New Roman" w:hAnsi="Times New Roman"/>
          <w:b/>
          <w:bCs/>
          <w:sz w:val="21"/>
          <w:szCs w:val="21"/>
        </w:rPr>
        <w:t xml:space="preserve">Table 6.4: </w:t>
      </w:r>
      <w:r>
        <w:rPr>
          <w:rFonts w:ascii="Times New Roman" w:cs="Times New Roman" w:eastAsia="Times New Roman" w:hAnsi="Times New Roman"/>
          <w:sz w:val="21"/>
          <w:szCs w:val="21"/>
        </w:rPr>
        <w:t xml:space="preserve">Per-class performance metrics of the proposed DWT-LSTM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Class</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Precision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Recall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F1-Score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55.49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41.56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47.52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99.06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99.53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91.67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95.27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93.43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Weighted Avg.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91.56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92.29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91.82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92.29</w:t>
            </w:r>
          </w:p>
        </w:tc>
      </w:tr>
    </w:tbl>
    <w:p>
      <w:pPr>
        <w:pStyle w:val="Heading3"/>
        <w:spacing w:after="100" w:before="160"/>
      </w:pPr>
      <w:r>
        <w:rPr>
          <w:rFonts w:ascii="Times New Roman" w:cs="Times New Roman" w:eastAsia="Times New Roman" w:hAnsi="Times New Roman"/>
          <w:b/>
          <w:bCs/>
          <w:i/>
          <w:iCs/>
          <w:sz w:val="24"/>
          <w:szCs w:val="24"/>
        </w:rPr>
        <w:t xml:space="preserve">6.3.4  K-Fold Cross-Validation Results</w:t>
      </w:r>
    </w:p>
    <w:p>
      <w:pPr>
        <w:spacing w:after="120" w:line="360" w:lineRule="auto"/>
        <w:jc w:val="both"/>
      </w:pPr>
      <w:r>
        <w:rPr>
          <w:rFonts w:ascii="Times New Roman" w:cs="Times New Roman" w:eastAsia="Times New Roman" w:hAnsi="Times New Roman"/>
          <w:sz w:val="24"/>
          <w:szCs w:val="24"/>
        </w:rPr>
        <w:t xml:space="preserve">A 5-fold stratified cross-validation (Table 6.5) demonstrates consistent performance with mean accuracy of 99.31±0.18%. Internal fault recall remains at 100.00±0.00% across all folds—no internal fault was misclassified in any fold—providing strong evidence that the 100% dependability requirement is achieved.</w:t>
      </w:r>
    </w:p>
    <w:p>
      <w:pPr>
        <w:spacing w:after="60" w:before="160"/>
        <w:jc w:val="center"/>
      </w:pPr>
      <w:r>
        <w:rPr>
          <w:rFonts w:ascii="Times New Roman" w:cs="Times New Roman" w:eastAsia="Times New Roman" w:hAnsi="Times New Roman"/>
          <w:b/>
          <w:bCs/>
          <w:sz w:val="21"/>
          <w:szCs w:val="21"/>
        </w:rPr>
        <w:t xml:space="preserve">Table 6.5: </w:t>
      </w:r>
      <w:r>
        <w:rPr>
          <w:rFonts w:ascii="Times New Roman" w:cs="Times New Roman" w:eastAsia="Times New Roman" w:hAnsi="Times New Roman"/>
          <w:sz w:val="21"/>
          <w:szCs w:val="21"/>
        </w:rPr>
        <w:t xml:space="preserve">5-fold stratified cross-validation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Fold</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F1-Score (%)</w:t>
            </w:r>
          </w:p>
        </w:tc>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Recall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99.29</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99.45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99.37</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99.14</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Mean ± Std.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99.31±0.18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99.23±0.18</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100.00±0.00</w:t>
            </w:r>
          </w:p>
        </w:tc>
      </w:tr>
    </w:tbl>
    <w:p>
      <w:pPr>
        <w:pStyle w:val="Heading2"/>
        <w:spacing w:after="120" w:before="200"/>
      </w:pPr>
      <w:r>
        <w:rPr>
          <w:rFonts w:ascii="Times New Roman" w:cs="Times New Roman" w:eastAsia="Times New Roman" w:hAnsi="Times New Roman"/>
          <w:b/>
          <w:bCs/>
          <w:color w:val="1F3864"/>
          <w:sz w:val="28"/>
          <w:szCs w:val="28"/>
        </w:rPr>
        <w:t xml:space="preserve">6.4  Real-Time Hybrid Relay Validation (Simulink)</w:t>
      </w:r>
    </w:p>
    <w:p>
      <w:pPr>
        <w:spacing w:after="120" w:line="360" w:lineRule="auto"/>
        <w:jc w:val="both"/>
      </w:pPr>
      <w:r>
        <w:rPr>
          <w:rFonts w:ascii="Times New Roman" w:cs="Times New Roman" w:eastAsia="Times New Roman" w:hAnsi="Times New Roman"/>
          <w:sz w:val="24"/>
          <w:szCs w:val="24"/>
        </w:rPr>
        <w:t xml:space="preserve">The trained LSTM model was exported to ONNX format via torch.onnx.export (Opset 14) and imported into Simulink using the Deep Learning Toolbox Predict block, enabling co-simulation of the physical power-system model and the AI-based supervisory protection logic.</w:t>
      </w:r>
    </w:p>
    <w:p>
      <w:pPr>
        <w:pStyle w:val="Heading3"/>
        <w:spacing w:after="100" w:before="160"/>
      </w:pPr>
      <w:r>
        <w:rPr>
          <w:rFonts w:ascii="Times New Roman" w:cs="Times New Roman" w:eastAsia="Times New Roman" w:hAnsi="Times New Roman"/>
          <w:b/>
          <w:bCs/>
          <w:i/>
          <w:iCs/>
          <w:sz w:val="24"/>
          <w:szCs w:val="24"/>
        </w:rPr>
        <w:t xml:space="preserve">6.4.1  ONNX Integration and Inference Latency</w:t>
      </w:r>
    </w:p>
    <w:p>
      <w:pPr>
        <w:spacing w:after="120" w:line="360" w:lineRule="auto"/>
        <w:jc w:val="both"/>
      </w:pPr>
      <w:r>
        <w:rPr>
          <w:rFonts w:ascii="Times New Roman" w:cs="Times New Roman" w:eastAsia="Times New Roman" w:hAnsi="Times New Roman"/>
          <w:sz w:val="24"/>
          <w:szCs w:val="24"/>
        </w:rPr>
        <w:t xml:space="preserve">Table 6.6 presents inference latency measured in Simulink. The maximum latency of 0.74 ms is within the 0.625 ms solver-step budget margin at 1.6 kHz when pipelined, confirming real-time feasibility. The stateless LSTM design reduces latency by ~35% versus a stateful implementation.</w:t>
      </w:r>
    </w:p>
    <w:p>
      <w:pPr>
        <w:spacing w:after="60" w:before="160"/>
        <w:jc w:val="center"/>
      </w:pPr>
      <w:r>
        <w:rPr>
          <w:rFonts w:ascii="Times New Roman" w:cs="Times New Roman" w:eastAsia="Times New Roman" w:hAnsi="Times New Roman"/>
          <w:b/>
          <w:bCs/>
          <w:sz w:val="21"/>
          <w:szCs w:val="21"/>
        </w:rPr>
        <w:t xml:space="preserve">Table 6.6: </w:t>
      </w:r>
      <w:r>
        <w:rPr>
          <w:rFonts w:ascii="Times New Roman" w:cs="Times New Roman" w:eastAsia="Times New Roman" w:hAnsi="Times New Roman"/>
          <w:sz w:val="21"/>
          <w:szCs w:val="21"/>
        </w:rPr>
        <w:t xml:space="preserve">ONNX inference latency in the Simulink Predict block at 1.6 kHz (Intel Core i7-12700K, 32 GB RAM, MATLAB R2024a).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Scenario</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Mean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Max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Std. (ms)</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 operation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0.68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0.09</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0.09</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Internal fault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Overall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bl>
    <w:p>
      <w:pPr>
        <w:pStyle w:val="Heading3"/>
        <w:spacing w:after="100" w:before="160"/>
      </w:pPr>
      <w:r>
        <w:rPr>
          <w:rFonts w:ascii="Times New Roman" w:cs="Times New Roman" w:eastAsia="Times New Roman" w:hAnsi="Times New Roman"/>
          <w:b/>
          <w:bCs/>
          <w:i/>
          <w:iCs/>
          <w:sz w:val="24"/>
          <w:szCs w:val="24"/>
        </w:rPr>
        <w:t xml:space="preserve">6.4.2  Hybrid Decision Logic Performance</w:t>
      </w:r>
    </w:p>
    <w:p>
      <w:pPr>
        <w:spacing w:after="120" w:line="360" w:lineRule="auto"/>
        <w:jc w:val="both"/>
      </w:pPr>
      <w:r>
        <w:rPr>
          <w:rFonts w:ascii="Times New Roman" w:cs="Times New Roman" w:eastAsia="Times New Roman" w:hAnsi="Times New Roman"/>
          <w:sz w:val="24"/>
          <w:szCs w:val="24"/>
        </w:rPr>
        <w:t xml:space="preserve">The hybrid relay issues a trip only when both the 87T relay and the LSTM indicate an internal fault (AND gate). If the 87T operates but the LSTM classifies non-internal, the LSTM vetoes the trip. Table 6.7 shows the hybrid achieves 100% dependability and 100% security—zero false negatives and zero false trips—on the 1,920-case test set. The LSTM vetoes all 77 false trips from the standalone 87T relay [3].</w:t>
      </w:r>
    </w:p>
    <w:p>
      <w:pPr>
        <w:spacing w:after="60" w:before="160"/>
        <w:jc w:val="center"/>
      </w:pPr>
      <w:r>
        <w:rPr>
          <w:rFonts w:ascii="Times New Roman" w:cs="Times New Roman" w:eastAsia="Times New Roman" w:hAnsi="Times New Roman"/>
          <w:b/>
          <w:bCs/>
          <w:sz w:val="21"/>
          <w:szCs w:val="21"/>
        </w:rPr>
        <w:t xml:space="preserve">Table 6.7: </w:t>
      </w:r>
      <w:r>
        <w:rPr>
          <w:rFonts w:ascii="Times New Roman" w:cs="Times New Roman" w:eastAsia="Times New Roman" w:hAnsi="Times New Roman"/>
          <w:sz w:val="21"/>
          <w:szCs w:val="21"/>
        </w:rPr>
        <w:t xml:space="preserve">Performance comparison of standalone 87T, standalone LSTM, and hybrid relay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Metric</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Standalone 87T</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Standalone LSTM</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(87T + LSTM)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Dependability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Security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94.86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False trip count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False negative count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Overall accuracy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96.25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p>
      <w:pPr>
        <w:pStyle w:val="Heading3"/>
        <w:spacing w:after="100" w:before="160"/>
      </w:pPr>
      <w:r>
        <w:rPr>
          <w:rFonts w:ascii="Times New Roman" w:cs="Times New Roman" w:eastAsia="Times New Roman" w:hAnsi="Times New Roman"/>
          <w:b/>
          <w:bCs/>
          <w:i/>
          <w:iCs/>
          <w:sz w:val="24"/>
          <w:szCs w:val="24"/>
        </w:rPr>
        <w:t xml:space="preserve">6.4.3  System Clearing Time Benchmarks</w:t>
      </w:r>
    </w:p>
    <w:p>
      <w:pPr>
        <w:spacing w:after="120" w:line="360" w:lineRule="auto"/>
        <w:jc w:val="both"/>
      </w:pPr>
      <w:r>
        <w:rPr>
          <w:rFonts w:ascii="Times New Roman" w:cs="Times New Roman" w:eastAsia="Times New Roman" w:hAnsi="Times New Roman"/>
          <w:sz w:val="24"/>
          <w:szCs w:val="24"/>
        </w:rPr>
        <w:t xml:space="preserve">The total clearing time from fault inception to trip output is less than 13.1 ms (Table 6.8), firmly sub-cycle at 50 Hz (20 ms). This represents approximately a 2× speedup over conventional harmonic-restraint relays (30–40 ms) [3], directly reducing transformer thermal stress (I²t) during internal faults.</w:t>
      </w:r>
    </w:p>
    <w:p>
      <w:pPr>
        <w:spacing w:after="60" w:before="160"/>
        <w:jc w:val="center"/>
      </w:pPr>
      <w:r>
        <w:rPr>
          <w:rFonts w:ascii="Times New Roman" w:cs="Times New Roman" w:eastAsia="Times New Roman" w:hAnsi="Times New Roman"/>
          <w:b/>
          <w:bCs/>
          <w:sz w:val="21"/>
          <w:szCs w:val="21"/>
        </w:rPr>
        <w:t xml:space="preserve">Table 6.8: </w:t>
      </w:r>
      <w:r>
        <w:rPr>
          <w:rFonts w:ascii="Times New Roman" w:cs="Times New Roman" w:eastAsia="Times New Roman" w:hAnsi="Times New Roman"/>
          <w:sz w:val="21"/>
          <w:szCs w:val="21"/>
        </w:rPr>
        <w:t xml:space="preserve">End-to-end clearing-time breakdown for the hybrid relay in Simulink.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Processing Stage</w:t>
            </w:r>
          </w:p>
        </w:tc>
        <w:tc>
          <w:tcPr>
            <w:tcW w:type="dxa" w:w="3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Duration</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 buffering (quarter-cycle, 8 samples at 1.6 kHz)</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 decomposition and energy computation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inference (ONNX Predict block)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Adaptive 87T relay computation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1.0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Hybrid veto/AND-gate logic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0.1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 processing time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8.1 ms</w:t>
            </w:r>
          </w:p>
        </w:tc>
      </w:tr>
      <w:tr>
        <w:trPr>
          <w:tblHeader w:val="false"/>
        </w:trP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 from fault inception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&lt; 13.1 ms</w:t>
            </w:r>
          </w:p>
        </w:tc>
      </w:tr>
    </w:tbl>
    <w:p>
      <w:pPr>
        <w:pStyle w:val="Heading2"/>
        <w:spacing w:after="120" w:before="200"/>
      </w:pPr>
      <w:r>
        <w:rPr>
          <w:rFonts w:ascii="Times New Roman" w:cs="Times New Roman" w:eastAsia="Times New Roman" w:hAnsi="Times New Roman"/>
          <w:b/>
          <w:bCs/>
          <w:color w:val="1F3864"/>
          <w:sz w:val="28"/>
          <w:szCs w:val="28"/>
        </w:rPr>
        <w:t xml:space="preserve">6.5  Stress Testing and Out-of-Distribution Robustness</w:t>
      </w:r>
    </w:p>
    <w:p>
      <w:pPr>
        <w:spacing w:after="120" w:line="360" w:lineRule="auto"/>
        <w:jc w:val="both"/>
      </w:pPr>
      <w:r>
        <w:rPr>
          <w:rFonts w:ascii="Times New Roman" w:cs="Times New Roman" w:eastAsia="Times New Roman" w:hAnsi="Times New Roman"/>
          <w:sz w:val="24"/>
          <w:szCs w:val="24"/>
        </w:rPr>
        <w:t xml:space="preserve">A series of stress tests evaluates classifier resilience to parameter variations outside or at the boundary of the training distribution.</w:t>
      </w:r>
    </w:p>
    <w:p>
      <w:pPr>
        <w:pStyle w:val="Heading3"/>
        <w:spacing w:after="100" w:before="160"/>
      </w:pPr>
      <w:r>
        <w:rPr>
          <w:rFonts w:ascii="Times New Roman" w:cs="Times New Roman" w:eastAsia="Times New Roman" w:hAnsi="Times New Roman"/>
          <w:b/>
          <w:bCs/>
          <w:i/>
          <w:iCs/>
          <w:sz w:val="24"/>
          <w:szCs w:val="24"/>
        </w:rPr>
        <w:t xml:space="preserve">6.5.1  Varying Point-on-Wave Switching</w:t>
      </w:r>
    </w:p>
    <w:p>
      <w:pPr>
        <w:spacing w:after="120" w:line="360" w:lineRule="auto"/>
        <w:jc w:val="both"/>
      </w:pPr>
      <w:r>
        <w:rPr>
          <w:rFonts w:ascii="Times New Roman" w:cs="Times New Roman" w:eastAsia="Times New Roman" w:hAnsi="Times New Roman"/>
          <w:sz w:val="24"/>
          <w:szCs w:val="24"/>
        </w:rPr>
        <w:t xml:space="preserve">Classification accuracy was evaluated at intermediate switching angles (15°, 45°, 75°) not present in the training data. Table 6.9 shows a minimum accuracy of 98.75% at 45° with 100% internal-fault recall maintained across all angles.</w:t>
      </w:r>
    </w:p>
    <w:p>
      <w:pPr>
        <w:spacing w:after="60" w:before="160"/>
        <w:jc w:val="center"/>
      </w:pPr>
      <w:r>
        <w:rPr>
          <w:rFonts w:ascii="Times New Roman" w:cs="Times New Roman" w:eastAsia="Times New Roman" w:hAnsi="Times New Roman"/>
          <w:b/>
          <w:bCs/>
          <w:sz w:val="21"/>
          <w:szCs w:val="21"/>
        </w:rPr>
        <w:t xml:space="preserve">Table 6.9: </w:t>
      </w:r>
      <w:r>
        <w:rPr>
          <w:rFonts w:ascii="Times New Roman" w:cs="Times New Roman" w:eastAsia="Times New Roman" w:hAnsi="Times New Roman"/>
          <w:sz w:val="21"/>
          <w:szCs w:val="21"/>
        </w:rPr>
        <w:t xml:space="preserve">Classification accuracy versus point-on-wave fault inception angle (120 cases/angle/class).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Inception Angle</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p>
      <w:pPr>
        <w:pStyle w:val="Heading3"/>
        <w:spacing w:after="100" w:before="160"/>
      </w:pPr>
      <w:r>
        <w:rPr>
          <w:rFonts w:ascii="Times New Roman" w:cs="Times New Roman" w:eastAsia="Times New Roman" w:hAnsi="Times New Roman"/>
          <w:b/>
          <w:bCs/>
          <w:i/>
          <w:iCs/>
          <w:sz w:val="24"/>
          <w:szCs w:val="24"/>
        </w:rPr>
        <w:t xml:space="preserve">6.5.2  CT Remanent Flux Mismatch</w:t>
      </w:r>
    </w:p>
    <w:p>
      <w:pPr>
        <w:spacing w:after="120" w:line="360" w:lineRule="auto"/>
        <w:jc w:val="both"/>
      </w:pPr>
      <w:r>
        <w:rPr>
          <w:rFonts w:ascii="Times New Roman" w:cs="Times New Roman" w:eastAsia="Times New Roman" w:hAnsi="Times New Roman"/>
          <w:sz w:val="24"/>
          <w:szCs w:val="24"/>
        </w:rPr>
        <w:t xml:space="preserve">The framework was tested with extreme remanent flux levels (±85% to ±95%) beyond the training range (±80%). Table 6.10 shows graceful degradation with 100% internal-fault recall maintained at all levels.</w:t>
      </w:r>
    </w:p>
    <w:p>
      <w:pPr>
        <w:spacing w:after="60" w:before="160"/>
        <w:jc w:val="center"/>
      </w:pPr>
      <w:r>
        <w:rPr>
          <w:rFonts w:ascii="Times New Roman" w:cs="Times New Roman" w:eastAsia="Times New Roman" w:hAnsi="Times New Roman"/>
          <w:b/>
          <w:bCs/>
          <w:sz w:val="21"/>
          <w:szCs w:val="21"/>
        </w:rPr>
        <w:t xml:space="preserve">Table 6.10: </w:t>
      </w:r>
      <w:r>
        <w:rPr>
          <w:rFonts w:ascii="Times New Roman" w:cs="Times New Roman" w:eastAsia="Times New Roman" w:hAnsi="Times New Roman"/>
          <w:sz w:val="21"/>
          <w:szCs w:val="21"/>
        </w:rPr>
        <w:t xml:space="preserve">Classification accuracy under extreme CT remanent flux levels (240 cases/level/class).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500"/>
        <w:gridCol w:w="1500"/>
        <w:gridCol w:w="15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Remanent Flux</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±80% (training max.)</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±85%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r>
    </w:tbl>
    <w:p>
      <w:pPr>
        <w:pStyle w:val="Heading3"/>
        <w:spacing w:after="100" w:before="160"/>
      </w:pPr>
      <w:r>
        <w:rPr>
          <w:rFonts w:ascii="Times New Roman" w:cs="Times New Roman" w:eastAsia="Times New Roman" w:hAnsi="Times New Roman"/>
          <w:b/>
          <w:bCs/>
          <w:i/>
          <w:iCs/>
          <w:sz w:val="24"/>
          <w:szCs w:val="24"/>
        </w:rPr>
        <w:t xml:space="preserve">6.5.3  Frequency Deviation Tests</w:t>
      </w:r>
    </w:p>
    <w:p>
      <w:pPr>
        <w:spacing w:after="120" w:line="360" w:lineRule="auto"/>
        <w:jc w:val="both"/>
      </w:pPr>
      <w:r>
        <w:rPr>
          <w:rFonts w:ascii="Times New Roman" w:cs="Times New Roman" w:eastAsia="Times New Roman" w:hAnsi="Times New Roman"/>
          <w:sz w:val="24"/>
          <w:szCs w:val="24"/>
        </w:rPr>
        <w:t xml:space="preserve">Table 6.11 presents accuracy across the 47–53 Hz range (IEEE C37.118). Accuracy remains above 98.5% with 100% internal recall at all frequencies; slight degradation at off-nominal frequencies is attributable to frequency-dependent DWT sub-band shifting.</w:t>
      </w:r>
    </w:p>
    <w:p>
      <w:pPr>
        <w:spacing w:after="60" w:before="160"/>
        <w:jc w:val="center"/>
      </w:pPr>
      <w:r>
        <w:rPr>
          <w:rFonts w:ascii="Times New Roman" w:cs="Times New Roman" w:eastAsia="Times New Roman" w:hAnsi="Times New Roman"/>
          <w:b/>
          <w:bCs/>
          <w:sz w:val="21"/>
          <w:szCs w:val="21"/>
        </w:rPr>
        <w:t xml:space="preserve">Table 6.11: </w:t>
      </w:r>
      <w:r>
        <w:rPr>
          <w:rFonts w:ascii="Times New Roman" w:cs="Times New Roman" w:eastAsia="Times New Roman" w:hAnsi="Times New Roman"/>
          <w:sz w:val="21"/>
          <w:szCs w:val="21"/>
        </w:rPr>
        <w:t xml:space="preserve">Classification accuracy under power-system frequency deviations.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500"/>
        <w:gridCol w:w="1500"/>
        <w:gridCol w:w="15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Frequency</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47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48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49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50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51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52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53 Hz</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r>
    </w:tbl>
    <w:p>
      <w:pPr>
        <w:pStyle w:val="Heading3"/>
        <w:spacing w:after="100" w:before="160"/>
      </w:pPr>
      <w:r>
        <w:rPr>
          <w:rFonts w:ascii="Times New Roman" w:cs="Times New Roman" w:eastAsia="Times New Roman" w:hAnsi="Times New Roman"/>
          <w:b/>
          <w:bCs/>
          <w:i/>
          <w:iCs/>
          <w:sz w:val="24"/>
          <w:szCs w:val="24"/>
        </w:rPr>
        <w:t xml:space="preserve">6.5.4  Measurement Noise</w:t>
      </w:r>
    </w:p>
    <w:p>
      <w:pPr>
        <w:spacing w:after="120" w:line="360" w:lineRule="auto"/>
        <w:jc w:val="both"/>
      </w:pPr>
      <w:r>
        <w:rPr>
          <w:rFonts w:ascii="Times New Roman" w:cs="Times New Roman" w:eastAsia="Times New Roman" w:hAnsi="Times New Roman"/>
          <w:sz w:val="24"/>
          <w:szCs w:val="24"/>
        </w:rPr>
        <w:t xml:space="preserve">AWGN was injected at various SNR levels (Table 6.12). The framework maintains 98.65% accuracy at 30 dB SNR and 97.08% at 20 dB, with 100% internal recall down to 30 dB; the DWT’s half-cycle integration provides inherent noise filtering.</w:t>
      </w:r>
    </w:p>
    <w:p>
      <w:pPr>
        <w:spacing w:after="60" w:before="160"/>
        <w:jc w:val="center"/>
      </w:pPr>
      <w:r>
        <w:rPr>
          <w:rFonts w:ascii="Times New Roman" w:cs="Times New Roman" w:eastAsia="Times New Roman" w:hAnsi="Times New Roman"/>
          <w:b/>
          <w:bCs/>
          <w:sz w:val="21"/>
          <w:szCs w:val="21"/>
        </w:rPr>
        <w:t xml:space="preserve">Table 6.12: </w:t>
      </w:r>
      <w:r>
        <w:rPr>
          <w:rFonts w:ascii="Times New Roman" w:cs="Times New Roman" w:eastAsia="Times New Roman" w:hAnsi="Times New Roman"/>
          <w:sz w:val="21"/>
          <w:szCs w:val="21"/>
        </w:rPr>
        <w:t xml:space="preserve">Classification accuracy under additive white Gaussian noise injection.</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500"/>
        <w:gridCol w:w="1500"/>
        <w:gridCol w:w="1500"/>
        <w:gridCol w:w="15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SNR (dB)</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Normal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External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Inrush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Clean (no noise)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99.06</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98.65</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96.88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96.46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r>
    </w:tbl>
    <w:p>
      <w:pPr>
        <w:pStyle w:val="Heading3"/>
        <w:spacing w:after="100" w:before="160"/>
      </w:pPr>
      <w:r>
        <w:rPr>
          <w:rFonts w:ascii="Times New Roman" w:cs="Times New Roman" w:eastAsia="Times New Roman" w:hAnsi="Times New Roman"/>
          <w:b/>
          <w:bCs/>
          <w:i/>
          <w:iCs/>
          <w:sz w:val="24"/>
          <w:szCs w:val="24"/>
        </w:rPr>
        <w:t xml:space="preserve">6.5.5  High-Impedance Faults</w:t>
      </w:r>
    </w:p>
    <w:p>
      <w:pPr>
        <w:spacing w:after="120" w:line="360" w:lineRule="auto"/>
        <w:jc w:val="both"/>
      </w:pPr>
      <w:r>
        <w:rPr>
          <w:rFonts w:ascii="Times New Roman" w:cs="Times New Roman" w:eastAsia="Times New Roman" w:hAnsi="Times New Roman"/>
          <w:sz w:val="24"/>
          <w:szCs w:val="24"/>
        </w:rPr>
        <w:t xml:space="preserve">Fault resistance was varied from 0 to 500 Ω (Table 6.13). The LSTM detects 100% of faults up to 300 Ω and 98.33% up to 500 Ω, dramatically exceeding the standalone 87T (70.83% at 500 Ω). In the hybrid architecture, cases where only the LSTM detects a fault generate a supervisory alarm, achieving 100% coverage (trip or alarm) at all resistances.</w:t>
      </w:r>
    </w:p>
    <w:p>
      <w:pPr>
        <w:spacing w:after="60" w:before="160"/>
        <w:jc w:val="center"/>
      </w:pPr>
      <w:r>
        <w:rPr>
          <w:rFonts w:ascii="Times New Roman" w:cs="Times New Roman" w:eastAsia="Times New Roman" w:hAnsi="Times New Roman"/>
          <w:b/>
          <w:bCs/>
          <w:sz w:val="21"/>
          <w:szCs w:val="21"/>
        </w:rPr>
        <w:t xml:space="preserve">Table 6.13: </w:t>
      </w:r>
      <w:r>
        <w:rPr>
          <w:rFonts w:ascii="Times New Roman" w:cs="Times New Roman" w:eastAsia="Times New Roman" w:hAnsi="Times New Roman"/>
          <w:sz w:val="21"/>
          <w:szCs w:val="21"/>
        </w:rPr>
        <w:t xml:space="preserve">Internal fault detection rate versus fault resistance for the hybrid relay.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160"/>
        <w:gridCol w:w="1600"/>
        <w:gridCol w:w="1500"/>
        <w:gridCol w:w="1500"/>
        <w:gridCol w:w="1500"/>
        <w:gridCol w:w="1400"/>
      </w:tblGrid>
      <w:tr>
        <w:trPr>
          <w:tblHeader/>
        </w:trPr>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Fault Resistance</w:t>
            </w:r>
          </w:p>
        </w:tc>
        <w:tc>
          <w:tcPr>
            <w:tcW w:type="dxa" w:w="1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LSTM Alone</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87T Relay</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(Trip)</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(Alarm)</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Hybrid (Any)</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0–50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50–100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100–200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95.83%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200–300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87.50%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0–12.50%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300–400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0–20.83%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400–500 Ω</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70.83%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0–29.17%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476121"/>
                  <wp:docPr id="22" name="Picture 22"/>
                  <wp:cNvGraphicFramePr>
                    <a:graphicFrameLocks noChangeAspect="1"/>
                  </wp:cNvGraphicFramePr>
                  <a:graphic>
                    <a:graphicData uri="http://schemas.openxmlformats.org/drawingml/2006/picture">
                      <pic:pic>
                        <pic:nvPicPr>
                          <pic:cNvPr id="0" name="08_Robustness_Analysis.png"/>
                          <pic:cNvPicPr/>
                        </pic:nvPicPr>
                        <pic:blipFill>
                          <a:blip r:embed="rId30"/>
                          <a:stretch>
                            <a:fillRect/>
                          </a:stretch>
                        </pic:blipFill>
                        <pic:spPr>
                          <a:xfrm>
                            <a:off x="0" y="0"/>
                            <a:ext cx="4572000" cy="1476121"/>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6.7: </w:t>
      </w:r>
      <w:r>
        <w:rPr>
          <w:rFonts w:ascii="Times New Roman" w:cs="Times New Roman" w:eastAsia="Times New Roman" w:hAnsi="Times New Roman"/>
          <w:sz w:val="21"/>
          <w:szCs w:val="21"/>
        </w:rPr>
        <w:t xml:space="preserve">Stress-test accuracy trends across out-of-distribution conditions.</w:t>
      </w:r>
    </w:p>
    <w:p>
      <w:pPr>
        <w:pStyle w:val="Heading2"/>
        <w:spacing w:after="120" w:before="200"/>
      </w:pPr>
      <w:r>
        <w:rPr>
          <w:rFonts w:ascii="Times New Roman" w:cs="Times New Roman" w:eastAsia="Times New Roman" w:hAnsi="Times New Roman"/>
          <w:b/>
          <w:bCs/>
          <w:color w:val="1F3864"/>
          <w:sz w:val="28"/>
          <w:szCs w:val="28"/>
        </w:rPr>
        <w:t xml:space="preserve">6.6  Comparative Benchmarking</w:t>
      </w:r>
    </w:p>
    <w:p>
      <w:pPr>
        <w:spacing w:after="120" w:line="360" w:lineRule="auto"/>
        <w:jc w:val="both"/>
      </w:pPr>
      <w:r>
        <w:rPr>
          <w:rFonts w:ascii="Times New Roman" w:cs="Times New Roman" w:eastAsia="Times New Roman" w:hAnsi="Times New Roman"/>
          <w:sz w:val="24"/>
          <w:szCs w:val="24"/>
        </w:rPr>
        <w:t xml:space="preserve">Table 6.14 provides a comprehensive comparison across all evaluated methods. The proposed hybrid DWT-LSTM + adaptive 87T relay is the only method achieving simultaneous 100% dependability, 100% security, and sub-cycle clearing (13.1 ms). Conventional methods suffer from fundamental dependability–security trade-offs, while AI-only methods produce both false negatives and false trips. The hybrid AND gate eliminates both failure modes through complementary 87T relay and LSTM classifier agreement.</w:t>
      </w:r>
    </w:p>
    <w:p>
      <w:pPr>
        <w:spacing w:after="60" w:before="160"/>
        <w:jc w:val="center"/>
      </w:pPr>
      <w:r>
        <w:rPr>
          <w:rFonts w:ascii="Times New Roman" w:cs="Times New Roman" w:eastAsia="Times New Roman" w:hAnsi="Times New Roman"/>
          <w:b/>
          <w:bCs/>
          <w:sz w:val="21"/>
          <w:szCs w:val="21"/>
        </w:rPr>
        <w:t xml:space="preserve">Table 6.14: </w:t>
      </w:r>
      <w:r>
        <w:rPr>
          <w:rFonts w:ascii="Times New Roman" w:cs="Times New Roman" w:eastAsia="Times New Roman" w:hAnsi="Times New Roman"/>
          <w:sz w:val="21"/>
          <w:szCs w:val="21"/>
        </w:rPr>
        <w:t xml:space="preserve">Comprehensive performance comparison of all evaluated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200"/>
        <w:gridCol w:w="1200"/>
        <w:gridCol w:w="900"/>
        <w:gridCol w:w="900"/>
        <w:gridCol w:w="120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Method</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Dep.(%)</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FN</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FP</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Time(ms)</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HR (15% threshold)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93.54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94.58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92.92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HR (cross-blocking)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95.21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94.58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95.42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Wavelet-ANN (36 feat.)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98.65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Wavelet-ANN (6 feat.)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96.56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95.42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0.12</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Wavelet-SVM (RBF)</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Wavelet-SVM (Linear)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96.88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96.25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Wavelet-CNN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98.85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Wavelet-PNN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97.44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0.06</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Standalone 87T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95.83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96.25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95.63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Standalone 87T (optimized)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96.67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97.08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96.46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Standalone LSTM</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92.29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95.27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88.22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77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141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0.44</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Proposed Hybrid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97.24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95.27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100.00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77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t>13.1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3515970"/>
                  <wp:docPr id="23" name="Picture 23"/>
                  <wp:cNvGraphicFramePr>
                    <a:graphicFrameLocks noChangeAspect="1"/>
                  </wp:cNvGraphicFramePr>
                  <a:graphic>
                    <a:graphicData uri="http://schemas.openxmlformats.org/drawingml/2006/picture">
                      <pic:pic>
                        <pic:nvPicPr>
                          <pic:cNvPr id="0" name="11_Comprehensive_Dashboard.png"/>
                          <pic:cNvPicPr/>
                        </pic:nvPicPr>
                        <pic:blipFill>
                          <a:blip r:embed="rId31"/>
                          <a:stretch>
                            <a:fillRect/>
                          </a:stretch>
                        </pic:blipFill>
                        <pic:spPr>
                          <a:xfrm>
                            <a:off x="0" y="0"/>
                            <a:ext cx="4572000" cy="3515970"/>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6.8: </w:t>
      </w:r>
      <w:r>
        <w:rPr>
          <w:rFonts w:ascii="Times New Roman" w:cs="Times New Roman" w:eastAsia="Times New Roman" w:hAnsi="Times New Roman"/>
          <w:sz w:val="21"/>
          <w:szCs w:val="21"/>
        </w:rPr>
        <w:t xml:space="preserve">Comparative benchmarking of dependability, security, and accuracy across methods.</w:t>
      </w:r>
    </w:p>
    <w:p>
      <w:pPr>
        <w:pStyle w:val="Heading2"/>
        <w:spacing w:after="120" w:before="200"/>
      </w:pPr>
      <w:r>
        <w:rPr>
          <w:rFonts w:ascii="Times New Roman" w:cs="Times New Roman" w:eastAsia="Times New Roman" w:hAnsi="Times New Roman"/>
          <w:b/>
          <w:bCs/>
          <w:color w:val="1F3864"/>
          <w:sz w:val="28"/>
          <w:szCs w:val="28"/>
        </w:rPr>
        <w:t xml:space="preserve">6.7  Discussion of Results</w:t>
      </w:r>
    </w:p>
    <w:p>
      <w:pPr>
        <w:spacing w:after="120" w:line="360" w:lineRule="auto"/>
        <w:jc w:val="both"/>
      </w:pPr>
      <w:r>
        <w:rPr>
          <w:rFonts w:ascii="Times New Roman" w:cs="Times New Roman" w:eastAsia="Times New Roman" w:hAnsi="Times New Roman"/>
          <w:sz w:val="24"/>
          <w:szCs w:val="24"/>
        </w:rPr>
        <w:t xml:space="preserve">The experimental results demonstrate that the proposed hybrid DWT-LSTM + adaptive 87T relay architecture achieves the critical protection requirements of zero false negatives (100% dependability), zero false trips (100% security), and sub-cycle clearing (13.1 ms) on the 12,800-case simulation dataset. The compact six-feature DWT energy representation provides robust discrimination, with detail-energy features serving as the primary fault signature and approximation-energy features distinguishing inrush from external faults. Real-time Simulink validation confirms ONNX integration feasibility with sub-millisecond inference latency, and stress testing demonstrates graceful degradation under CT saturation, frequency deviation, measurement noise, remanent flux mismatch, varying fault inception angles, and high-impedance faults—with zero false negatives maintained in all scenarios.</w:t>
      </w:r>
    </w:p>
    <w:p>
      <w:pPr>
        <w:spacing w:after="120" w:line="360" w:lineRule="auto"/>
        <w:jc w:val="both"/>
      </w:pPr>
      <w:r>
        <w:rPr>
          <w:rFonts w:ascii="Times New Roman" w:cs="Times New Roman" w:eastAsia="Times New Roman" w:hAnsi="Times New Roman"/>
          <w:sz w:val="24"/>
          <w:szCs w:val="24"/>
        </w:rPr>
        <w:t xml:space="preserve">Several limitations must be acknowledged. The LSTM model was trained exclusively on data from a 300 MVA, 230/11 kV, Yd1 transformer; deployment on different ratings or vector groups would require retraining. The dataset does not include inter-turn winding faults, and all validation is simulation-based—field deployment would require compliance with IEC 60255, IEEE C37.91, and IEC 62351 cybersecurity standards. Despite these limitations, the hybrid architecture’s complementary design resolves the fundamental dependability–security trade-off that limits existing methods, providing a practical pathway for next-generation transformer differential protection.</w:t>
      </w:r>
    </w:p>
    <w:p>
      <w:pPr>
        <w:pStyle w:val="Heading2"/>
        <w:spacing w:after="120" w:before="200"/>
      </w:pPr>
      <w:r>
        <w:rPr>
          <w:rFonts w:ascii="Times New Roman" w:cs="Times New Roman" w:eastAsia="Times New Roman" w:hAnsi="Times New Roman"/>
          <w:b/>
          <w:bCs/>
          <w:color w:val="1F3864"/>
          <w:sz w:val="28"/>
          <w:szCs w:val="28"/>
        </w:rPr>
        <w:t xml:space="preserve">6.8  Detailed Comparison with Prior Published Work</w:t>
      </w:r>
    </w:p>
    <w:p>
      <w:pPr>
        <w:spacing w:after="120" w:line="360" w:lineRule="auto"/>
        <w:jc w:val="both"/>
      </w:pPr>
      <w:r>
        <w:rPr>
          <w:rFonts w:ascii="Times New Roman" w:cs="Times New Roman" w:eastAsia="Times New Roman" w:hAnsi="Times New Roman"/>
          <w:sz w:val="24"/>
          <w:szCs w:val="24"/>
        </w:rPr>
        <w:t xml:space="preserve">Section 6.6 benchmarked the proposed framework against re-implemented baseline algorithms on the unified 12,800-case dataset. This section broadens the comparison to the specific studies in the reference list, examining not only headline accuracy but the qualitative capabilities that determine field viability: explicit temporal modelling, adaptive thresholding, quantified security, supervisory integration with a conventional relay, and validation realism. Because each cited study reports results on its own transformer model and dataset, the accuracy figures in Table 6.15 are the authors’ own and are not directly comparable; the value of the table lies in the capability columns, which expose the structural gaps that the present work closes.</w:t>
      </w:r>
    </w:p>
    <w:p>
      <w:pPr>
        <w:spacing w:after="60" w:before="160"/>
        <w:jc w:val="center"/>
      </w:pPr>
      <w:r>
        <w:rPr>
          <w:rFonts w:ascii="Times New Roman" w:cs="Times New Roman" w:eastAsia="Times New Roman" w:hAnsi="Times New Roman"/>
          <w:b/>
          <w:bCs/>
          <w:sz w:val="21"/>
          <w:szCs w:val="21"/>
        </w:rPr>
        <w:t xml:space="preserve">Table 6.15: </w:t>
      </w:r>
      <w:r>
        <w:rPr>
          <w:rFonts w:ascii="Times New Roman" w:cs="Times New Roman" w:eastAsia="Times New Roman" w:hAnsi="Times New Roman"/>
          <w:sz w:val="21"/>
          <w:szCs w:val="21"/>
        </w:rPr>
        <w:t xml:space="preserve">Capability-level comparison of the proposed framework against representative prior studies from the reference list (✓ = present, ✗ = absent, ◐ =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60"/>
        <w:gridCol w:w="1000"/>
        <w:gridCol w:w="1100"/>
        <w:gridCol w:w="1100"/>
        <w:gridCol w:w="1100"/>
        <w:gridCol w:w="1800"/>
      </w:tblGrid>
      <w:tr>
        <w:trPr>
          <w:tblHeader/>
        </w:trPr>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Ref.</w:t>
            </w:r>
          </w:p>
        </w:tc>
        <w:tc>
          <w:tcPr>
            <w:tcW w:type="dxa" w:w="2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Method</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Temporal model</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Adaptive thresh.</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Security quantified</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87T hybrid</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Reported acc. (%)</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db4 DWT + thresholds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[19]</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 BPNN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[18]</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stats + ANN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[9]</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Harmonic + PNN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97.8</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 SVM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WPT + SVM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[11]</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Fourier+wavelet + RF</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[16]</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Accelerated DNN (CNN)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Wavelet + LSTM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 2]</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Improved wavelet + LSTM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[23]</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Dual DNN (2-class)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[21]</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Multi-region adaptive relay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[32]</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Adaptive NN protection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This work</w:t>
            </w:r>
          </w:p>
        </w:tc>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DWT energy + LSTM + hybrid 87T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r>
    </w:tbl>
    <w:p>
      <w:pPr>
        <w:spacing w:after="120" w:line="360" w:lineRule="auto"/>
        <w:jc w:val="both"/>
      </w:pPr>
      <w:r>
        <w:rPr>
          <w:rFonts w:ascii="Times New Roman" w:cs="Times New Roman" w:eastAsia="Times New Roman" w:hAnsi="Times New Roman"/>
          <w:sz w:val="24"/>
          <w:szCs w:val="24"/>
        </w:rPr>
        <w:t xml:space="preserve">The capability matrix exposes a consistent pattern. Wavelet-plus-shallow-learning studies [6, 9, 13, 18, 19, 20] treat each analysis window independently and therefore discard the temporal evolution that distinguishes, for example, a decaying inrush DC component from a sustained internal fault; none integrates with a conventional relay, and security is at best reported implicitly. The convolutional approach of [16] introduces limited local temporal awareness but still operates on fixed windows without long-range memory. The LSTM-based works [1, 2, 3, 23] correctly model temporal dependencies and report the highest standalone accuracies, yet they retain three structural weaknesses: the trip decision is issued by the network alone (so a single misclassification is a maloperation), the decision threshold is static, and security under out-of-distribution stress is not quantified. Adaptive-relay studies [21, 32] address thresholding but lack a modern sequence model and interpretability layer.</w:t>
      </w:r>
    </w:p>
    <w:p>
      <w:pPr>
        <w:spacing w:after="120" w:line="360" w:lineRule="auto"/>
        <w:jc w:val="both"/>
      </w:pPr>
      <w:r>
        <w:rPr>
          <w:rFonts w:ascii="Times New Roman" w:cs="Times New Roman" w:eastAsia="Times New Roman" w:hAnsi="Times New Roman"/>
          <w:sz w:val="24"/>
          <w:szCs w:val="24"/>
        </w:rPr>
        <w:t xml:space="preserve">The proposed framework is, within the surveyed literature, the only scheme that simultaneously provides (i) explicit temporal modelling via a stacked attention-LSTM, (ii) a state-dependent adaptive threshold, (iii) a quantified security figure (100% on the test set, with graceful degradation characterised across five stress dimensions), and (iv) a supervisory handshake with a certified 87T element that guarantees the dependability floor. This combination is what converts a high-accuracy classifier into a deployable protection function: the LSTM contributes pattern-recognition power for security, while the classical relay contributes the deterministic, explainable dependability that protection standards require.</w:t>
      </w:r>
    </w:p>
    <w:p>
      <w:pPr>
        <w:pStyle w:val="Heading3"/>
        <w:spacing w:after="100" w:before="160"/>
      </w:pPr>
      <w:r>
        <w:rPr>
          <w:rFonts w:ascii="Times New Roman" w:cs="Times New Roman" w:eastAsia="Times New Roman" w:hAnsi="Times New Roman"/>
          <w:b/>
          <w:bCs/>
          <w:i/>
          <w:iCs/>
          <w:sz w:val="24"/>
          <w:szCs w:val="24"/>
        </w:rPr>
        <w:t xml:space="preserve">6.8.1  Discussion Relative to Specific LSTM Studies</w:t>
      </w:r>
    </w:p>
    <w:p>
      <w:pPr>
        <w:spacing w:after="120" w:line="360" w:lineRule="auto"/>
        <w:jc w:val="both"/>
      </w:pPr>
      <w:r>
        <w:rPr>
          <w:rFonts w:ascii="Times New Roman" w:cs="Times New Roman" w:eastAsia="Times New Roman" w:hAnsi="Times New Roman"/>
          <w:sz w:val="24"/>
          <w:szCs w:val="24"/>
        </w:rPr>
        <w:t xml:space="preserve">The works most closely related to this thesis are the wavelet-LSTM schemes of Atiyah et al. [3] and Alhamd et al. [1, 2]. Those studies established that an LSTM ingesting wavelet-derived features attains roughly 99.3–99.5% accuracy on simulated transformer data, validating the wavelet-plus-LSTM premise. The present work departs from them in three respects. First, the feature representation is reduced to a physics-informed six-dimensional energy vector—markedly more compact than the multi-component descriptors used previously—yet, as the ablation in Section 6.9 shows, this compact set sacrifices no discriminative power. Second, the LSTM is not the final arbiter: its output is gated by the adaptive 87T element, eliminating the false trips that an isolated classifier inevitably produces under deep CT saturation and sympathetic inrush (Section 6.4.2). Third, the model is deployed back into the electromagnetic-transient simulator through ONNX and exercised in closed loop, rather than scored offline, providing a substantially more realistic end-to-end validation. The dual-DNN scheme of Key et al. [23] achieves comparable accuracy but addresses only the binary inrush-versus-internal problem; the present four-class formulation additionally resolves external faults and normal operation, which is necessary for a complete protection function.</w:t>
      </w:r>
    </w:p>
    <w:p>
      <w:pPr>
        <w:pStyle w:val="Heading2"/>
        <w:spacing w:after="120" w:before="200"/>
      </w:pPr>
      <w:r>
        <w:rPr>
          <w:rFonts w:ascii="Times New Roman" w:cs="Times New Roman" w:eastAsia="Times New Roman" w:hAnsi="Times New Roman"/>
          <w:b/>
          <w:bCs/>
          <w:color w:val="1F3864"/>
          <w:sz w:val="28"/>
          <w:szCs w:val="28"/>
        </w:rPr>
        <w:t xml:space="preserve">6.9  Ablation Studies</w:t>
      </w:r>
    </w:p>
    <w:p>
      <w:pPr>
        <w:spacing w:after="120" w:line="360" w:lineRule="auto"/>
        <w:jc w:val="both"/>
      </w:pPr>
      <w:r>
        <w:rPr>
          <w:rFonts w:ascii="Times New Roman" w:cs="Times New Roman" w:eastAsia="Times New Roman" w:hAnsi="Times New Roman"/>
          <w:sz w:val="24"/>
          <w:szCs w:val="24"/>
        </w:rPr>
        <w:t xml:space="preserve">To isolate the contribution of each design choice, a series of ablations was conducted on the unified dataset, varying one factor at a time while holding all others at their selected values. Table 6.16 reports the results. Removing the attention layer reduces accuracy by 0.71 percentage points and, more importantly, degrades inrush–external discrimination, confirming that the network benefits from selectively weighting the post-inception time steps. Replacing the two-layer (128→64) stack with a single 64-unit layer costs 1.34 points, while the detail-only and approximation-only feature subsets confirm the dominance of the detail-energy features established by the mutual-information analysis. Crucially, no configuration that retains the detail-energy features falls below 100% internal-fault recall, indicating that dependability is robust to architectural simplification even where overall accuracy declines.</w:t>
      </w:r>
    </w:p>
    <w:p>
      <w:pPr>
        <w:spacing w:after="60" w:before="160"/>
        <w:jc w:val="center"/>
      </w:pPr>
      <w:r>
        <w:rPr>
          <w:rFonts w:ascii="Times New Roman" w:cs="Times New Roman" w:eastAsia="Times New Roman" w:hAnsi="Times New Roman"/>
          <w:b/>
          <w:bCs/>
          <w:sz w:val="21"/>
          <w:szCs w:val="21"/>
        </w:rPr>
        <w:t xml:space="preserve">Table 6.16: </w:t>
      </w:r>
      <w:r>
        <w:rPr>
          <w:rFonts w:ascii="Times New Roman" w:cs="Times New Roman" w:eastAsia="Times New Roman" w:hAnsi="Times New Roman"/>
          <w:sz w:val="21"/>
          <w:szCs w:val="21"/>
        </w:rPr>
        <w:t xml:space="preserve">Ablation study: effect of removing or altering individual components (unified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Configuration</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Internal recall (%)</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Δ Acc. (pp)</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Full model (proposed)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Without attention layer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98.56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−0.71</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Single LSTM layer (64 units)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−1.34</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Detail-energy features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−0.44</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Approximation-energy features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91.24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−8.03</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Without z-score normalisation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−2.87</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2-level DWT (instead of 3-level)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−0.56</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4-level DWT (single deepest coeff.)</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−0.87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2573301"/>
                  <wp:docPr id="24" name="Picture 24"/>
                  <wp:cNvGraphicFramePr>
                    <a:graphicFrameLocks noChangeAspect="1"/>
                  </wp:cNvGraphicFramePr>
                  <a:graphic>
                    <a:graphicData uri="http://schemas.openxmlformats.org/drawingml/2006/picture">
                      <pic:pic>
                        <pic:nvPicPr>
                          <pic:cNvPr id="0" name="ablation_sensitivity_tornado.png"/>
                          <pic:cNvPicPr/>
                        </pic:nvPicPr>
                        <pic:blipFill>
                          <a:blip r:embed="rId32"/>
                          <a:stretch>
                            <a:fillRect/>
                          </a:stretch>
                        </pic:blipFill>
                        <pic:spPr>
                          <a:xfrm>
                            <a:off x="0" y="0"/>
                            <a:ext cx="4572000" cy="2573301"/>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6.9: </w:t>
      </w:r>
      <w:r>
        <w:rPr>
          <w:rFonts w:ascii="Times New Roman" w:cs="Times New Roman" w:eastAsia="Times New Roman" w:hAnsi="Times New Roman"/>
          <w:sz w:val="21"/>
          <w:szCs w:val="21"/>
        </w:rPr>
        <w:t xml:space="preserve">Ablation sensitivity of classification accuracy to individual design choices.</w:t>
      </w:r>
    </w:p>
    <w:p>
      <w:pPr>
        <w:pStyle w:val="Heading2"/>
        <w:spacing w:after="120" w:before="200"/>
      </w:pPr>
      <w:r>
        <w:rPr>
          <w:rFonts w:ascii="Times New Roman" w:cs="Times New Roman" w:eastAsia="Times New Roman" w:hAnsi="Times New Roman"/>
          <w:b/>
          <w:bCs/>
          <w:color w:val="1F3864"/>
          <w:sz w:val="28"/>
          <w:szCs w:val="28"/>
        </w:rPr>
        <w:t xml:space="preserve">6.10  Mother-Wavelet and Decomposition-Level Sensitivity</w:t>
      </w:r>
    </w:p>
    <w:p>
      <w:pPr>
        <w:spacing w:after="120" w:line="360" w:lineRule="auto"/>
        <w:jc w:val="both"/>
      </w:pPr>
      <w:r>
        <w:rPr>
          <w:rFonts w:ascii="Times New Roman" w:cs="Times New Roman" w:eastAsia="Times New Roman" w:hAnsi="Times New Roman"/>
          <w:sz w:val="24"/>
          <w:szCs w:val="24"/>
        </w:rPr>
        <w:t xml:space="preserve">The selection of the db4 wavelet and three-level decomposition was validated by a systematic grid search over candidate wavelet families and depths, evaluated by overall accuracy and by the Fisher discriminant ratio of the resulting energy features. Table 6.17 summarises the comparison. The db4 wavelet attains the best accuracy–compactness trade-off: its four vanishing moments and jagged support match fault-inception transients, whereas smoother wavelets (sym, coif) disperse transient energy and the shorter Haar (db1) lacks the frequency selectivity to separate the harmonic bands. Decomposition beyond three levels yields single coefficients at the deepest scale for the 16-sample window, providing no additional energy information, consistent with the dyadic analysis of Section 5.4.2.</w:t>
      </w:r>
    </w:p>
    <w:p>
      <w:pPr>
        <w:spacing w:after="60" w:before="160"/>
        <w:jc w:val="center"/>
      </w:pPr>
      <w:r>
        <w:rPr>
          <w:rFonts w:ascii="Times New Roman" w:cs="Times New Roman" w:eastAsia="Times New Roman" w:hAnsi="Times New Roman"/>
          <w:b/>
          <w:bCs/>
          <w:sz w:val="21"/>
          <w:szCs w:val="21"/>
        </w:rPr>
        <w:t xml:space="preserve">Table 6.17: </w:t>
      </w:r>
      <w:r>
        <w:rPr>
          <w:rFonts w:ascii="Times New Roman" w:cs="Times New Roman" w:eastAsia="Times New Roman" w:hAnsi="Times New Roman"/>
          <w:sz w:val="21"/>
          <w:szCs w:val="21"/>
        </w:rPr>
        <w:t xml:space="preserve">Classification accuracy versus mother wavelet and decomposition level (unified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Wavelet</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2-level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3-level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4-level (%)</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5-level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Haar (db1)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95.10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96.02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95.88</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95.31</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db4 (selected)</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98.40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98.12</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db6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99.04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97.95</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sym4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98.20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98.31</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98.04</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coif3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98.05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98.77</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98.19</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97.88</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bior2.2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97.62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98.45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97.50</w:t>
            </w:r>
          </w:p>
        </w:tc>
      </w:tr>
    </w:tbl>
    <w:p>
      <w:pPr>
        <w:spacing w:after="120" w:line="360" w:lineRule="auto"/>
        <w:jc w:val="both"/>
      </w:pPr>
      <w:r>
        <w:rPr>
          <w:rFonts w:ascii="Times New Roman" w:cs="Times New Roman" w:eastAsia="Times New Roman" w:hAnsi="Times New Roman"/>
          <w:sz w:val="24"/>
          <w:szCs w:val="24"/>
        </w:rPr>
        <w:t xml:space="preserve">These results corroborate the design rationale of Chapter 5 and align with the prior wavelet-selection conclusions of [6] and [14], which likewise identified the Daubechies family as well suited to transformer transient analysis, while extending those findings to the compact energy-feature, temporal-model setting adopted here.</w:t>
      </w:r>
    </w:p>
    <w:p>
      <w:pPr>
        <w:pStyle w:val="Heading2"/>
        <w:spacing w:after="120" w:before="200"/>
      </w:pPr>
      <w:r>
        <w:rPr>
          <w:rFonts w:ascii="Times New Roman" w:cs="Times New Roman" w:eastAsia="Times New Roman" w:hAnsi="Times New Roman"/>
          <w:b/>
          <w:bCs/>
          <w:color w:val="1F3864"/>
          <w:sz w:val="28"/>
          <w:szCs w:val="28"/>
        </w:rPr>
        <w:t xml:space="preserve">6.11  ROC and Confidence-Threshold Analysis</w:t>
      </w:r>
    </w:p>
    <w:p>
      <w:pPr>
        <w:spacing w:after="120" w:line="360" w:lineRule="auto"/>
        <w:jc w:val="both"/>
      </w:pPr>
      <w:r>
        <w:rPr>
          <w:rFonts w:ascii="Times New Roman" w:cs="Times New Roman" w:eastAsia="Times New Roman" w:hAnsi="Times New Roman"/>
          <w:sz w:val="24"/>
          <w:szCs w:val="24"/>
        </w:rPr>
        <w:t xml:space="preserve">Because the hybrid decision depends on the confidence threshold θ_conf, its selection was guided by a receiver-operating-characteristic (ROC) analysis on the validation set. Treating internal-fault detection as the positive class, the true-positive and false-positive rates were swept across confidence thresholds from 0.50 to 0.99. The resulting area under the ROC curve (AUC) for the standalone classifier is 0.9991, indicating near-perfect separability. Table 6.18 reports the dependability/security trade-off at representative thresholds, and Figure 6.10 plots the ROC curve. The selected operating point θ_conf = 0.85 maximises security without sacrificing the 100% dependability provided structurally by the 87T element, and lies on the flat upper-left region of the curve where performance is insensitive to small threshold perturbations.</w:t>
      </w:r>
    </w:p>
    <w:p>
      <w:pPr>
        <w:spacing w:after="60" w:before="160"/>
        <w:jc w:val="center"/>
      </w:pPr>
      <w:r>
        <w:rPr>
          <w:rFonts w:ascii="Times New Roman" w:cs="Times New Roman" w:eastAsia="Times New Roman" w:hAnsi="Times New Roman"/>
          <w:b/>
          <w:bCs/>
          <w:sz w:val="21"/>
          <w:szCs w:val="21"/>
        </w:rPr>
        <w:t xml:space="preserve">Table 6.18: </w:t>
      </w:r>
      <w:r>
        <w:rPr>
          <w:rFonts w:ascii="Times New Roman" w:cs="Times New Roman" w:eastAsia="Times New Roman" w:hAnsi="Times New Roman"/>
          <w:sz w:val="21"/>
          <w:szCs w:val="21"/>
        </w:rPr>
        <w:t xml:space="preserve">Dependability and security versus confidence threshold (validation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3"/>
        <w:gridCol w:w="2333"/>
        <w:gridCol w:w="2334"/>
      </w:tblGrid>
      <w:tr>
        <w:trPr>
          <w:tblHeader/>
        </w:trPr>
        <w:tc>
          <w:tcPr>
            <w:tcW w:type="dxa" w:w="2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Threshold θ_conf</w:t>
            </w:r>
          </w:p>
        </w:tc>
        <w:tc>
          <w:tcPr>
            <w:tcW w:type="dxa" w:w="233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Dependability (%)</w:t>
            </w:r>
          </w:p>
        </w:tc>
        <w:tc>
          <w:tcPr>
            <w:tcW w:type="dxa" w:w="2333"/>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Security (%)</w:t>
            </w:r>
          </w:p>
        </w:tc>
        <w:tc>
          <w:tcPr>
            <w:tcW w:type="dxa" w:w="2334"/>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Youden J</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0.50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98.96</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0.9896</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0.70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99.31</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0.9931</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0.85 (selected)</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99.58</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0.9958</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0.90</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99.79</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0.9958</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0.95</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99.17</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99.86</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0.9903</w:t>
            </w:r>
          </w:p>
        </w:tc>
      </w:tr>
      <w:tr>
        <w:trPr>
          <w:tblHeader w:val="false"/>
        </w:trP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0.99</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97.71</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99.93</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0.9764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791002"/>
                  <wp:docPr id="25" name="Picture 25"/>
                  <wp:cNvGraphicFramePr>
                    <a:graphicFrameLocks noChangeAspect="1"/>
                  </wp:cNvGraphicFramePr>
                  <a:graphic>
                    <a:graphicData uri="http://schemas.openxmlformats.org/drawingml/2006/picture">
                      <pic:pic>
                        <pic:nvPicPr>
                          <pic:cNvPr id="0" name="04_ROC_and_PR_Curves.png"/>
                          <pic:cNvPicPr/>
                        </pic:nvPicPr>
                        <pic:blipFill>
                          <a:blip r:embed="rId33"/>
                          <a:stretch>
                            <a:fillRect/>
                          </a:stretch>
                        </pic:blipFill>
                        <pic:spPr>
                          <a:xfrm>
                            <a:off x="0" y="0"/>
                            <a:ext cx="4572000" cy="1791002"/>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6.10: </w:t>
      </w:r>
      <w:r>
        <w:rPr>
          <w:rFonts w:ascii="Times New Roman" w:cs="Times New Roman" w:eastAsia="Times New Roman" w:hAnsi="Times New Roman"/>
          <w:sz w:val="21"/>
          <w:szCs w:val="21"/>
        </w:rPr>
        <w:t xml:space="preserve">ROC curve for internal-fault detection with the selected confidence-threshold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FAADC" w:sz="6"/>
              <w:left w:val="dashed" w:color="8FAADC" w:sz="6"/>
              <w:bottom w:val="dashed" w:color="8FAADC" w:sz="6"/>
              <w:right w:val="dashed" w:color="8FAADC" w:sz="6"/>
            </w:tcBorders>
            <w:shd w:fill="EAF1FB" w:val="clear"/>
            <w:tcMar>
              <w:top w:type="dxa" w:w="120"/>
              <w:left w:type="dxa" w:w="120"/>
              <w:bottom w:type="dxa" w:w="120"/>
              <w:right w:type="dxa" w:w="120"/>
            </w:tcMar>
          </w:tcPr>
          <w:p>
            <w:pPr>
              <w:jc w:val="center"/>
            </w:pPr>
            <w:r/>
            <w:r>
              <w:drawing>
                <wp:inline xmlns:a="http://schemas.openxmlformats.org/drawingml/2006/main" xmlns:pic="http://schemas.openxmlformats.org/drawingml/2006/picture">
                  <wp:extent cx="4572000" cy="1793157"/>
                  <wp:docPr id="26" name="Picture 26"/>
                  <wp:cNvGraphicFramePr>
                    <a:graphicFrameLocks noChangeAspect="1"/>
                  </wp:cNvGraphicFramePr>
                  <a:graphic>
                    <a:graphicData uri="http://schemas.openxmlformats.org/drawingml/2006/picture">
                      <pic:pic>
                        <pic:nvPicPr>
                          <pic:cNvPr id="0" name="09_Confidence_Distribution.png"/>
                          <pic:cNvPicPr/>
                        </pic:nvPicPr>
                        <pic:blipFill>
                          <a:blip r:embed="rId34"/>
                          <a:stretch>
                            <a:fillRect/>
                          </a:stretch>
                        </pic:blipFill>
                        <pic:spPr>
                          <a:xfrm>
                            <a:off x="0" y="0"/>
                            <a:ext cx="4572000" cy="1793157"/>
                          </a:xfrm>
                          <a:prstGeom prst="rect"/>
                        </pic:spPr>
                      </pic:pic>
                    </a:graphicData>
                  </a:graphic>
                </wp:inline>
              </w:drawing>
            </w:r>
          </w:p>
        </w:tc>
      </w:tr>
    </w:tbl>
    <w:p>
      <w:pPr>
        <w:spacing w:after="160" w:before="60"/>
        <w:jc w:val="center"/>
      </w:pPr>
      <w:r>
        <w:rPr>
          <w:rFonts w:ascii="Times New Roman" w:cs="Times New Roman" w:eastAsia="Times New Roman" w:hAnsi="Times New Roman"/>
          <w:b/>
          <w:bCs/>
          <w:sz w:val="21"/>
          <w:szCs w:val="21"/>
        </w:rPr>
        <w:t xml:space="preserve">Figure 6.11: </w:t>
      </w:r>
      <w:r>
        <w:rPr>
          <w:rFonts w:ascii="Times New Roman" w:cs="Times New Roman" w:eastAsia="Times New Roman" w:hAnsi="Times New Roman"/>
          <w:sz w:val="21"/>
          <w:szCs w:val="21"/>
        </w:rPr>
        <w:t xml:space="preserve">Learned temporal-attention weight distribution across the input window for each event type.</w:t>
      </w:r>
    </w:p>
    <w:p>
      <w:pPr>
        <w:pStyle w:val="Heading2"/>
        <w:spacing w:after="120" w:before="200"/>
      </w:pPr>
      <w:r>
        <w:rPr>
          <w:rFonts w:ascii="Times New Roman" w:cs="Times New Roman" w:eastAsia="Times New Roman" w:hAnsi="Times New Roman"/>
          <w:b/>
          <w:bCs/>
          <w:color w:val="1F3864"/>
          <w:sz w:val="28"/>
          <w:szCs w:val="28"/>
        </w:rPr>
        <w:t xml:space="preserve">6.12  Reliability and Economic Impact</w:t>
      </w:r>
    </w:p>
    <w:p>
      <w:pPr>
        <w:spacing w:after="120" w:line="360" w:lineRule="auto"/>
        <w:jc w:val="both"/>
      </w:pPr>
      <w:r>
        <w:rPr>
          <w:rFonts w:ascii="Times New Roman" w:cs="Times New Roman" w:eastAsia="Times New Roman" w:hAnsi="Times New Roman"/>
          <w:sz w:val="24"/>
          <w:szCs w:val="24"/>
        </w:rPr>
        <w:t xml:space="preserve">The protection performance reported above translates into quantifiable reliability and economic benefits. Eliminating false trips on the test population removes the unnecessary service interruptions, customer-minutes lost, and transformer de-energisation cycles that accompany spurious operations; in multi-transformer substations, sympathetic-inrush false trips are a recognised cause of cascading disconnection, so the 100% security of the hybrid scheme directly improves substation availability. On the dependability side, the sub-13.1 ms clearing time reduces the through-fault energy ∫ i²(t) dt absorbed by the winding during an internal fault relative to conventional 30–40 ms harmonic-restraint relays, lowering insulation ageing and the mechanical forces that drive winding deformation. For a 300 MVA transmission transformer, avoiding a single major fault escalation or an unnecessary outage carries an economic value commonly estimated in the millions of dollars, so even a modest reduction in maloperation frequency yields a favourable cost–benefit balance for the proposed approach.</w:t>
      </w:r>
    </w:p>
    <w:p>
      <w:pPr>
        <w:spacing w:after="120" w:line="360" w:lineRule="auto"/>
        <w:jc w:val="both"/>
      </w:pPr>
      <w:r>
        <w:rPr>
          <w:rFonts w:ascii="Times New Roman" w:cs="Times New Roman" w:eastAsia="Times New Roman" w:hAnsi="Times New Roman"/>
          <w:sz w:val="24"/>
          <w:szCs w:val="24"/>
        </w:rPr>
        <w:t xml:space="preserve">Equally important for adoption is the interpretability of the scheme. Each of the six input features maps to a specific frequency band and phase, the attention weights expose which time steps drive a decision, and the final trip requires the concurrence of a certified classical element. This transparency addresses a principal barrier to the deployment of machine learning in safety-critical protection: the ability of a protection engineer to understand, audit, and trust the relay’s behaviour.</w:t>
      </w:r>
    </w:p>
    <w:p>
      <w:pPr>
        <w:pStyle w:val="Heading2"/>
        <w:spacing w:after="120" w:before="200"/>
      </w:pPr>
      <w:r>
        <w:rPr>
          <w:rFonts w:ascii="Times New Roman" w:cs="Times New Roman" w:eastAsia="Times New Roman" w:hAnsi="Times New Roman"/>
          <w:b/>
          <w:bCs/>
          <w:color w:val="1F3864"/>
          <w:sz w:val="28"/>
          <w:szCs w:val="28"/>
        </w:rPr>
        <w:t xml:space="preserve">6.13  Mapping of Results to Research Objectives</w:t>
      </w:r>
    </w:p>
    <w:p>
      <w:pPr>
        <w:spacing w:after="120" w:line="360" w:lineRule="auto"/>
        <w:jc w:val="both"/>
      </w:pPr>
      <w:r>
        <w:rPr>
          <w:rFonts w:ascii="Times New Roman" w:cs="Times New Roman" w:eastAsia="Times New Roman" w:hAnsi="Times New Roman"/>
          <w:sz w:val="24"/>
          <w:szCs w:val="24"/>
        </w:rPr>
        <w:t xml:space="preserve">Table 6.19 closes the loop with Chapter 1 by mapping each of the four research objectives to the specific results that evidence its achievement, providing a traceable account of how the experimental programme satisfies the aims set out at the outset of the thesis.</w:t>
      </w:r>
    </w:p>
    <w:p>
      <w:pPr>
        <w:spacing w:after="60" w:before="160"/>
        <w:jc w:val="center"/>
      </w:pPr>
      <w:r>
        <w:rPr>
          <w:rFonts w:ascii="Times New Roman" w:cs="Times New Roman" w:eastAsia="Times New Roman" w:hAnsi="Times New Roman"/>
          <w:b/>
          <w:bCs/>
          <w:sz w:val="21"/>
          <w:szCs w:val="21"/>
        </w:rPr>
        <w:t xml:space="preserve">Table 6.19: </w:t>
      </w:r>
      <w:r>
        <w:rPr>
          <w:rFonts w:ascii="Times New Roman" w:cs="Times New Roman" w:eastAsia="Times New Roman" w:hAnsi="Times New Roman"/>
          <w:sz w:val="21"/>
          <w:szCs w:val="21"/>
        </w:rPr>
        <w:t xml:space="preserve">Mapping of research objectives to supporting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200"/>
        <w:gridCol w:w="18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Objective</w:t>
            </w:r>
          </w:p>
        </w:tc>
        <w:tc>
          <w:tcPr>
            <w:tcW w:type="dxa" w:w="4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Supporting evidence</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Section/Table</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O1: Simulation model and data</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12,800-case balanced dataset; validated CT/core saturation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§4.6, Tab. 4.3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O2: Optimal DWT features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db4/3-level selected by grid search; MI ranking; ablation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§6.2.3, §6.10, Tab. 6.17</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O3: Hybrid DWT-LSTM + adaptive logic</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 acc; 100% dependability; adaptive threshold; veto gate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§6.3, §6.4, Tab. 6.7</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O4: Benchmarking and robustness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12-method benchmark; 5-axis stress tests; prior-work comparison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§6.5, §6.6, §6.8, Tab. 6.14–6.15</w:t>
            </w:r>
          </w:p>
        </w:tc>
      </w:tr>
    </w:tbl>
    <w:p>
      <w:pPr>
        <w:spacing w:after="120" w:line="360" w:lineRule="auto"/>
        <w:jc w:val="both"/>
      </w:pPr>
      <w:r>
        <w:rPr>
          <w:rFonts w:ascii="Times New Roman" w:cs="Times New Roman" w:eastAsia="Times New Roman" w:hAnsi="Times New Roman"/>
          <w:sz w:val="24"/>
          <w:szCs w:val="24"/>
        </w:rPr>
        <w:t xml:space="preserve">Across all four objectives the evidence is consistent: the framework attains the targeted dependability and security simultaneously, the feature and architecture choices are justified by controlled ablations rather than asserted, and the robustness and comparative analyses position the contribution clearly against both re-implemented baselines and the published literature.</w:t>
      </w:r>
    </w:p>
    <w:p>
      <w:pPr>
        <w:pStyle w:val="Heading2"/>
        <w:spacing w:after="120" w:before="200"/>
      </w:pPr>
      <w:r>
        <w:rPr>
          <w:rFonts w:ascii="Times New Roman" w:cs="Times New Roman" w:eastAsia="Times New Roman" w:hAnsi="Times New Roman"/>
          <w:b/>
          <w:bCs/>
          <w:color w:val="1F3864"/>
          <w:sz w:val="28"/>
          <w:szCs w:val="28"/>
        </w:rPr>
        <w:t xml:space="preserve">6.14  Threats to Validity</w:t>
      </w:r>
    </w:p>
    <w:p>
      <w:pPr>
        <w:spacing w:after="120" w:line="360" w:lineRule="auto"/>
        <w:jc w:val="both"/>
      </w:pPr>
      <w:r>
        <w:rPr>
          <w:rFonts w:ascii="Times New Roman" w:cs="Times New Roman" w:eastAsia="Times New Roman" w:hAnsi="Times New Roman"/>
          <w:sz w:val="24"/>
          <w:szCs w:val="24"/>
        </w:rPr>
        <w:t xml:space="preserve">In the interest of scientific rigour, the principal threats to the validity of the reported results are stated explicitly, together with the mitigations applied.</w:t>
      </w:r>
    </w:p>
    <w:p>
      <w:pPr>
        <w:pStyle w:val="Heading3"/>
        <w:spacing w:after="100" w:before="160"/>
      </w:pPr>
      <w:r>
        <w:rPr>
          <w:rFonts w:ascii="Times New Roman" w:cs="Times New Roman" w:eastAsia="Times New Roman" w:hAnsi="Times New Roman"/>
          <w:b/>
          <w:bCs/>
          <w:i/>
          <w:iCs/>
          <w:sz w:val="24"/>
          <w:szCs w:val="24"/>
        </w:rPr>
        <w:t xml:space="preserve">6.14.1  Internal Validity</w:t>
      </w:r>
    </w:p>
    <w:p>
      <w:pPr>
        <w:spacing w:after="120" w:line="360" w:lineRule="auto"/>
        <w:jc w:val="both"/>
      </w:pPr>
      <w:r>
        <w:rPr>
          <w:rFonts w:ascii="Times New Roman" w:cs="Times New Roman" w:eastAsia="Times New Roman" w:hAnsi="Times New Roman"/>
          <w:sz w:val="24"/>
          <w:szCs w:val="24"/>
        </w:rPr>
        <w:t xml:space="preserve">The chief internal threat is information leakage between training and test partitions. This is mitigated by stratified splitting performed at the level of independent simulation cases—never at the level of individual sliding windows—so that windows from a single event never appear in more than one partition. Feature normalisation statistics (μ, σ) are computed exclusively on the training subset and then applied unchanged to validation and test data, preventing test-set leakage through the preprocessing pipeline. The 5-fold cross-validation of Section 6.3.4, with zero variance in internal-fault recall across folds, provides further assurance that the headline figures are not an artefact of a fortunate split.</w:t>
      </w:r>
    </w:p>
    <w:p>
      <w:pPr>
        <w:pStyle w:val="Heading3"/>
        <w:spacing w:after="100" w:before="160"/>
      </w:pPr>
      <w:r>
        <w:rPr>
          <w:rFonts w:ascii="Times New Roman" w:cs="Times New Roman" w:eastAsia="Times New Roman" w:hAnsi="Times New Roman"/>
          <w:b/>
          <w:bCs/>
          <w:i/>
          <w:iCs/>
          <w:sz w:val="24"/>
          <w:szCs w:val="24"/>
        </w:rPr>
        <w:t xml:space="preserve">6.14.2  External Validity</w:t>
      </w:r>
    </w:p>
    <w:p>
      <w:pPr>
        <w:spacing w:after="120" w:line="360" w:lineRule="auto"/>
        <w:jc w:val="both"/>
      </w:pPr>
      <w:r>
        <w:rPr>
          <w:rFonts w:ascii="Times New Roman" w:cs="Times New Roman" w:eastAsia="Times New Roman" w:hAnsi="Times New Roman"/>
          <w:sz w:val="24"/>
          <w:szCs w:val="24"/>
        </w:rPr>
        <w:t xml:space="preserve">The dominant external threat is the simulation-to-field gap. All data originate from a single 300 MVA, 230/11 kV, Yd1 model, so generalisation to other ratings, vector groups, and core materials is unverified, and unmodelled phenomena—manufacturing tolerances, ambient and ageing effects, and measurement-chain idiosyncrasies—may shift the real-world feature distribution. Three measures partially mitigate this threat: physically grounded component models (nonlinear core and CT saturation with remanence); a merging-unit conditioning chain that injects realistic noise and quantisation; and an out-of-distribution stress programme spanning point-on-wave angle, remanent flux, frequency, noise, and fault resistance. Nonetheless, validation on field-recorded COMTRADE data and hardware-in-the-loop testing, as recommended in Chapter 7, remains essential before operational deployment.</w:t>
      </w:r>
    </w:p>
    <w:p>
      <w:pPr>
        <w:pStyle w:val="Heading3"/>
        <w:spacing w:after="100" w:before="160"/>
      </w:pPr>
      <w:r>
        <w:rPr>
          <w:rFonts w:ascii="Times New Roman" w:cs="Times New Roman" w:eastAsia="Times New Roman" w:hAnsi="Times New Roman"/>
          <w:b/>
          <w:bCs/>
          <w:i/>
          <w:iCs/>
          <w:sz w:val="24"/>
          <w:szCs w:val="24"/>
        </w:rPr>
        <w:t xml:space="preserve">6.14.3  Construct and Statistical Validity</w:t>
      </w:r>
    </w:p>
    <w:p>
      <w:pPr>
        <w:spacing w:after="120" w:line="360" w:lineRule="auto"/>
        <w:jc w:val="both"/>
      </w:pPr>
      <w:r>
        <w:rPr>
          <w:rFonts w:ascii="Times New Roman" w:cs="Times New Roman" w:eastAsia="Times New Roman" w:hAnsi="Times New Roman"/>
          <w:sz w:val="24"/>
          <w:szCs w:val="24"/>
        </w:rPr>
        <w:t xml:space="preserve">The metrics adopted—dependability, security, accuracy, F1, AUC, and clearing time—are the standard constructs for protection evaluation and map directly to the engineering requirements stated in Chapter 1, supporting construct validity. The balanced test set of 1,920 cases (480 per class) is large enough that the reported per-class rates carry narrow confidence intervals, and the consistency between the independent test evaluation (Section 6.3) and the cross-validation (Section 6.3.4) argues against statistical over-fitting. Where reported accuracies from the external literature are cited (Tables 2.1 and 6.15), they are explicitly flagged as non-commensurable because each derives from a different dataset and protocol; only the re-implemented benchmark of Table 6.14 supports a like-for-like statistical comparison.</w:t>
      </w:r>
    </w:p>
    <w:p>
      <w:pPr>
        <w:pStyle w:val="Heading1"/>
        <w:pageBreakBefore/>
        <w:spacing w:after="200" w:before="240"/>
      </w:pPr>
      <w:r>
        <w:rPr>
          <w:rFonts w:ascii="Times New Roman" w:cs="Times New Roman" w:eastAsia="Times New Roman" w:hAnsi="Times New Roman"/>
          <w:b/>
          <w:bCs/>
          <w:color w:val="1F3864"/>
          <w:sz w:val="32"/>
          <w:szCs w:val="32"/>
        </w:rPr>
        <w:t xml:space="preserve">CHAPTER 7   CONCLUSION AND FUTURE SCOPES</w:t>
      </w:r>
    </w:p>
    <w:p>
      <w:pPr>
        <w:pStyle w:val="Heading2"/>
        <w:spacing w:after="120" w:before="200"/>
      </w:pPr>
      <w:r>
        <w:rPr>
          <w:rFonts w:ascii="Times New Roman" w:cs="Times New Roman" w:eastAsia="Times New Roman" w:hAnsi="Times New Roman"/>
          <w:b/>
          <w:bCs/>
          <w:color w:val="1F3864"/>
          <w:sz w:val="28"/>
          <w:szCs w:val="28"/>
        </w:rPr>
        <w:t xml:space="preserve">7.1  Conclusion</w:t>
      </w:r>
    </w:p>
    <w:p>
      <w:pPr>
        <w:spacing w:after="120" w:line="360" w:lineRule="auto"/>
        <w:jc w:val="both"/>
      </w:pPr>
      <w:r>
        <w:rPr>
          <w:rFonts w:ascii="Times New Roman" w:cs="Times New Roman" w:eastAsia="Times New Roman" w:hAnsi="Times New Roman"/>
          <w:sz w:val="24"/>
          <w:szCs w:val="24"/>
        </w:rPr>
        <w:t xml:space="preserve">This thesis has presented the design, development, and comprehensive evaluation of a hybrid adaptive transformer differential protection (HATDP) framework that synergistically combines a Discrete Wavelet Transform–Long Short-Term Memory (DWT-LSTM) classifier with a conventional 87T differential relay. The research addresses the persistent challenge in power transformer protection—the inability of conventional harmonic restraint (CHR) methods to simultaneously achieve high dependability and high security under adverse conditions including current transformer (CT) saturation, high-impedance faults, and complex inrush phenomena.</w:t>
      </w:r>
    </w:p>
    <w:p>
      <w:pPr>
        <w:spacing w:after="120" w:line="360" w:lineRule="auto"/>
        <w:jc w:val="both"/>
      </w:pPr>
      <w:r>
        <w:rPr>
          <w:rFonts w:ascii="Times New Roman" w:cs="Times New Roman" w:eastAsia="Times New Roman" w:hAnsi="Times New Roman"/>
          <w:sz w:val="24"/>
          <w:szCs w:val="24"/>
        </w:rPr>
        <w:t xml:space="preserve">The MATLAB/Simulink environment was used to develop a detailed power-system model of a 300 MVA, 230 kV/11 kV power transformer with Yd1 vector group, including realistic representations of magnetization characteristics, CT saturation and remanence, and transmission-line parameters. Three-phase differential currents were sampled at 1.6 kHz (32 samples per cycle), and a comprehensive dataset of 12,800 event cases was generated across four operating conditions: normal load, external faults, magnetizing inrush, and internal faults. The signal-processing pipeline employs a db4 DWT on half-cycle sliding windows (16 samples), computing six energy features per classification instant—approximation energy and detail energy for each of the three phases. The two-layer LSTM classifier (128→64 hidden units) with global temporal attention, trained offline in Python using PyTorch, achieves 99.27% overall accuracy with 100% internal-fault recall and was exported to ONNX format (Opset 14) for integration into Simulink via the Deep Learning Toolbox Predict block, with inference latency of less than 0.74 ms per classification. The hybrid veto/AND-gate architecture achieves simultaneous 100% dependability (zero false negatives) and 100% security (zero false trips) on the 1,920-case test dataset, with a sub-cycle fault-clearing time of less than 13.1 ms—resolving the fundamental dependability–security trade-off that has constrained transformer differential protection for decades.</w:t>
      </w:r>
    </w:p>
    <w:p>
      <w:pPr>
        <w:pStyle w:val="Heading2"/>
        <w:spacing w:after="120" w:before="200"/>
      </w:pPr>
      <w:r>
        <w:rPr>
          <w:rFonts w:ascii="Times New Roman" w:cs="Times New Roman" w:eastAsia="Times New Roman" w:hAnsi="Times New Roman"/>
          <w:b/>
          <w:bCs/>
          <w:color w:val="1F3864"/>
          <w:sz w:val="28"/>
          <w:szCs w:val="28"/>
        </w:rPr>
        <w:t xml:space="preserve">7.2  Key Findings</w:t>
      </w:r>
    </w:p>
    <w:p>
      <w:pPr>
        <w:spacing w:after="120" w:line="360" w:lineRule="auto"/>
        <w:jc w:val="both"/>
      </w:pPr>
      <w:r>
        <w:rPr>
          <w:rFonts w:ascii="Times New Roman" w:cs="Times New Roman" w:eastAsia="Times New Roman" w:hAnsi="Times New Roman"/>
          <w:sz w:val="24"/>
          <w:szCs w:val="24"/>
        </w:rPr>
        <w:t xml:space="preserve">The principal findings of this research are summarized in three areas: feature robustness, hybrid security enhancement, and real-time feasibility.</w:t>
      </w:r>
    </w:p>
    <w:p>
      <w:pPr>
        <w:pStyle w:val="Heading3"/>
        <w:spacing w:after="100" w:before="160"/>
      </w:pPr>
      <w:r>
        <w:rPr>
          <w:rFonts w:ascii="Times New Roman" w:cs="Times New Roman" w:eastAsia="Times New Roman" w:hAnsi="Times New Roman"/>
          <w:b/>
          <w:bCs/>
          <w:i/>
          <w:iCs/>
          <w:sz w:val="24"/>
          <w:szCs w:val="24"/>
        </w:rPr>
        <w:t xml:space="preserve">7.2.1  Feature Robustness</w:t>
      </w:r>
    </w:p>
    <w:p>
      <w:pPr>
        <w:spacing w:after="120" w:line="360" w:lineRule="auto"/>
        <w:jc w:val="both"/>
      </w:pPr>
      <w:r>
        <w:rPr>
          <w:rFonts w:ascii="Times New Roman" w:cs="Times New Roman" w:eastAsia="Times New Roman" w:hAnsi="Times New Roman"/>
          <w:sz w:val="24"/>
          <w:szCs w:val="24"/>
        </w:rPr>
        <w:t xml:space="preserve">Six DWT energy features—approximation energy and detail energy from the db4 decomposition of each phase’s differential current—provide sufficient discriminative information for reliable four-class classification. The detail-energy features (100–800 Hz band) achieve an inter-class separation ratio exceeding 500 between internal faults and normal operation, while the approximation-energy features (0–100 Hz band) provide critical secondary discrimination between inrush and external-fault conditions. The LSTM classifier achieves 99.27% accuracy—substantially exceeding Wavelet-ANN (98.65%) and Wavelet-SVM (98.23%)—and maintains 100% internal-fault recall across all adversarial conditions, including CT saturation at all severity levels, high-impedance faults up to 300 Ω, noise down to 20 dB SNR, frequency deviations across the 47–53 Hz range, and extreme CT remanent flux up to ±95%. This consistent zero-false-negative rate provides the dependability foundation upon which the hybrid architecture is built.</w:t>
      </w:r>
    </w:p>
    <w:p>
      <w:pPr>
        <w:pStyle w:val="Heading3"/>
        <w:spacing w:after="100" w:before="160"/>
      </w:pPr>
      <w:r>
        <w:rPr>
          <w:rFonts w:ascii="Times New Roman" w:cs="Times New Roman" w:eastAsia="Times New Roman" w:hAnsi="Times New Roman"/>
          <w:b/>
          <w:bCs/>
          <w:i/>
          <w:iCs/>
          <w:sz w:val="24"/>
          <w:szCs w:val="24"/>
        </w:rPr>
        <w:t xml:space="preserve">7.2.2  Enhanced Security of Hybrid Architecture</w:t>
      </w:r>
    </w:p>
    <w:p>
      <w:pPr>
        <w:spacing w:after="120" w:line="360" w:lineRule="auto"/>
        <w:jc w:val="both"/>
      </w:pPr>
      <w:r>
        <w:rPr>
          <w:rFonts w:ascii="Times New Roman" w:cs="Times New Roman" w:eastAsia="Times New Roman" w:hAnsi="Times New Roman"/>
          <w:sz w:val="24"/>
          <w:szCs w:val="24"/>
        </w:rPr>
        <w:t xml:space="preserve">The standalone 87T relay produces 77 false trips on the 1,920-case test dataset—primarily during external faults with CT saturation (51 false trips) and sympathetic-inrush events (26 false trips). The LSTM’s supervisory veto blocks all 77 false trips (100% effectiveness), and in the hybrid AND-gate configuration—where both the 87T relay and the LSTM must agree to trip—the false-trip count drops to zero on the test dataset. For sympathetic inrush specifically, where the standalone 87T relay with cross-blocking produces 26 false trips (10.0% false-trip rate), the hybrid AND gate eliminates all false trips, achieving 100% security. This has significant practical implications, as sympathetic inrush is a common cause of false differential trips in multi-transformer substations.</w:t>
      </w:r>
    </w:p>
    <w:p>
      <w:pPr>
        <w:pStyle w:val="Heading3"/>
        <w:spacing w:after="100" w:before="160"/>
      </w:pPr>
      <w:r>
        <w:rPr>
          <w:rFonts w:ascii="Times New Roman" w:cs="Times New Roman" w:eastAsia="Times New Roman" w:hAnsi="Times New Roman"/>
          <w:b/>
          <w:bCs/>
          <w:i/>
          <w:iCs/>
          <w:sz w:val="24"/>
          <w:szCs w:val="24"/>
        </w:rPr>
        <w:t xml:space="preserve">7.2.3  Real-Time Feasibility</w:t>
      </w:r>
    </w:p>
    <w:p>
      <w:pPr>
        <w:spacing w:after="120" w:line="360" w:lineRule="auto"/>
        <w:jc w:val="both"/>
      </w:pPr>
      <w:r>
        <w:rPr>
          <w:rFonts w:ascii="Times New Roman" w:cs="Times New Roman" w:eastAsia="Times New Roman" w:hAnsi="Times New Roman"/>
          <w:sz w:val="24"/>
          <w:szCs w:val="24"/>
        </w:rPr>
        <w:t xml:space="preserve">The complete hybrid protection pipeline executes in real time within the MATLAB/Simulink co-simulation environment. The end-to-end clearing-time budget comprises: data buffering 5.0 ms (quarter-cycle, 8 samples at 1.6 kHz); DWT decomposition and energy computation &lt; 1.0 ms; LSTM inference (ONNX Predict block) &lt; 0.74 ms; adaptive 87T relay computation &lt; 1.0 ms; hybrid veto/AND-gate logic &lt; 0.1 ms; for a total of less than 13.1 ms from fault inception to trip output. This is firmly sub-cycle at 50 Hz (one cycle = 20 ms) and improves on conventional CHR relays (30–40 ms) and modern digital relays (15–30 ms). The stateless LSTM inference design reduced latency by approximately 35% compared to a stateful implementation, while the MATLAB → Python (training) → ONNX → Simulink (validation) pipeline provides a validated pathway for transitioning AI-based protection from research to deployable relay firmware.</w:t>
      </w:r>
    </w:p>
    <w:p>
      <w:pPr>
        <w:pStyle w:val="Heading2"/>
        <w:spacing w:after="120" w:before="200"/>
      </w:pPr>
      <w:r>
        <w:rPr>
          <w:rFonts w:ascii="Times New Roman" w:cs="Times New Roman" w:eastAsia="Times New Roman" w:hAnsi="Times New Roman"/>
          <w:b/>
          <w:bCs/>
          <w:color w:val="1F3864"/>
          <w:sz w:val="28"/>
          <w:szCs w:val="28"/>
        </w:rPr>
        <w:t xml:space="preserve">7.3  Research Outcomes</w:t>
      </w:r>
    </w:p>
    <w:p>
      <w:pPr>
        <w:spacing w:after="120" w:line="360" w:lineRule="auto"/>
        <w:jc w:val="both"/>
      </w:pPr>
      <w:r>
        <w:rPr>
          <w:rFonts w:ascii="Times New Roman" w:cs="Times New Roman" w:eastAsia="Times New Roman" w:hAnsi="Times New Roman"/>
          <w:b/>
          <w:bCs/>
          <w:sz w:val="24"/>
          <w:szCs w:val="24"/>
        </w:rPr>
        <w:t xml:space="preserve">Immediate practical impact.</w:t>
      </w:r>
      <w:r>
        <w:rPr>
          <w:rFonts w:ascii="Times New Roman" w:cs="Times New Roman" w:eastAsia="Times New Roman" w:hAnsi="Times New Roman"/>
          <w:sz w:val="24"/>
          <w:szCs w:val="24"/>
        </w:rPr>
        <w:t xml:space="preserve"> The hybrid architecture demonstrates that 100% dependability and 100% security can be achieved simultaneously, challenging the long-held assumption that these objectives must be traded off. The validated MATLAB → Python (PyTorch training) → ONNX → Simulink (validation) pipeline provides a reproducible methodology that can be adopted by relay manufacturers. Sub-cycle clearing (&lt; 13.1 ms) significantly reduces I²t thermal stress on transformer windings. The six-energy-feature representation ensures physical interpretability—each feature maps to a specific frequency band and phase—addressing a key barrier to ML adoption in safety-critical applications.</w:t>
      </w:r>
    </w:p>
    <w:p>
      <w:pPr>
        <w:spacing w:after="120" w:line="360" w:lineRule="auto"/>
        <w:jc w:val="both"/>
      </w:pPr>
      <w:r>
        <w:rPr>
          <w:rFonts w:ascii="Times New Roman" w:cs="Times New Roman" w:eastAsia="Times New Roman" w:hAnsi="Times New Roman"/>
          <w:b/>
          <w:bCs/>
          <w:sz w:val="24"/>
          <w:szCs w:val="24"/>
        </w:rPr>
        <w:t xml:space="preserve">Longer-term significance.</w:t>
      </w:r>
      <w:r>
        <w:rPr>
          <w:rFonts w:ascii="Times New Roman" w:cs="Times New Roman" w:eastAsia="Times New Roman" w:hAnsi="Times New Roman"/>
          <w:sz w:val="24"/>
          <w:szCs w:val="24"/>
        </w:rPr>
        <w:t xml:space="preserve"> The veto/AND-gate concept serves as a template applicable to transmission-line, busbar, and generator protection. The framework demonstrates a principled approach to integrating machine learning into protection systems that preserves the reliability and interpretability requirements of the protection community, contributing to the broader evolution toward digital substations and intelligent electronic devices.</w:t>
      </w:r>
    </w:p>
    <w:p>
      <w:pPr>
        <w:pStyle w:val="Heading2"/>
        <w:spacing w:after="120" w:before="200"/>
      </w:pPr>
      <w:r>
        <w:rPr>
          <w:rFonts w:ascii="Times New Roman" w:cs="Times New Roman" w:eastAsia="Times New Roman" w:hAnsi="Times New Roman"/>
          <w:b/>
          <w:bCs/>
          <w:color w:val="1F3864"/>
          <w:sz w:val="28"/>
          <w:szCs w:val="28"/>
        </w:rPr>
        <w:t xml:space="preserve">7.4  Limitations of the Study</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LSTM model was trained exclusively on data from a 300 MVA, 230/11 kV, Yd1 transformer; generalization to other ratings, vector groups, or core materials has not been validated.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dataset does not include inter-turn faults, which produce low-magnitude differential currents comparable to normal load and remain an open detection challenge.</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Trip-only detection rate decreases for high-impedance faults above 300 Ω, and performance beyond 500 Ω has not been tested.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All results are simulation-based; validation with field-recorded COMTRADE data or hardware-in-the-loop (HIL) testing is essential before practical deployment.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The simulation model represents a fixed power-system topology; performance under significant post-contingency topological changes has not been evaluated.</w:t>
      </w:r>
    </w:p>
    <w:p>
      <w:pPr>
        <w:pStyle w:val="Heading2"/>
        <w:spacing w:after="120" w:before="200"/>
      </w:pPr>
      <w:r>
        <w:rPr>
          <w:rFonts w:ascii="Times New Roman" w:cs="Times New Roman" w:eastAsia="Times New Roman" w:hAnsi="Times New Roman"/>
          <w:b/>
          <w:bCs/>
          <w:color w:val="1F3864"/>
          <w:sz w:val="28"/>
          <w:szCs w:val="28"/>
        </w:rPr>
        <w:t xml:space="preserve">7.5  Recommendations for Future Work</w:t>
      </w:r>
    </w:p>
    <w:p>
      <w:pPr>
        <w:pStyle w:val="Heading3"/>
        <w:spacing w:after="100" w:before="160"/>
      </w:pPr>
      <w:r>
        <w:rPr>
          <w:rFonts w:ascii="Times New Roman" w:cs="Times New Roman" w:eastAsia="Times New Roman" w:hAnsi="Times New Roman"/>
          <w:b/>
          <w:bCs/>
          <w:i/>
          <w:iCs/>
          <w:sz w:val="24"/>
          <w:szCs w:val="24"/>
        </w:rPr>
        <w:t xml:space="preserve">7.5.1  Hardware-in-the-Loop Testing</w:t>
      </w:r>
    </w:p>
    <w:p>
      <w:pPr>
        <w:spacing w:after="120" w:line="360" w:lineRule="auto"/>
        <w:jc w:val="both"/>
      </w:pPr>
      <w:r>
        <w:rPr>
          <w:rFonts w:ascii="Times New Roman" w:cs="Times New Roman" w:eastAsia="Times New Roman" w:hAnsi="Times New Roman"/>
          <w:sz w:val="24"/>
          <w:szCs w:val="24"/>
        </w:rPr>
        <w:t xml:space="preserve">The hybrid relay algorithm—including DWT computation, ONNX-based LSTM inference, 87T relay logic, and hybrid decision—should be implemented on a real-time hardware platform (e.g., Speedgoat, OPAL-RT, or FPGA/ARM-based numerical relay) and tested against a real-time digital simulator. The HIL testbed should evaluate deterministic execution time, ADC quantization effects, CT burden and secondary-wiring impedance impacts, and long-duration stability.</w:t>
      </w:r>
    </w:p>
    <w:p>
      <w:pPr>
        <w:pStyle w:val="Heading3"/>
        <w:spacing w:after="100" w:before="160"/>
      </w:pPr>
      <w:r>
        <w:rPr>
          <w:rFonts w:ascii="Times New Roman" w:cs="Times New Roman" w:eastAsia="Times New Roman" w:hAnsi="Times New Roman"/>
          <w:b/>
          <w:bCs/>
          <w:i/>
          <w:iCs/>
          <w:sz w:val="24"/>
          <w:szCs w:val="24"/>
        </w:rPr>
        <w:t xml:space="preserve">7.5.2  Inter-Turn Fault Detection</w:t>
      </w:r>
    </w:p>
    <w:p>
      <w:pPr>
        <w:spacing w:after="120" w:line="360" w:lineRule="auto"/>
        <w:jc w:val="both"/>
      </w:pPr>
      <w:r>
        <w:rPr>
          <w:rFonts w:ascii="Times New Roman" w:cs="Times New Roman" w:eastAsia="Times New Roman" w:hAnsi="Times New Roman"/>
          <w:sz w:val="24"/>
          <w:szCs w:val="24"/>
        </w:rPr>
        <w:t xml:space="preserve">A detailed multi-winding transformer model should be developed to simulate inter-turn faults with varying turn ratios (1%–10% of winding turns), capturing the asymmetrical magnetic-flux distribution and high-frequency transients characteristic of such faults. The DWT feature pipeline should be evaluated for inter-turn fault sensitivity, with additional features investigated if the existing six-feature representation proves insufficient.</w:t>
      </w:r>
    </w:p>
    <w:p>
      <w:pPr>
        <w:pStyle w:val="Heading3"/>
        <w:spacing w:after="100" w:before="160"/>
      </w:pPr>
      <w:r>
        <w:rPr>
          <w:rFonts w:ascii="Times New Roman" w:cs="Times New Roman" w:eastAsia="Times New Roman" w:hAnsi="Times New Roman"/>
          <w:b/>
          <w:bCs/>
          <w:i/>
          <w:iCs/>
          <w:sz w:val="24"/>
          <w:szCs w:val="24"/>
        </w:rPr>
        <w:t xml:space="preserve">7.5.3  Field Deployment and IEC 61850 Integration</w:t>
      </w:r>
    </w:p>
    <w:p>
      <w:pPr>
        <w:spacing w:after="120" w:line="360" w:lineRule="auto"/>
        <w:jc w:val="both"/>
      </w:pPr>
      <w:r>
        <w:rPr>
          <w:rFonts w:ascii="Times New Roman" w:cs="Times New Roman" w:eastAsia="Times New Roman" w:hAnsi="Times New Roman"/>
          <w:sz w:val="24"/>
          <w:szCs w:val="24"/>
        </w:rPr>
        <w:t xml:space="preserve">Collaboration with electric utilities should be established to obtain COMTRADE fault records from operational 300 MVA-class transformers for benchmarking. Trip commands and supervisory alarms should be mapped to IEC 61850 GOOSE messages, and the integration should address IEC 61850-9-2 Sampled-Values requirements including network latency, packet loss, and data-synchronization challenges.</w:t>
      </w:r>
    </w:p>
    <w:p>
      <w:pPr>
        <w:pStyle w:val="Heading3"/>
        <w:spacing w:after="100" w:before="160"/>
      </w:pPr>
      <w:r>
        <w:rPr>
          <w:rFonts w:ascii="Times New Roman" w:cs="Times New Roman" w:eastAsia="Times New Roman" w:hAnsi="Times New Roman"/>
          <w:b/>
          <w:bCs/>
          <w:i/>
          <w:iCs/>
          <w:sz w:val="24"/>
          <w:szCs w:val="24"/>
        </w:rPr>
        <w:t xml:space="preserve">7.5.4  Transfer Learning for Multi-Configuration Deployment</w:t>
      </w:r>
    </w:p>
    <w:p>
      <w:pPr>
        <w:spacing w:after="120" w:line="360" w:lineRule="auto"/>
        <w:jc w:val="both"/>
      </w:pPr>
      <w:r>
        <w:rPr>
          <w:rFonts w:ascii="Times New Roman" w:cs="Times New Roman" w:eastAsia="Times New Roman" w:hAnsi="Times New Roman"/>
          <w:sz w:val="24"/>
          <w:szCs w:val="24"/>
        </w:rPr>
        <w:t xml:space="preserve">Transfer learning should be explored to enable knowledge transfer from the 300 MVA model to other transformer configurations with minimal additional training data (500–1,000 configuration-specific events). Fine-tuning of the pre-trained LSTM layers could significantly reduce data-collection and training effort. An online-learning mechanism with model-drift detection and safeguards against catastrophic forgetting should also be investigated.</w:t>
      </w:r>
    </w:p>
    <w:p>
      <w:pPr>
        <w:pStyle w:val="Heading2"/>
        <w:spacing w:after="120" w:before="200"/>
      </w:pPr>
      <w:r>
        <w:rPr>
          <w:rFonts w:ascii="Times New Roman" w:cs="Times New Roman" w:eastAsia="Times New Roman" w:hAnsi="Times New Roman"/>
          <w:b/>
          <w:bCs/>
          <w:color w:val="1F3864"/>
          <w:sz w:val="28"/>
          <w:szCs w:val="28"/>
        </w:rPr>
        <w:t xml:space="preserve">7.6  Concluding Remarks</w:t>
      </w:r>
    </w:p>
    <w:p>
      <w:pPr>
        <w:spacing w:after="120" w:line="360" w:lineRule="auto"/>
        <w:jc w:val="both"/>
      </w:pPr>
      <w:r>
        <w:rPr>
          <w:rFonts w:ascii="Times New Roman" w:cs="Times New Roman" w:eastAsia="Times New Roman" w:hAnsi="Times New Roman"/>
          <w:sz w:val="24"/>
          <w:szCs w:val="24"/>
        </w:rPr>
        <w:t xml:space="preserve">This thesis has demonstrated that a hybrid architecture combining a conventional adaptive 87T relay with a DWT-LSTM classifier through a supervisory veto/AND gate achieves what neither element can achieve alone: simultaneous 100% dependability and 100% security with sub-cycle fault-clearing time validated in the MATLAB/Simulink real-time co-simulation environment. The key design philosophy treats the LSTM not as a replacement for the conventional relay but as an intelligent supervisory layer that enhances security by vetoing false trips, while the relay provides the safety-certified first line of defence that the protection-engineering community trusts.</w:t>
      </w:r>
    </w:p>
    <w:p>
      <w:pPr>
        <w:spacing w:after="120" w:line="360" w:lineRule="auto"/>
        <w:jc w:val="both"/>
      </w:pPr>
      <w:r>
        <w:rPr>
          <w:rFonts w:ascii="Times New Roman" w:cs="Times New Roman" w:eastAsia="Times New Roman" w:hAnsi="Times New Roman"/>
          <w:sz w:val="24"/>
          <w:szCs w:val="24"/>
        </w:rPr>
        <w:t xml:space="preserve">The complete MATLAB/Simulink → Python/PyTorch → ONNX → Simulink pipeline demonstrates a practical, reproducible workflow bridging AI research and protection-engineering practice. While the simulation-based nature of the validation represents a limitation, the zero-false-negative guarantee combined with the dramatic reduction in false trips and sub-cycle clearing time provides compelling evidence that the hybrid DWT-LSTM + 87T architecture is a viable direction for next-generation transformer differential protection.</w:t>
      </w:r>
    </w:p>
    <w:p>
      <w:pPr>
        <w:pStyle w:val="Heading2"/>
        <w:spacing w:after="120" w:before="200"/>
      </w:pPr>
      <w:r>
        <w:rPr>
          <w:rFonts w:ascii="Times New Roman" w:cs="Times New Roman" w:eastAsia="Times New Roman" w:hAnsi="Times New Roman"/>
          <w:b/>
          <w:bCs/>
          <w:color w:val="1F3864"/>
          <w:sz w:val="28"/>
          <w:szCs w:val="28"/>
        </w:rPr>
        <w:t xml:space="preserve">7.7  Broader Outlook</w:t>
      </w:r>
    </w:p>
    <w:p>
      <w:pPr>
        <w:spacing w:after="120" w:line="360" w:lineRule="auto"/>
        <w:jc w:val="both"/>
      </w:pPr>
      <w:r>
        <w:rPr>
          <w:rFonts w:ascii="Times New Roman" w:cs="Times New Roman" w:eastAsia="Times New Roman" w:hAnsi="Times New Roman"/>
          <w:sz w:val="24"/>
          <w:szCs w:val="24"/>
        </w:rPr>
        <w:t xml:space="preserve">The hybrid philosophy demonstrated in this thesis—pairing a learned, security-enhancing supervisor with a certified, dependability-guaranteeing classical element—generalises beyond transformer differential protection. The same handshake structure can be applied to busbar protection, where CT saturation during external faults similarly threatens security; to transmission-line distance and differential protection, where evolving and high-resistance faults challenge conventional settings; and to generator protection, where the discrimination between magnetising phenomena and genuine faults is analogously difficult. In each case, the learned component supplies pattern-recognition power while the classical element supplies the deterministic behaviour that protection standards demand, and the explicit gate keeps the failure modes of the two components from compounding.</w:t>
      </w:r>
    </w:p>
    <w:p>
      <w:pPr>
        <w:spacing w:after="120" w:line="360" w:lineRule="auto"/>
        <w:jc w:val="both"/>
      </w:pPr>
      <w:r>
        <w:rPr>
          <w:rFonts w:ascii="Times New Roman" w:cs="Times New Roman" w:eastAsia="Times New Roman" w:hAnsi="Times New Roman"/>
          <w:sz w:val="24"/>
          <w:szCs w:val="24"/>
        </w:rPr>
        <w:t xml:space="preserve">As power systems evolve toward inverter-dominated generation, the waveform signatures on which conventional relays depend will continue to drift away from the sinusoidal, harmonic-rich assumptions of legacy algorithms. Data-driven supervisors that learn directly from the prevailing signal statistics, retrained or fine-tuned as the system changes, offer a principled path to maintaining protection security under these shifting conditions. The transfer-learning and online-adaptation directions outlined in Section 7.5.4 are therefore not merely incremental refinements but enabling capabilities for protection in a low-inertia, converter-rich grid. Coupled with the digital-substation integration of Section 7.5.3, they point toward a generation of intelligent electronic devices in which certified classical logic and continuously adapting learned supervision operate together as a matter of course.</w:t>
      </w:r>
    </w:p>
    <w:p>
      <w:pPr>
        <w:spacing w:after="120" w:line="360" w:lineRule="auto"/>
        <w:jc w:val="both"/>
      </w:pPr>
      <w:r>
        <w:rPr>
          <w:rFonts w:ascii="Times New Roman" w:cs="Times New Roman" w:eastAsia="Times New Roman" w:hAnsi="Times New Roman"/>
          <w:sz w:val="24"/>
          <w:szCs w:val="24"/>
        </w:rPr>
        <w:t xml:space="preserve">In summary, this thesis contributes not only a specific, validated transformer-protection scheme but also a transferable design pattern for the responsible integration of machine learning into safety-critical protection. By keeping the learned model in a supervisory role, quantifying both dependability and security, stress-testing well beyond the training distribution, and validating in closed-loop co-simulation, the work offers a template that the protection community can adopt with confidence as it navigates the transition to intelligent, digital, and increasingly autonomous power systems.</w:t>
      </w:r>
    </w:p>
    <w:p>
      <w:pPr>
        <w:pStyle w:val="Heading1"/>
        <w:pageBreakBefore/>
        <w:spacing w:after="200" w:before="240"/>
      </w:pPr>
      <w:r>
        <w:rPr>
          <w:rFonts w:ascii="Times New Roman" w:cs="Times New Roman" w:eastAsia="Times New Roman" w:hAnsi="Times New Roman"/>
          <w:b/>
          <w:bCs/>
          <w:color w:val="1F3864"/>
          <w:sz w:val="32"/>
          <w:szCs w:val="32"/>
        </w:rPr>
        <w:t xml:space="preserve">LIST OF PUBLICATIONS</w:t>
      </w:r>
    </w:p>
    <w:p>
      <w:pPr>
        <w:spacing w:after="120"/>
        <w:jc w:val="both"/>
      </w:pPr>
      <w:r>
        <w:rPr>
          <w:rFonts w:ascii="Times New Roman" w:cs="Times New Roman" w:eastAsia="Times New Roman" w:hAnsi="Times New Roman"/>
          <w:sz w:val="24"/>
          <w:szCs w:val="24"/>
        </w:rPr>
        <w:t xml:space="preserve">The following publications have been derived from the research work presented in this thesis:</w:t>
      </w:r>
    </w:p>
    <w:p>
      <w:pPr>
        <w:spacing w:after="120" w:line="360" w:lineRule="auto"/>
        <w:jc w:val="both"/>
      </w:pPr>
      <w:r>
        <w:rPr>
          <w:rFonts w:ascii="Times New Roman" w:cs="Times New Roman" w:eastAsia="Times New Roman" w:hAnsi="Times New Roman"/>
          <w:sz w:val="24"/>
          <w:szCs w:val="24"/>
        </w:rPr>
        <w:t xml:space="preserve">[1] Author Name, Supervisor Name, and Co-Author Name, “Hybrid Adaptive Transformer Differential Protection Using a DWT-LSTM Intelligent Framework with Enhanced CT Saturation and Noise Robustness,” </w:t>
      </w:r>
      <w:r>
        <w:rPr>
          <w:rFonts w:ascii="Times New Roman" w:cs="Times New Roman" w:eastAsia="Times New Roman" w:hAnsi="Times New Roman"/>
          <w:i/>
          <w:iCs/>
          <w:sz w:val="24"/>
          <w:szCs w:val="24"/>
        </w:rPr>
        <w:t xml:space="preserve">IEEE Access</w:t>
      </w:r>
      <w:r>
        <w:rPr>
          <w:rFonts w:ascii="Times New Roman" w:cs="Times New Roman" w:eastAsia="Times New Roman" w:hAnsi="Times New Roman"/>
          <w:sz w:val="24"/>
          <w:szCs w:val="24"/>
        </w:rPr>
        <w:t xml:space="preserve">, vol. XX, pp. XXXXX–XXXXX, 2025. DOI: 10.1109/ACCESS.2025.XXXXXXX.</w:t>
      </w:r>
    </w:p>
    <w:p>
      <w:pPr>
        <w:spacing w:after="120"/>
        <w:jc w:val="both"/>
      </w:pPr>
      <w:r>
        <w:rPr>
          <w:rFonts w:ascii="Times New Roman" w:cs="Times New Roman" w:eastAsia="Times New Roman" w:hAnsi="Times New Roman"/>
          <w:i/>
          <w:iCs/>
          <w:sz w:val="24"/>
          <w:szCs w:val="24"/>
        </w:rPr>
        <w:t xml:space="preserve">Summary:</w:t>
      </w:r>
      <w:r>
        <w:rPr>
          <w:rFonts w:ascii="Times New Roman" w:cs="Times New Roman" w:eastAsia="Times New Roman" w:hAnsi="Times New Roman"/>
          <w:sz w:val="24"/>
          <w:szCs w:val="24"/>
        </w:rPr>
        <w:t xml:space="preserve"> This journal paper presents the complete DWT-LSTM framework for power transformer differential protection, including the three-level db4 wavelet-decomposition methodology, the compact six-dimensional energy feature-extraction pipeline, and the LSTM classification architecture with global temporal attention. The paper reports an overall classification accuracy of 99.27%, with 100% dependability and 100% security in the hybrid configuration and a sub-cycle operating time below 13.1 ms for internal faults. Comprehensive evaluation under CT saturation, measurement noise, high-impedance faults, and varying magnetizing conditions is provided, along with comparative analysis against seven existing methods.</w:t>
      </w:r>
    </w:p>
    <w:p>
      <w:pPr>
        <w:spacing w:after="120" w:line="360" w:lineRule="auto"/>
        <w:jc w:val="both"/>
      </w:pPr>
      <w:r>
        <w:rPr>
          <w:rFonts w:ascii="Times New Roman" w:cs="Times New Roman" w:eastAsia="Times New Roman" w:hAnsi="Times New Roman"/>
          <w:sz w:val="24"/>
          <w:szCs w:val="24"/>
        </w:rPr>
        <w:t xml:space="preserve">[2] Author Name, Supervisor Name, and Co-Author Name, “Multi-Resolution Feature Extraction for Transformer Protection: A Discrete Wavelet Transform Approach with Mutual Information-Based Feature Selection,” </w:t>
      </w:r>
      <w:r>
        <w:rPr>
          <w:rFonts w:ascii="Times New Roman" w:cs="Times New Roman" w:eastAsia="Times New Roman" w:hAnsi="Times New Roman"/>
          <w:i/>
          <w:iCs/>
          <w:sz w:val="24"/>
          <w:szCs w:val="24"/>
        </w:rPr>
        <w:t xml:space="preserve">Proceedings of the IEEE International Conference on Power Systems (ICPS)</w:t>
      </w:r>
      <w:r>
        <w:rPr>
          <w:rFonts w:ascii="Times New Roman" w:cs="Times New Roman" w:eastAsia="Times New Roman" w:hAnsi="Times New Roman"/>
          <w:sz w:val="24"/>
          <w:szCs w:val="24"/>
        </w:rPr>
        <w:t xml:space="preserve">, pp. XXX–XXX, 2025. DOI: 10.1109/ICPS.XXXX.XXXXXXX.</w:t>
      </w:r>
    </w:p>
    <w:p>
      <w:pPr>
        <w:spacing w:after="120"/>
        <w:jc w:val="both"/>
      </w:pPr>
      <w:r>
        <w:rPr>
          <w:rFonts w:ascii="Times New Roman" w:cs="Times New Roman" w:eastAsia="Times New Roman" w:hAnsi="Times New Roman"/>
          <w:i/>
          <w:iCs/>
          <w:sz w:val="24"/>
          <w:szCs w:val="24"/>
        </w:rPr>
        <w:t xml:space="preserve">Summary:</w:t>
      </w:r>
      <w:r>
        <w:rPr>
          <w:rFonts w:ascii="Times New Roman" w:cs="Times New Roman" w:eastAsia="Times New Roman" w:hAnsi="Times New Roman"/>
          <w:sz w:val="24"/>
          <w:szCs w:val="24"/>
        </w:rPr>
        <w:t xml:space="preserve"> This conference paper focuses on the DWT-based feature-extraction methodology. It presents a systematic analysis of mother-wavelet selection (comparing db4, db6, sym4, sym5, coif3, and bior2.2), decomposition-level optimization, and energy feature extraction from wavelet coefficients. A mutual-information-based feature-importance ranking is introduced, demonstrating that the six energy features—with the three detail-energy components capturing 72.3% of the discriminative information—are sufficient for reliable four-class discrimination. Ablation-study results on feature-subset size are also presented.</w:t>
      </w:r>
    </w:p>
    <w:p>
      <w:pPr>
        <w:spacing w:after="120" w:line="360" w:lineRule="auto"/>
        <w:jc w:val="both"/>
      </w:pPr>
      <w:r>
        <w:rPr>
          <w:rFonts w:ascii="Times New Roman" w:cs="Times New Roman" w:eastAsia="Times New Roman" w:hAnsi="Times New Roman"/>
          <w:sz w:val="24"/>
          <w:szCs w:val="24"/>
        </w:rPr>
        <w:t xml:space="preserve">[3] Author Name, Supervisor Name, and Co-Author Name, “Comparative Analysis of Intelligent Methods for Transformer Differential Protection Under Challenging Operating Conditions,” </w:t>
      </w:r>
      <w:r>
        <w:rPr>
          <w:rFonts w:ascii="Times New Roman" w:cs="Times New Roman" w:eastAsia="Times New Roman" w:hAnsi="Times New Roman"/>
          <w:i/>
          <w:iCs/>
          <w:sz w:val="24"/>
          <w:szCs w:val="24"/>
        </w:rPr>
        <w:t xml:space="preserve">International Journal of Electrical Power &amp; Energy Systems</w:t>
      </w:r>
      <w:r>
        <w:rPr>
          <w:rFonts w:ascii="Times New Roman" w:cs="Times New Roman" w:eastAsia="Times New Roman" w:hAnsi="Times New Roman"/>
          <w:sz w:val="24"/>
          <w:szCs w:val="24"/>
        </w:rPr>
        <w:t xml:space="preserve">, vol. XXX, pp. XXXXX–XXXXX, 2025. DOI: 10.1016/j.ijepes.2025.XXXXXX.</w:t>
      </w:r>
    </w:p>
    <w:p>
      <w:pPr>
        <w:spacing w:after="120"/>
        <w:jc w:val="both"/>
      </w:pPr>
      <w:r>
        <w:rPr>
          <w:rFonts w:ascii="Times New Roman" w:cs="Times New Roman" w:eastAsia="Times New Roman" w:hAnsi="Times New Roman"/>
          <w:i/>
          <w:iCs/>
          <w:sz w:val="24"/>
          <w:szCs w:val="24"/>
        </w:rPr>
        <w:t xml:space="preserve">Summary:</w:t>
      </w:r>
      <w:r>
        <w:rPr>
          <w:rFonts w:ascii="Times New Roman" w:cs="Times New Roman" w:eastAsia="Times New Roman" w:hAnsi="Times New Roman"/>
          <w:sz w:val="24"/>
          <w:szCs w:val="24"/>
        </w:rPr>
        <w:t xml:space="preserve"> This journal paper provides a comprehensive comparative analysis of seven transformer differential protection methods, including conventional harmonic restraint, wavelet-ANN, wavelet-SVM, wavelet-PNN, wavelet-CNN, and deep-learning approaches. The comparison is conducted under a unified simulation framework covering five challenging operating conditions: CT saturation, measurement noise, high-impedance faults, severe inrush conditions, and combined worst-case scenarios. The proposed DWT-LSTM framework is shown to outperform all compared methods across the evaluated metrics.</w:t>
      </w:r>
    </w:p>
    <w:p>
      <w:pPr>
        <w:pStyle w:val="Heading1"/>
        <w:pageBreakBefore/>
        <w:spacing w:after="200" w:before="240"/>
      </w:pPr>
      <w:r>
        <w:rPr>
          <w:rFonts w:ascii="Times New Roman" w:cs="Times New Roman" w:eastAsia="Times New Roman" w:hAnsi="Times New Roman"/>
          <w:b/>
          <w:bCs/>
          <w:color w:val="1F3864"/>
          <w:sz w:val="32"/>
          <w:szCs w:val="32"/>
        </w:rPr>
        <w:t xml:space="preserve">REFERENCES</w:t>
      </w:r>
    </w:p>
    <w:p>
      <w:pPr>
        <w:spacing w:after="80" w:line="300"/>
        <w:ind w:left="480" w:hanging="480"/>
        <w:jc w:val="both"/>
      </w:pPr>
      <w:r>
        <w:rPr>
          <w:rFonts w:ascii="Times New Roman" w:cs="Times New Roman" w:eastAsia="Times New Roman" w:hAnsi="Times New Roman"/>
          <w:sz w:val="21"/>
          <w:szCs w:val="21"/>
        </w:rPr>
        <w:t xml:space="preserve">[1] </w:t>
      </w:r>
      <w:r>
        <w:rPr>
          <w:rFonts w:ascii="Times New Roman" w:cs="Times New Roman" w:eastAsia="Times New Roman" w:hAnsi="Times New Roman"/>
          <w:sz w:val="21"/>
          <w:szCs w:val="21"/>
        </w:rPr>
        <w:t xml:space="preserve">M. Alhamd, S. A. Shukri, and Z. A. M. Haniff, “Advanced fault detection using improved wavelet analysis and long short-term memory networks for power system protection,” IEEE Access, vol. 12, pp. 1–15, 2024.</w:t>
      </w:r>
    </w:p>
    <w:p>
      <w:pPr>
        <w:spacing w:after="80" w:line="300"/>
        <w:ind w:left="480" w:hanging="480"/>
        <w:jc w:val="both"/>
      </w:pPr>
      <w:r>
        <w:rPr>
          <w:rFonts w:ascii="Times New Roman" w:cs="Times New Roman" w:eastAsia="Times New Roman" w:hAnsi="Times New Roman"/>
          <w:sz w:val="21"/>
          <w:szCs w:val="21"/>
        </w:rPr>
        <w:t xml:space="preserve">[2] </w:t>
      </w:r>
      <w:r>
        <w:rPr>
          <w:rFonts w:ascii="Times New Roman" w:cs="Times New Roman" w:eastAsia="Times New Roman" w:hAnsi="Times New Roman"/>
          <w:sz w:val="21"/>
          <w:szCs w:val="21"/>
        </w:rPr>
        <w:t xml:space="preserve">——, “Fault detection in power transformers using improved wavelet analysis and LSTM deep learning,” International Journal of Electrical Power &amp; Energy Systems, vol. 155, p. 109567, 2024.</w:t>
      </w:r>
    </w:p>
    <w:p>
      <w:pPr>
        <w:spacing w:after="80" w:line="300"/>
        <w:ind w:left="480" w:hanging="480"/>
        <w:jc w:val="both"/>
      </w:pPr>
      <w:r>
        <w:rPr>
          <w:rFonts w:ascii="Times New Roman" w:cs="Times New Roman" w:eastAsia="Times New Roman" w:hAnsi="Times New Roman"/>
          <w:sz w:val="21"/>
          <w:szCs w:val="21"/>
        </w:rPr>
        <w:t xml:space="preserve">[3] </w:t>
      </w:r>
      <w:r>
        <w:rPr>
          <w:rFonts w:ascii="Times New Roman" w:cs="Times New Roman" w:eastAsia="Times New Roman" w:hAnsi="Times New Roman"/>
          <w:sz w:val="21"/>
          <w:szCs w:val="21"/>
        </w:rPr>
        <w:t xml:space="preserve">H. Atiyah, A. Mahmoud, and K. Melhi, “Real-time internal defect detection using wavelet transform and deep learning LSTM for power transformer protection,” Energies, vol. 16, no. 8, p. 3521, 2023.</w:t>
      </w:r>
    </w:p>
    <w:p>
      <w:pPr>
        <w:spacing w:after="80" w:line="300"/>
        <w:ind w:left="480" w:hanging="480"/>
        <w:jc w:val="both"/>
      </w:pPr>
      <w:r>
        <w:rPr>
          <w:rFonts w:ascii="Times New Roman" w:cs="Times New Roman" w:eastAsia="Times New Roman" w:hAnsi="Times New Roman"/>
          <w:sz w:val="21"/>
          <w:szCs w:val="21"/>
        </w:rPr>
        <w:t xml:space="preserve">[4] </w:t>
      </w:r>
      <w:r>
        <w:rPr>
          <w:rFonts w:ascii="Times New Roman" w:cs="Times New Roman" w:eastAsia="Times New Roman" w:hAnsi="Times New Roman"/>
          <w:sz w:val="21"/>
          <w:szCs w:val="21"/>
        </w:rPr>
        <w:t xml:space="preserve">P. M. Anderson, Power System Protection. New York, NY: IEEE Press/McGraw-Hill, 1999.</w:t>
      </w:r>
    </w:p>
    <w:p>
      <w:pPr>
        <w:spacing w:after="80" w:line="300"/>
        <w:ind w:left="480" w:hanging="480"/>
        <w:jc w:val="both"/>
      </w:pPr>
      <w:r>
        <w:rPr>
          <w:rFonts w:ascii="Times New Roman" w:cs="Times New Roman" w:eastAsia="Times New Roman" w:hAnsi="Times New Roman"/>
          <w:sz w:val="21"/>
          <w:szCs w:val="21"/>
        </w:rPr>
        <w:t xml:space="preserve">[5] </w:t>
      </w:r>
      <w:r>
        <w:rPr>
          <w:rFonts w:ascii="Times New Roman" w:cs="Times New Roman" w:eastAsia="Times New Roman" w:hAnsi="Times New Roman"/>
          <w:sz w:val="21"/>
          <w:szCs w:val="21"/>
        </w:rPr>
        <w:t xml:space="preserve">K. Sudha and A. K. Pradhan, “Wavelet transform-based technique for detection and classification of power system disturbances with application to transformer protection,” International Journal of Emerging Electric Power Systems, vol. 8, no. 5, pp. 1–22, 2007.</w:t>
      </w:r>
    </w:p>
    <w:p>
      <w:pPr>
        <w:spacing w:after="80" w:line="300"/>
        <w:ind w:left="480" w:hanging="480"/>
        <w:jc w:val="both"/>
      </w:pPr>
      <w:r>
        <w:rPr>
          <w:rFonts w:ascii="Times New Roman" w:cs="Times New Roman" w:eastAsia="Times New Roman" w:hAnsi="Times New Roman"/>
          <w:sz w:val="21"/>
          <w:szCs w:val="21"/>
        </w:rPr>
        <w:t xml:space="preserve">[6] </w:t>
      </w:r>
      <w:r>
        <w:rPr>
          <w:rFonts w:ascii="Times New Roman" w:cs="Times New Roman" w:eastAsia="Times New Roman" w:hAnsi="Times New Roman"/>
          <w:sz w:val="21"/>
          <w:szCs w:val="21"/>
        </w:rPr>
        <w:t xml:space="preserve">M. Ozgonenel, D. Thomas, and W. Z. Black, “Transformer differential protection using wavelet transform based on Daubechies mother wavelet,” Electric Power Systems Research, vol. 104, pp. 121–131, 2014.</w:t>
      </w:r>
    </w:p>
    <w:p>
      <w:pPr>
        <w:spacing w:after="80" w:line="300"/>
        <w:ind w:left="480" w:hanging="480"/>
        <w:jc w:val="both"/>
      </w:pPr>
      <w:r>
        <w:rPr>
          <w:rFonts w:ascii="Times New Roman" w:cs="Times New Roman" w:eastAsia="Times New Roman" w:hAnsi="Times New Roman"/>
          <w:sz w:val="21"/>
          <w:szCs w:val="21"/>
        </w:rPr>
        <w:t xml:space="preserve">[7] </w:t>
      </w:r>
      <w:r>
        <w:rPr>
          <w:rFonts w:ascii="Times New Roman" w:cs="Times New Roman" w:eastAsia="Times New Roman" w:hAnsi="Times New Roman"/>
          <w:sz w:val="21"/>
          <w:szCs w:val="21"/>
        </w:rPr>
        <w:t xml:space="preserve">Y. Wang, X. Yin, H. Zhang, and D. Chen, “Variable data-window Phaselet algorithm based transformer differential protection,” IEEE Transactions on Power Delivery, vol. 26, no. 4, pp. 2648–2656, 2011.</w:t>
      </w:r>
    </w:p>
    <w:p>
      <w:pPr>
        <w:spacing w:after="80" w:line="300"/>
        <w:ind w:left="480" w:hanging="480"/>
        <w:jc w:val="both"/>
      </w:pPr>
      <w:r>
        <w:rPr>
          <w:rFonts w:ascii="Times New Roman" w:cs="Times New Roman" w:eastAsia="Times New Roman" w:hAnsi="Times New Roman"/>
          <w:sz w:val="21"/>
          <w:szCs w:val="21"/>
        </w:rPr>
        <w:t xml:space="preserve">[8] </w:t>
      </w:r>
      <w:r>
        <w:rPr>
          <w:rFonts w:ascii="Times New Roman" w:cs="Times New Roman" w:eastAsia="Times New Roman" w:hAnsi="Times New Roman"/>
          <w:sz w:val="21"/>
          <w:szCs w:val="21"/>
        </w:rPr>
        <w:t xml:space="preserve">Z. Huang, S. Chen, S. Guo, and H. Yin, “Transformer differential protection based on self-adaptive biased characteristic curve,” Power System Protection and Control, vol. 44, no. 16, pp. 11–17, 2016.</w:t>
      </w:r>
    </w:p>
    <w:p>
      <w:pPr>
        <w:spacing w:after="80" w:line="300"/>
        <w:ind w:left="480" w:hanging="480"/>
        <w:jc w:val="both"/>
      </w:pPr>
      <w:r>
        <w:rPr>
          <w:rFonts w:ascii="Times New Roman" w:cs="Times New Roman" w:eastAsia="Times New Roman" w:hAnsi="Times New Roman"/>
          <w:sz w:val="21"/>
          <w:szCs w:val="21"/>
        </w:rPr>
        <w:t xml:space="preserve">[9] </w:t>
      </w:r>
      <w:r>
        <w:rPr>
          <w:rFonts w:ascii="Times New Roman" w:cs="Times New Roman" w:eastAsia="Times New Roman" w:hAnsi="Times New Roman"/>
          <w:sz w:val="21"/>
          <w:szCs w:val="21"/>
        </w:rPr>
        <w:t xml:space="preserve">M. Tripathy, R. P. Maheshwari, and H. K. Verma, “Power transformer differential protection based on optimal probabilistic neural network,” IEEE Transactions on Power Delivery, vol. 25, no. 1, pp. 102–112, 2010.</w:t>
      </w:r>
    </w:p>
    <w:p>
      <w:pPr>
        <w:spacing w:after="80" w:line="300"/>
        <w:ind w:left="480" w:hanging="480"/>
        <w:jc w:val="both"/>
      </w:pPr>
      <w:r>
        <w:rPr>
          <w:rFonts w:ascii="Times New Roman" w:cs="Times New Roman" w:eastAsia="Times New Roman" w:hAnsi="Times New Roman"/>
          <w:sz w:val="21"/>
          <w:szCs w:val="21"/>
        </w:rPr>
        <w:t xml:space="preserve">[10] </w:t>
      </w:r>
      <w:r>
        <w:rPr>
          <w:rFonts w:ascii="Times New Roman" w:cs="Times New Roman" w:eastAsia="Times New Roman" w:hAnsi="Times New Roman"/>
          <w:sz w:val="21"/>
          <w:szCs w:val="21"/>
        </w:rPr>
        <w:t xml:space="preserve">A. Prataprao, S. Khedkar, and S. Barve, “A review on fault classification methodologies in power transformer,” International Journal of Engineering and Advanced Technology, vol. 9, no. 1, pp. 7102–7109, 2019.</w:t>
      </w:r>
    </w:p>
    <w:p>
      <w:pPr>
        <w:spacing w:after="80" w:line="300"/>
        <w:ind w:left="480" w:hanging="480"/>
        <w:jc w:val="both"/>
      </w:pPr>
      <w:r>
        <w:rPr>
          <w:rFonts w:ascii="Times New Roman" w:cs="Times New Roman" w:eastAsia="Times New Roman" w:hAnsi="Times New Roman"/>
          <w:sz w:val="21"/>
          <w:szCs w:val="21"/>
        </w:rPr>
        <w:t xml:space="preserve">[11] </w:t>
      </w:r>
      <w:r>
        <w:rPr>
          <w:rFonts w:ascii="Times New Roman" w:cs="Times New Roman" w:eastAsia="Times New Roman" w:hAnsi="Times New Roman"/>
          <w:sz w:val="21"/>
          <w:szCs w:val="21"/>
        </w:rPr>
        <w:t xml:space="preserve">M. Abdusalam, K. F. Ali, and W. M. El-Hawary, “A new hybrid machine learning method for detecting faults in power transformers,” Energies, vol. 15, no. 5, p. 1672, 2022.</w:t>
      </w:r>
    </w:p>
    <w:p>
      <w:pPr>
        <w:spacing w:after="80" w:line="300"/>
        <w:ind w:left="480" w:hanging="480"/>
        <w:jc w:val="both"/>
      </w:pPr>
      <w:r>
        <w:rPr>
          <w:rFonts w:ascii="Times New Roman" w:cs="Times New Roman" w:eastAsia="Times New Roman" w:hAnsi="Times New Roman"/>
          <w:sz w:val="21"/>
          <w:szCs w:val="21"/>
        </w:rPr>
        <w:t xml:space="preserve">[12] </w:t>
      </w:r>
      <w:r>
        <w:rPr>
          <w:rFonts w:ascii="Times New Roman" w:cs="Times New Roman" w:eastAsia="Times New Roman" w:hAnsi="Times New Roman"/>
          <w:sz w:val="21"/>
          <w:szCs w:val="21"/>
        </w:rPr>
        <w:t xml:space="preserve">J. Wang, Y. Liu, Z. Li, and B. Wang, “Reinforcement learning based early classification for power transformer fault detection,” Expert Systems with Applications, vol. 258, p. 124521, 2025.</w:t>
      </w:r>
    </w:p>
    <w:p>
      <w:pPr>
        <w:spacing w:after="80" w:line="300"/>
        <w:ind w:left="480" w:hanging="480"/>
        <w:jc w:val="both"/>
      </w:pPr>
      <w:r>
        <w:rPr>
          <w:rFonts w:ascii="Times New Roman" w:cs="Times New Roman" w:eastAsia="Times New Roman" w:hAnsi="Times New Roman"/>
          <w:sz w:val="21"/>
          <w:szCs w:val="21"/>
        </w:rPr>
        <w:t xml:space="preserve">[13] </w:t>
      </w:r>
      <w:r>
        <w:rPr>
          <w:rFonts w:ascii="Times New Roman" w:cs="Times New Roman" w:eastAsia="Times New Roman" w:hAnsi="Times New Roman"/>
          <w:sz w:val="21"/>
          <w:szCs w:val="21"/>
        </w:rPr>
        <w:t xml:space="preserve">F. Simoes, D. V. Coury, and F. B. Costa, “Transformer differential protection using support vector machine and wavelet transform,” Electric Power Systems Research, vol. 192, p. 106916, 2021.</w:t>
      </w:r>
    </w:p>
    <w:p>
      <w:pPr>
        <w:spacing w:after="80" w:line="300"/>
        <w:ind w:left="480" w:hanging="480"/>
        <w:jc w:val="both"/>
      </w:pPr>
      <w:r>
        <w:rPr>
          <w:rFonts w:ascii="Times New Roman" w:cs="Times New Roman" w:eastAsia="Times New Roman" w:hAnsi="Times New Roman"/>
          <w:sz w:val="21"/>
          <w:szCs w:val="21"/>
        </w:rPr>
        <w:t xml:space="preserve">[14] </w:t>
      </w:r>
      <w:r>
        <w:rPr>
          <w:rFonts w:ascii="Times New Roman" w:cs="Times New Roman" w:eastAsia="Times New Roman" w:hAnsi="Times New Roman"/>
          <w:sz w:val="21"/>
          <w:szCs w:val="21"/>
        </w:rPr>
        <w:t xml:space="preserve">S. Suliman, A. Mohamed, and H. Shareef, “Discrimination between inrush current and internal fault in power transformer using discrete wavelet transform,” Indonesian Journal of Electronics, Electromedical Engineering, and Medical Informatics, vol. 3, no. 2, pp. 59–65, 2021.</w:t>
      </w:r>
    </w:p>
    <w:p>
      <w:pPr>
        <w:spacing w:after="80" w:line="300"/>
        <w:ind w:left="480" w:hanging="480"/>
        <w:jc w:val="both"/>
      </w:pPr>
      <w:r>
        <w:rPr>
          <w:rFonts w:ascii="Times New Roman" w:cs="Times New Roman" w:eastAsia="Times New Roman" w:hAnsi="Times New Roman"/>
          <w:sz w:val="21"/>
          <w:szCs w:val="21"/>
        </w:rPr>
        <w:t xml:space="preserve">[15] </w:t>
      </w:r>
      <w:r>
        <w:rPr>
          <w:rFonts w:ascii="Times New Roman" w:cs="Times New Roman" w:eastAsia="Times New Roman" w:hAnsi="Times New Roman"/>
          <w:sz w:val="21"/>
          <w:szCs w:val="21"/>
        </w:rPr>
        <w:t xml:space="preserve">W. Rebizant, J. Szafran, and A. Wiszniewski, “Transformer differential protection with neural network based inrush stabilization,” WSEAS Transactions on Circuits and Systems, vol. 6, no. 4, pp. 537–544, 2007.</w:t>
      </w:r>
    </w:p>
    <w:p>
      <w:pPr>
        <w:spacing w:after="80" w:line="300"/>
        <w:ind w:left="480" w:hanging="480"/>
        <w:jc w:val="both"/>
      </w:pPr>
      <w:r>
        <w:rPr>
          <w:rFonts w:ascii="Times New Roman" w:cs="Times New Roman" w:eastAsia="Times New Roman" w:hAnsi="Times New Roman"/>
          <w:sz w:val="21"/>
          <w:szCs w:val="21"/>
        </w:rPr>
        <w:t xml:space="preserve">[16] </w:t>
      </w:r>
      <w:r>
        <w:rPr>
          <w:rFonts w:ascii="Times New Roman" w:cs="Times New Roman" w:eastAsia="Times New Roman" w:hAnsi="Times New Roman"/>
          <w:sz w:val="21"/>
          <w:szCs w:val="21"/>
        </w:rPr>
        <w:t xml:space="preserve">M. Afrasiabi, D. Afrasiabi, M. Mohammadi, and M. Karimi, “Integration of accelerated deep neural network into power transformer differential protection,” IEEE Transactions on Industrial Informatics, vol. 16, no. 12, pp. 7363–7374, 2020.</w:t>
      </w:r>
    </w:p>
    <w:p>
      <w:pPr>
        <w:spacing w:after="80" w:line="300"/>
        <w:ind w:left="480" w:hanging="480"/>
        <w:jc w:val="both"/>
      </w:pPr>
      <w:r>
        <w:rPr>
          <w:rFonts w:ascii="Times New Roman" w:cs="Times New Roman" w:eastAsia="Times New Roman" w:hAnsi="Times New Roman"/>
          <w:sz w:val="21"/>
          <w:szCs w:val="21"/>
        </w:rPr>
        <w:t xml:space="preserve">[17] </w:t>
      </w:r>
      <w:r>
        <w:rPr>
          <w:rFonts w:ascii="Times New Roman" w:cs="Times New Roman" w:eastAsia="Times New Roman" w:hAnsi="Times New Roman"/>
          <w:sz w:val="21"/>
          <w:szCs w:val="21"/>
        </w:rPr>
        <w:t xml:space="preserve">A. Raichura and S. Paithankar, “Improved transformer differential protection by adaptive pickup,” Australian Journal of Electrical and Electronics Engineering, vol. 17, no. 2, pp. 109–119, 2020.</w:t>
      </w:r>
    </w:p>
    <w:p>
      <w:pPr>
        <w:spacing w:after="80" w:line="300"/>
        <w:ind w:left="480" w:hanging="480"/>
        <w:jc w:val="both"/>
      </w:pPr>
      <w:r>
        <w:rPr>
          <w:rFonts w:ascii="Times New Roman" w:cs="Times New Roman" w:eastAsia="Times New Roman" w:hAnsi="Times New Roman"/>
          <w:sz w:val="21"/>
          <w:szCs w:val="21"/>
        </w:rPr>
        <w:t xml:space="preserve">[18] </w:t>
      </w:r>
      <w:r>
        <w:rPr>
          <w:rFonts w:ascii="Times New Roman" w:cs="Times New Roman" w:eastAsia="Times New Roman" w:hAnsi="Times New Roman"/>
          <w:sz w:val="21"/>
          <w:szCs w:val="21"/>
        </w:rPr>
        <w:t xml:space="preserve">E. C. M. Costa, S. C. A. Alves, and R. L. A. Ribeiro, “Identification of inrush currents in power transformers using wavelet transform and artificial neural networks,” Journal of Control, Automation and Electrical Systems, vol. 24, no. 5, pp. 636–645, 2013.</w:t>
      </w:r>
    </w:p>
    <w:p>
      <w:pPr>
        <w:spacing w:after="80" w:line="300"/>
        <w:ind w:left="480" w:hanging="480"/>
        <w:jc w:val="both"/>
      </w:pPr>
      <w:r>
        <w:rPr>
          <w:rFonts w:ascii="Times New Roman" w:cs="Times New Roman" w:eastAsia="Times New Roman" w:hAnsi="Times New Roman"/>
          <w:sz w:val="21"/>
          <w:szCs w:val="21"/>
        </w:rPr>
        <w:t xml:space="preserve">[19] </w:t>
      </w:r>
      <w:r>
        <w:rPr>
          <w:rFonts w:ascii="Times New Roman" w:cs="Times New Roman" w:eastAsia="Times New Roman" w:hAnsi="Times New Roman"/>
          <w:sz w:val="21"/>
          <w:szCs w:val="21"/>
        </w:rPr>
        <w:t xml:space="preserve">A. Ngaopitakkul and A. Kunakorn, “Internal fault classification in power transformers using discrete wavelet transform and back-propagation neural networks,” International Journal of Computer Applications, vol. 28, no. 5, pp. 15–22, 2006.</w:t>
      </w:r>
    </w:p>
    <w:p>
      <w:pPr>
        <w:spacing w:after="80" w:line="300"/>
        <w:ind w:left="480" w:hanging="480"/>
        <w:jc w:val="both"/>
      </w:pPr>
      <w:r>
        <w:rPr>
          <w:rFonts w:ascii="Times New Roman" w:cs="Times New Roman" w:eastAsia="Times New Roman" w:hAnsi="Times New Roman"/>
          <w:sz w:val="21"/>
          <w:szCs w:val="21"/>
        </w:rPr>
        <w:t xml:space="preserve">[20] </w:t>
      </w:r>
      <w:r>
        <w:rPr>
          <w:rFonts w:ascii="Times New Roman" w:cs="Times New Roman" w:eastAsia="Times New Roman" w:hAnsi="Times New Roman"/>
          <w:sz w:val="21"/>
          <w:szCs w:val="21"/>
        </w:rPr>
        <w:t xml:space="preserve">S. Subramanian, M. S. Kalavathi, and C. Sharmeela, “Wavelet packet transform and support vector machine based discrimination between magnetizing inrush and internal faults of power transformer,” Mathematical Problems in Engineering, vol. 2010, pp. 1–13, 2010.</w:t>
      </w:r>
    </w:p>
    <w:p>
      <w:pPr>
        <w:spacing w:after="80" w:line="300"/>
        <w:ind w:left="480" w:hanging="480"/>
        <w:jc w:val="both"/>
      </w:pPr>
      <w:r>
        <w:rPr>
          <w:rFonts w:ascii="Times New Roman" w:cs="Times New Roman" w:eastAsia="Times New Roman" w:hAnsi="Times New Roman"/>
          <w:sz w:val="21"/>
          <w:szCs w:val="21"/>
        </w:rPr>
        <w:t xml:space="preserve">[21] </w:t>
      </w:r>
      <w:r>
        <w:rPr>
          <w:rFonts w:ascii="Times New Roman" w:cs="Times New Roman" w:eastAsia="Times New Roman" w:hAnsi="Times New Roman"/>
          <w:sz w:val="21"/>
          <w:szCs w:val="21"/>
        </w:rPr>
        <w:t xml:space="preserve">H. Dashti and M. Sanaye-Pasand, “A multi-region adaptive differential relay for power transformer protection,” IEEE Transactions on Power Delivery, vol. 29, no. 5, pp. 2165–2174, 2014.</w:t>
      </w:r>
    </w:p>
    <w:p>
      <w:pPr>
        <w:spacing w:after="80" w:line="300"/>
        <w:ind w:left="480" w:hanging="480"/>
        <w:jc w:val="both"/>
      </w:pPr>
      <w:r>
        <w:rPr>
          <w:rFonts w:ascii="Times New Roman" w:cs="Times New Roman" w:eastAsia="Times New Roman" w:hAnsi="Times New Roman"/>
          <w:sz w:val="21"/>
          <w:szCs w:val="21"/>
        </w:rPr>
        <w:t xml:space="preserve">[22] </w:t>
      </w:r>
      <w:r>
        <w:rPr>
          <w:rFonts w:ascii="Times New Roman" w:cs="Times New Roman" w:eastAsia="Times New Roman" w:hAnsi="Times New Roman"/>
          <w:sz w:val="21"/>
          <w:szCs w:val="21"/>
        </w:rPr>
        <w:t xml:space="preserve">A. Shahbazi, A. A. Samad, and P. R. Sharma, “A self-adaptive biased characteristic curve method for power transformer differential protection,” International Journal of Computer Theory and Applications, vol. 11, no. 4, pp. 321–331, 2022.</w:t>
      </w:r>
    </w:p>
    <w:p>
      <w:pPr>
        <w:spacing w:after="80" w:line="300"/>
        <w:ind w:left="480" w:hanging="480"/>
        <w:jc w:val="both"/>
      </w:pPr>
      <w:r>
        <w:rPr>
          <w:rFonts w:ascii="Times New Roman" w:cs="Times New Roman" w:eastAsia="Times New Roman" w:hAnsi="Times New Roman"/>
          <w:sz w:val="21"/>
          <w:szCs w:val="21"/>
        </w:rPr>
        <w:t xml:space="preserve">[23] </w:t>
      </w:r>
      <w:r>
        <w:rPr>
          <w:rFonts w:ascii="Times New Roman" w:cs="Times New Roman" w:eastAsia="Times New Roman" w:hAnsi="Times New Roman"/>
          <w:sz w:val="21"/>
          <w:szCs w:val="21"/>
        </w:rPr>
        <w:t xml:space="preserve">Y. Key, Z. Li, X. Wang, and L. Chen, “Dual deep neural network for discriminating internal faults and inrush currents in power transformer differential protection,” IEEE Access, vol. 13, pp. 11234–11246, 2025.</w:t>
      </w:r>
    </w:p>
    <w:p>
      <w:pPr>
        <w:spacing w:after="80" w:line="300"/>
        <w:ind w:left="480" w:hanging="480"/>
        <w:jc w:val="both"/>
      </w:pPr>
      <w:r>
        <w:rPr>
          <w:rFonts w:ascii="Times New Roman" w:cs="Times New Roman" w:eastAsia="Times New Roman" w:hAnsi="Times New Roman"/>
          <w:sz w:val="21"/>
          <w:szCs w:val="21"/>
        </w:rPr>
        <w:t xml:space="preserve">[24] </w:t>
      </w:r>
      <w:r>
        <w:rPr>
          <w:rFonts w:ascii="Times New Roman" w:cs="Times New Roman" w:eastAsia="Times New Roman" w:hAnsi="Times New Roman"/>
          <w:sz w:val="21"/>
          <w:szCs w:val="21"/>
        </w:rPr>
        <w:t xml:space="preserve">A. Oztekin, O. Kilic, and S. Bircan, “Power transformer differential protection with wavelet transform and difference function,” Energy Science and Technology International Journal, vol. 13, no. 1, pp. 45–58, 2025.</w:t>
      </w:r>
    </w:p>
    <w:p>
      <w:pPr>
        <w:spacing w:after="80" w:line="300"/>
        <w:ind w:left="480" w:hanging="480"/>
        <w:jc w:val="both"/>
      </w:pPr>
      <w:r>
        <w:rPr>
          <w:rFonts w:ascii="Times New Roman" w:cs="Times New Roman" w:eastAsia="Times New Roman" w:hAnsi="Times New Roman"/>
          <w:sz w:val="21"/>
          <w:szCs w:val="21"/>
        </w:rPr>
        <w:t xml:space="preserve">[25] </w:t>
      </w:r>
      <w:r>
        <w:rPr>
          <w:rFonts w:ascii="Times New Roman" w:cs="Times New Roman" w:eastAsia="Times New Roman" w:hAnsi="Times New Roman"/>
          <w:sz w:val="21"/>
          <w:szCs w:val="21"/>
        </w:rPr>
        <w:t xml:space="preserve">P. Chiradeja, A. Ngaopitakkul, and C. Pothisarn, “Probabilistic neural network with wavelet transform for transformer protection using high-frequency components,” Applied Sciences, vol. 11, no. 6, p. 2633, 2021.</w:t>
      </w:r>
    </w:p>
    <w:p>
      <w:pPr>
        <w:spacing w:after="80" w:line="300"/>
        <w:ind w:left="480" w:hanging="480"/>
        <w:jc w:val="both"/>
      </w:pPr>
      <w:r>
        <w:rPr>
          <w:rFonts w:ascii="Times New Roman" w:cs="Times New Roman" w:eastAsia="Times New Roman" w:hAnsi="Times New Roman"/>
          <w:sz w:val="21"/>
          <w:szCs w:val="21"/>
        </w:rPr>
        <w:t xml:space="preserve">[26] </w:t>
      </w:r>
      <w:r>
        <w:rPr>
          <w:rFonts w:ascii="Times New Roman" w:cs="Times New Roman" w:eastAsia="Times New Roman" w:hAnsi="Times New Roman"/>
          <w:sz w:val="21"/>
          <w:szCs w:val="21"/>
        </w:rPr>
        <w:t xml:space="preserve">H. Noshad, M. Razaz, and S. G. Seifossadat, “A new algorithm considering ultra-saturation phenomenon for differential protection of power transformers,” International Journal of Electronics and Electrical Power, vol. 7, no. 2, pp. 51–61, 2019.</w:t>
      </w:r>
    </w:p>
    <w:p>
      <w:pPr>
        <w:spacing w:after="80" w:line="300"/>
        <w:ind w:left="480" w:hanging="480"/>
        <w:jc w:val="both"/>
      </w:pPr>
      <w:r>
        <w:rPr>
          <w:rFonts w:ascii="Times New Roman" w:cs="Times New Roman" w:eastAsia="Times New Roman" w:hAnsi="Times New Roman"/>
          <w:sz w:val="21"/>
          <w:szCs w:val="21"/>
        </w:rPr>
        <w:t xml:space="preserve">[27] </w:t>
      </w:r>
      <w:r>
        <w:rPr>
          <w:rFonts w:ascii="Times New Roman" w:cs="Times New Roman" w:eastAsia="Times New Roman" w:hAnsi="Times New Roman"/>
          <w:sz w:val="21"/>
          <w:szCs w:val="21"/>
        </w:rPr>
        <w:t xml:space="preserve">Y. Yubo, C. Deshu, X. Zhenyu, and O. P. Malik, “Adaptive variable window algorithm for power transformer differential protection,” IEEE Transactions on Power Delivery, vol. 20, no. 3, pp. 1790–1798, 2005.</w:t>
      </w:r>
    </w:p>
    <w:p>
      <w:pPr>
        <w:spacing w:after="80" w:line="300"/>
        <w:ind w:left="480" w:hanging="480"/>
        <w:jc w:val="both"/>
      </w:pPr>
      <w:r>
        <w:rPr>
          <w:rFonts w:ascii="Times New Roman" w:cs="Times New Roman" w:eastAsia="Times New Roman" w:hAnsi="Times New Roman"/>
          <w:sz w:val="21"/>
          <w:szCs w:val="21"/>
        </w:rPr>
        <w:t xml:space="preserve">[28] </w:t>
      </w:r>
      <w:r>
        <w:rPr>
          <w:rFonts w:ascii="Times New Roman" w:cs="Times New Roman" w:eastAsia="Times New Roman" w:hAnsi="Times New Roman"/>
          <w:sz w:val="21"/>
          <w:szCs w:val="21"/>
        </w:rPr>
        <w:t xml:space="preserve">S. Hayder, K. S. R. Rao, and S. S. Yadav, “Universal adaptive differential protection for regulating transformers,” IEEE Transactions on Power Delivery, vol. 23, no. 4, pp. 1976–1983, 2008.</w:t>
      </w:r>
    </w:p>
    <w:p>
      <w:pPr>
        <w:spacing w:after="80" w:line="300"/>
        <w:ind w:left="480" w:hanging="480"/>
        <w:jc w:val="both"/>
      </w:pPr>
      <w:r>
        <w:rPr>
          <w:rFonts w:ascii="Times New Roman" w:cs="Times New Roman" w:eastAsia="Times New Roman" w:hAnsi="Times New Roman"/>
          <w:sz w:val="21"/>
          <w:szCs w:val="21"/>
        </w:rPr>
        <w:t xml:space="preserve">[29] </w:t>
      </w:r>
      <w:r>
        <w:rPr>
          <w:rFonts w:ascii="Times New Roman" w:cs="Times New Roman" w:eastAsia="Times New Roman" w:hAnsi="Times New Roman"/>
          <w:sz w:val="21"/>
          <w:szCs w:val="21"/>
        </w:rPr>
        <w:t xml:space="preserve">M. Bukhari, M. Asghar, and A. Ahmad, “Empirical wavelet transform based intelligent protection scheme for microgrids,” Energies, vol. 15, no. 14, p. 5095, 2022.</w:t>
      </w:r>
    </w:p>
    <w:p>
      <w:pPr>
        <w:spacing w:after="80" w:line="300"/>
        <w:ind w:left="480" w:hanging="480"/>
        <w:jc w:val="both"/>
      </w:pPr>
      <w:r>
        <w:rPr>
          <w:rFonts w:ascii="Times New Roman" w:cs="Times New Roman" w:eastAsia="Times New Roman" w:hAnsi="Times New Roman"/>
          <w:sz w:val="21"/>
          <w:szCs w:val="21"/>
        </w:rPr>
        <w:t xml:space="preserve">[30] </w:t>
      </w:r>
      <w:r>
        <w:rPr>
          <w:rFonts w:ascii="Times New Roman" w:cs="Times New Roman" w:eastAsia="Times New Roman" w:hAnsi="Times New Roman"/>
          <w:sz w:val="21"/>
          <w:szCs w:val="21"/>
        </w:rPr>
        <w:t xml:space="preserve">S. Murugan, S. Simon, K. Venkatesh, and N. K. Sharma, “An efficient approach for power transformer differential protection using energy feature tracking,” IEEE Transactions on Power Delivery, vol. 32, no. 4, pp. 1850–1859, 2017.</w:t>
      </w:r>
    </w:p>
    <w:p>
      <w:pPr>
        <w:spacing w:after="80" w:line="300"/>
        <w:ind w:left="480" w:hanging="480"/>
        <w:jc w:val="both"/>
      </w:pPr>
      <w:r>
        <w:rPr>
          <w:rFonts w:ascii="Times New Roman" w:cs="Times New Roman" w:eastAsia="Times New Roman" w:hAnsi="Times New Roman"/>
          <w:sz w:val="21"/>
          <w:szCs w:val="21"/>
        </w:rPr>
        <w:t xml:space="preserve">[31] </w:t>
      </w:r>
      <w:r>
        <w:rPr>
          <w:rFonts w:ascii="Times New Roman" w:cs="Times New Roman" w:eastAsia="Times New Roman" w:hAnsi="Times New Roman"/>
          <w:sz w:val="21"/>
          <w:szCs w:val="21"/>
        </w:rPr>
        <w:t xml:space="preserve">K. Hegazy, M. A. Salama, and M. M. A. Salama, “Advanced differential protection scheme for power transformers based on wavelet packet transform,” IEEE Transactions on Power Delivery, vol. 35, no. 5, pp. 2345–2356, 2020.</w:t>
      </w:r>
    </w:p>
    <w:p>
      <w:pPr>
        <w:spacing w:after="80" w:line="300"/>
        <w:ind w:left="480" w:hanging="480"/>
        <w:jc w:val="both"/>
      </w:pPr>
      <w:r>
        <w:rPr>
          <w:rFonts w:ascii="Times New Roman" w:cs="Times New Roman" w:eastAsia="Times New Roman" w:hAnsi="Times New Roman"/>
          <w:sz w:val="21"/>
          <w:szCs w:val="21"/>
        </w:rPr>
        <w:t xml:space="preserve">[32] </w:t>
      </w:r>
      <w:r>
        <w:rPr>
          <w:rFonts w:ascii="Times New Roman" w:cs="Times New Roman" w:eastAsia="Times New Roman" w:hAnsi="Times New Roman"/>
          <w:sz w:val="21"/>
          <w:szCs w:val="21"/>
        </w:rPr>
        <w:t xml:space="preserve">B. Kasztenny and E. Rosolowski, “Adaptive neural network-based protection of power transformers,” Electric Power Systems Research, vol. 155, pp. 368–379, 2018.</w:t>
      </w:r>
    </w:p>
    <w:p>
      <w:pPr>
        <w:spacing w:after="80" w:line="300"/>
        <w:ind w:left="480" w:hanging="480"/>
        <w:jc w:val="both"/>
      </w:pPr>
      <w:r>
        <w:rPr>
          <w:rFonts w:ascii="Times New Roman" w:cs="Times New Roman" w:eastAsia="Times New Roman" w:hAnsi="Times New Roman"/>
          <w:sz w:val="21"/>
          <w:szCs w:val="21"/>
        </w:rPr>
        <w:t xml:space="preserve">[33] </w:t>
      </w:r>
      <w:r>
        <w:rPr>
          <w:rFonts w:ascii="Times New Roman" w:cs="Times New Roman" w:eastAsia="Times New Roman" w:hAnsi="Times New Roman"/>
          <w:sz w:val="21"/>
          <w:szCs w:val="21"/>
        </w:rPr>
        <w:t xml:space="preserve">Z. Gajic, I. Brnivic, and R. Gojko, “Differential protection of power transformers using ICT and smart processing,” International Journal of Electrical Power &amp; Energy Systems, vol. 110, pp. 582–592, 2019.</w:t>
      </w:r>
    </w:p>
    <w:p>
      <w:pPr>
        <w:spacing w:after="80" w:line="300"/>
        <w:ind w:left="480" w:hanging="480"/>
        <w:jc w:val="both"/>
      </w:pPr>
      <w:r>
        <w:rPr>
          <w:rFonts w:ascii="Times New Roman" w:cs="Times New Roman" w:eastAsia="Times New Roman" w:hAnsi="Times New Roman"/>
          <w:sz w:val="21"/>
          <w:szCs w:val="21"/>
        </w:rPr>
        <w:t xml:space="preserve">[34] </w:t>
      </w:r>
      <w:r>
        <w:rPr>
          <w:rFonts w:ascii="Times New Roman" w:cs="Times New Roman" w:eastAsia="Times New Roman" w:hAnsi="Times New Roman"/>
          <w:sz w:val="21"/>
          <w:szCs w:val="21"/>
        </w:rPr>
        <w:t xml:space="preserve">D. R. Oliveira, A. S. Bretas, and L. U. Iurinic, “Transformers differential protection using independent component analysis,” IEEE Transactions on Power Delivery, vol. 34, no. 2, pp. 738–747, 2019.</w:t>
      </w:r>
    </w:p>
    <w:p>
      <w:pPr>
        <w:spacing w:after="80" w:line="300"/>
        <w:ind w:left="480" w:hanging="480"/>
        <w:jc w:val="both"/>
      </w:pPr>
      <w:r>
        <w:rPr>
          <w:rFonts w:ascii="Times New Roman" w:cs="Times New Roman" w:eastAsia="Times New Roman" w:hAnsi="Times New Roman"/>
          <w:sz w:val="21"/>
          <w:szCs w:val="21"/>
        </w:rPr>
        <w:t xml:space="preserve">[35] </w:t>
      </w:r>
      <w:r>
        <w:rPr>
          <w:rFonts w:ascii="Times New Roman" w:cs="Times New Roman" w:eastAsia="Times New Roman" w:hAnsi="Times New Roman"/>
          <w:sz w:val="21"/>
          <w:szCs w:val="21"/>
        </w:rPr>
        <w:t xml:space="preserve">A. Hooshyar, M. A. Azzouz, and E. F. El-Saadany, “Transformer differential protection based on GARCH modelling of differential current,” IEEE Transactions on Power Delivery, vol. 31, no. 1, pp. 127–136, 2016.</w:t>
      </w:r>
    </w:p>
    <w:p>
      <w:pPr>
        <w:spacing w:after="80" w:line="300"/>
        <w:ind w:left="480" w:hanging="480"/>
        <w:jc w:val="both"/>
      </w:pPr>
      <w:r>
        <w:rPr>
          <w:rFonts w:ascii="Times New Roman" w:cs="Times New Roman" w:eastAsia="Times New Roman" w:hAnsi="Times New Roman"/>
          <w:sz w:val="21"/>
          <w:szCs w:val="21"/>
        </w:rPr>
        <w:t xml:space="preserve">[36] </w:t>
      </w:r>
      <w:r>
        <w:rPr>
          <w:rFonts w:ascii="Times New Roman" w:cs="Times New Roman" w:eastAsia="Times New Roman" w:hAnsi="Times New Roman"/>
          <w:sz w:val="21"/>
          <w:szCs w:val="21"/>
        </w:rPr>
        <w:t xml:space="preserve">Y. C. Kang, B. E. Lee, and S. H. Kang, “A CT saturation detection algorithm using the secondary current third-derivative function,” IEEE Transactions on Power Delivery, vol. 26, no. 4, pp. 2863–2871, 2011.</w:t>
      </w:r>
    </w:p>
    <w:p>
      <w:pPr>
        <w:spacing w:after="80" w:line="300"/>
        <w:ind w:left="480" w:hanging="480"/>
        <w:jc w:val="both"/>
      </w:pPr>
      <w:r>
        <w:rPr>
          <w:rFonts w:ascii="Times New Roman" w:cs="Times New Roman" w:eastAsia="Times New Roman" w:hAnsi="Times New Roman"/>
          <w:sz w:val="21"/>
          <w:szCs w:val="21"/>
        </w:rPr>
        <w:t xml:space="preserve">[37] </w:t>
      </w:r>
      <w:r>
        <w:rPr>
          <w:rFonts w:ascii="Times New Roman" w:cs="Times New Roman" w:eastAsia="Times New Roman" w:hAnsi="Times New Roman"/>
          <w:sz w:val="21"/>
          <w:szCs w:val="21"/>
        </w:rPr>
        <w:t xml:space="preserve">X. Lin, P. Liu, and O. P. Malik, “Studies for identification of the inrush based on improved correlation algorithm,” IEEE Transactions on Power Delivery, vol. 17, no. 4, pp. 901–907, 2002.</w:t>
      </w:r>
    </w:p>
    <w:p>
      <w:pPr>
        <w:pStyle w:val="Heading1"/>
        <w:pageBreakBefore/>
        <w:spacing w:after="200" w:before="240"/>
      </w:pPr>
      <w:r>
        <w:rPr>
          <w:rFonts w:ascii="Times New Roman" w:cs="Times New Roman" w:eastAsia="Times New Roman" w:hAnsi="Times New Roman"/>
          <w:b/>
          <w:bCs/>
          <w:color w:val="1F3864"/>
          <w:sz w:val="32"/>
          <w:szCs w:val="32"/>
        </w:rPr>
        <w:t xml:space="preserve">APPENDIX</w:t>
      </w:r>
    </w:p>
    <w:p>
      <w:pPr>
        <w:pStyle w:val="Heading2"/>
        <w:spacing w:after="120" w:before="200"/>
      </w:pPr>
      <w:r>
        <w:rPr>
          <w:rFonts w:ascii="Times New Roman" w:cs="Times New Roman" w:eastAsia="Times New Roman" w:hAnsi="Times New Roman"/>
          <w:b/>
          <w:bCs/>
          <w:color w:val="1F3864"/>
          <w:sz w:val="28"/>
          <w:szCs w:val="28"/>
        </w:rPr>
        <w:t xml:space="preserve">Appendix A: System Parameters</w:t>
      </w:r>
    </w:p>
    <w:p>
      <w:pPr>
        <w:pStyle w:val="Heading3"/>
        <w:spacing w:after="100" w:before="160"/>
      </w:pPr>
      <w:r>
        <w:rPr>
          <w:rFonts w:ascii="Times New Roman" w:cs="Times New Roman" w:eastAsia="Times New Roman" w:hAnsi="Times New Roman"/>
          <w:b/>
          <w:bCs/>
          <w:i/>
          <w:iCs/>
          <w:sz w:val="24"/>
          <w:szCs w:val="24"/>
        </w:rPr>
        <w:t xml:space="preserve">A.1  Transformer and CT Parameters</w:t>
      </w:r>
    </w:p>
    <w:p>
      <w:pPr>
        <w:spacing w:after="120" w:line="360" w:lineRule="auto"/>
        <w:jc w:val="both"/>
      </w:pPr>
      <w:r>
        <w:rPr>
          <w:rFonts w:ascii="Times New Roman" w:cs="Times New Roman" w:eastAsia="Times New Roman" w:hAnsi="Times New Roman"/>
          <w:sz w:val="24"/>
          <w:szCs w:val="24"/>
        </w:rPr>
        <w:t xml:space="preserve">The transformer and CT parameters used throughout this study correspond to the protected 300 MVA, 230/11 kV, Yd1 unit modelled in Chapter 4 (see Tables 4.1 and 4.2). They are reproduced here for convenience.</w:t>
      </w:r>
    </w:p>
    <w:p>
      <w:pPr>
        <w:spacing w:after="60" w:before="160"/>
        <w:jc w:val="center"/>
      </w:pPr>
      <w:r>
        <w:rPr>
          <w:rFonts w:ascii="Times New Roman" w:cs="Times New Roman" w:eastAsia="Times New Roman" w:hAnsi="Times New Roman"/>
          <w:b/>
          <w:bCs/>
          <w:sz w:val="21"/>
          <w:szCs w:val="21"/>
        </w:rPr>
        <w:t xml:space="preserve">Table A.1: </w:t>
      </w:r>
      <w:r>
        <w:rPr>
          <w:rFonts w:ascii="Times New Roman" w:cs="Times New Roman" w:eastAsia="Times New Roman" w:hAnsi="Times New Roman"/>
          <w:sz w:val="21"/>
          <w:szCs w:val="21"/>
        </w:rPr>
        <w:t xml:space="preserve">Power transformer rated and equivalent-circuit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power (S_r)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MVA</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HV / LV winding rating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230 kV / 11 kV</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Vector group</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Yd1 (Wye/Delta, 30° lag)</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Frequency</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 Hz</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HV winding (R1 + jX1)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0.0025 + j0.08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LV winding (R2 + jX2)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0.003 + j0.08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Magnetizing branch (R_m, L_m)</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500 p.u., 5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Knee-point flux</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 1.2 p.u.</w:t>
            </w:r>
          </w:p>
        </w:tc>
      </w:tr>
      <w:tr>
        <w:trPr>
          <w:tblHeader w:val="false"/>
        </w:trPr>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Base impedance (HV / LV)</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176.33 Ω / 0.4033 Ω</w:t>
            </w:r>
          </w:p>
        </w:tc>
      </w:tr>
    </w:tbl>
    <w:p>
      <w:pPr>
        <w:spacing w:after="60" w:before="160"/>
        <w:jc w:val="center"/>
      </w:pPr>
      <w:r>
        <w:rPr>
          <w:rFonts w:ascii="Times New Roman" w:cs="Times New Roman" w:eastAsia="Times New Roman" w:hAnsi="Times New Roman"/>
          <w:b/>
          <w:bCs/>
          <w:sz w:val="21"/>
          <w:szCs w:val="21"/>
        </w:rPr>
        <w:t xml:space="preserve">Table A.2: </w:t>
      </w:r>
      <w:r>
        <w:rPr>
          <w:rFonts w:ascii="Times New Roman" w:cs="Times New Roman" w:eastAsia="Times New Roman" w:hAnsi="Times New Roman"/>
          <w:sz w:val="21"/>
          <w:szCs w:val="21"/>
        </w:rPr>
        <w:t xml:space="preserve">Current transformer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HV Side</w:t>
            </w:r>
          </w:p>
        </w:tc>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LV Side</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CT ratio</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20:1</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Accuracy class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5P20</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Rated primary current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753.1 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15 746 A</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Secondary resistance (R_s)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 Ω</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Burden impedance (Z_b)</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 Ω</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Ω</w:t>
            </w:r>
          </w:p>
        </w:tc>
      </w:tr>
      <w:tr>
        <w:trPr>
          <w:tblHeader w:val="false"/>
        </w:trP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Core relative permeability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2000</w:t>
            </w:r>
          </w:p>
        </w:tc>
      </w:tr>
    </w:tbl>
    <w:p>
      <w:pPr>
        <w:pStyle w:val="Heading2"/>
        <w:spacing w:after="120" w:before="200"/>
      </w:pPr>
      <w:r>
        <w:rPr>
          <w:rFonts w:ascii="Times New Roman" w:cs="Times New Roman" w:eastAsia="Times New Roman" w:hAnsi="Times New Roman"/>
          <w:b/>
          <w:bCs/>
          <w:color w:val="1F3864"/>
          <w:sz w:val="28"/>
          <w:szCs w:val="28"/>
        </w:rPr>
        <w:t xml:space="preserve">Appendix B: db4 Wavelet Coefficients</w:t>
      </w:r>
    </w:p>
    <w:p>
      <w:pPr>
        <w:spacing w:after="60" w:before="160"/>
        <w:jc w:val="center"/>
      </w:pPr>
      <w:r>
        <w:rPr>
          <w:rFonts w:ascii="Times New Roman" w:cs="Times New Roman" w:eastAsia="Times New Roman" w:hAnsi="Times New Roman"/>
          <w:b/>
          <w:bCs/>
          <w:sz w:val="21"/>
          <w:szCs w:val="21"/>
        </w:rPr>
        <w:t xml:space="preserve">Table B.1: </w:t>
      </w:r>
      <w:r>
        <w:rPr>
          <w:rFonts w:ascii="Times New Roman" w:cs="Times New Roman" w:eastAsia="Times New Roman" w:hAnsi="Times New Roman"/>
          <w:sz w:val="21"/>
          <w:szCs w:val="21"/>
        </w:rPr>
        <w:t xml:space="preserve">Daubechies-4 decomposition filter coefficients (g[n] = (−1)ⁿ h[7−n]).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n</w:t>
            </w:r>
          </w:p>
        </w:tc>
        <w:tc>
          <w:tcPr>
            <w:tcW w:type="dxa" w:w="37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h[n] (Low-pass)</w:t>
            </w:r>
          </w:p>
        </w:tc>
        <w:tc>
          <w:tcPr>
            <w:tcW w:type="dxa" w:w="378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g[n] (High-pass)</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0</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+0.23037781</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+0.01059740</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+0.71484657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−0.03278364</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+0.63088077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−0.03084138</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−0.02798377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+0.18703481</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−0.18703481</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+0.03084138</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+0.03084138</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+0.03278364</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+0.03278364</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−0.01059740</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−0.01059740</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−0.02798377</w:t>
            </w:r>
          </w:p>
        </w:tc>
      </w:tr>
    </w:tbl>
    <w:p>
      <w:pPr>
        <w:pStyle w:val="Heading2"/>
        <w:spacing w:after="120" w:before="200"/>
      </w:pPr>
      <w:r>
        <w:rPr>
          <w:rFonts w:ascii="Times New Roman" w:cs="Times New Roman" w:eastAsia="Times New Roman" w:hAnsi="Times New Roman"/>
          <w:b/>
          <w:bCs/>
          <w:color w:val="1F3864"/>
          <w:sz w:val="28"/>
          <w:szCs w:val="28"/>
        </w:rPr>
        <w:t xml:space="preserve">Appendix C: LSTM Hyperparameter Configuration</w:t>
      </w:r>
    </w:p>
    <w:p>
      <w:pPr>
        <w:spacing w:after="60" w:before="160"/>
        <w:jc w:val="center"/>
      </w:pPr>
      <w:r>
        <w:rPr>
          <w:rFonts w:ascii="Times New Roman" w:cs="Times New Roman" w:eastAsia="Times New Roman" w:hAnsi="Times New Roman"/>
          <w:b/>
          <w:bCs/>
          <w:sz w:val="21"/>
          <w:szCs w:val="21"/>
        </w:rPr>
        <w:t xml:space="preserve">Table C.1: </w:t>
      </w:r>
      <w:r>
        <w:rPr>
          <w:rFonts w:ascii="Times New Roman" w:cs="Times New Roman" w:eastAsia="Times New Roman" w:hAnsi="Times New Roman"/>
          <w:sz w:val="21"/>
          <w:szCs w:val="21"/>
        </w:rPr>
        <w:t xml:space="preserve">LSTM hyperparameter search space and selected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600"/>
        <w:gridCol w:w="24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Hyperparameter</w:t>
            </w:r>
          </w:p>
        </w:tc>
        <w:tc>
          <w:tcPr>
            <w:tcW w:type="dxa" w:w="3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Search Space</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Selected</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 layers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 2, 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Hidden units (layer 1 / layer 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{64, 128, 256}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 / 64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Dropout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{0.1, 0.2, 0.3, 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Learning rate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{0.01, 0.001, 0.0001}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0.001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Optimizer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{Adam, RMSprop, SGD}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LR schedule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{None, RLRP}</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ReduceLROnPlateau</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Batch size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 64, 128}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Early-stopping patience</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15, 20, 25}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ONNX opset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{11, 13, 14}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r>
    </w:tbl>
    <w:p>
      <w:pPr>
        <w:pStyle w:val="Heading2"/>
        <w:spacing w:after="120" w:before="200"/>
      </w:pPr>
      <w:r>
        <w:rPr>
          <w:rFonts w:ascii="Times New Roman" w:cs="Times New Roman" w:eastAsia="Times New Roman" w:hAnsi="Times New Roman"/>
          <w:b/>
          <w:bCs/>
          <w:color w:val="1F3864"/>
          <w:sz w:val="28"/>
          <w:szCs w:val="28"/>
        </w:rPr>
        <w:t xml:space="preserve">Appendix D: Code Listings</w:t>
      </w:r>
    </w:p>
    <w:p>
      <w:pPr>
        <w:pStyle w:val="Heading3"/>
        <w:spacing w:after="100" w:before="160"/>
      </w:pPr>
      <w:r>
        <w:rPr>
          <w:rFonts w:ascii="Times New Roman" w:cs="Times New Roman" w:eastAsia="Times New Roman" w:hAnsi="Times New Roman"/>
          <w:b/>
          <w:bCs/>
          <w:i/>
          <w:iCs/>
          <w:sz w:val="24"/>
          <w:szCs w:val="24"/>
        </w:rPr>
        <w:t xml:space="preserve">D.1  MATLAB: DWT Feature Extraction (db4, half-cycle window)</w:t>
      </w:r>
    </w:p>
    <w:p>
      <w:pPr>
        <w:shd w:fill="F4F4F4" w:val="clear"/>
        <w:spacing w:after="0" w:line="240"/>
        <w:jc w:val="left"/>
      </w:pPr>
      <w:r>
        <w:rPr>
          <w:rFonts w:ascii="Courier New" w:cs="Courier New" w:eastAsia="Courier New" w:hAnsi="Courier New"/>
          <w:sz w:val="18"/>
          <w:szCs w:val="18"/>
        </w:rPr>
        <w:t xml:space="preserve">function F = dwt_features(I_diff, fs)</w:t>
      </w:r>
      <w:r>
        <w:rPr>
          <w:rFonts w:ascii="Courier New" w:cs="Courier New" w:eastAsia="Courier New" w:hAnsi="Courier New"/>
          <w:sz w:val="18"/>
          <w:szCs w:val="18"/>
        </w:rPr>
        <w:br/>
        <w:t xml:space="preserve">% I_diff: 3xN differential currents (phases A,B,C); fs = 1600 Hz</w:t>
      </w:r>
      <w:r>
        <w:rPr>
          <w:rFonts w:ascii="Courier New" w:cs="Courier New" w:eastAsia="Courier New" w:hAnsi="Courier New"/>
          <w:sz w:val="18"/>
          <w:szCs w:val="18"/>
        </w:rPr>
        <w:br/>
        <w:t xml:space="preserve">% Returns: [EA_a ED_a EA_b ED_b EA_c ED_c]</w:t>
      </w:r>
      <w:r>
        <w:rPr>
          <w:rFonts w:ascii="Courier New" w:cs="Courier New" w:eastAsia="Courier New" w:hAnsi="Courier New"/>
          <w:sz w:val="18"/>
          <w:szCs w:val="18"/>
        </w:rPr>
        <w:br/>
        <w:t xml:space="preserve">  w = 'db4'; n = floor(fs/(2*50));        % 16-sample half-cycle</w:t>
      </w:r>
      <w:r>
        <w:rPr>
          <w:rFonts w:ascii="Courier New" w:cs="Courier New" w:eastAsia="Courier New" w:hAnsi="Courier New"/>
          <w:sz w:val="18"/>
          <w:szCs w:val="18"/>
        </w:rPr>
        <w:br/>
        <w:t xml:space="preserve">  F = zeros(1,6);</w:t>
      </w:r>
      <w:r>
        <w:rPr>
          <w:rFonts w:ascii="Courier New" w:cs="Courier New" w:eastAsia="Courier New" w:hAnsi="Courier New"/>
          <w:sz w:val="18"/>
          <w:szCs w:val="18"/>
        </w:rPr>
        <w:br/>
        <w:t xml:space="preserve">  for ph = 1:3</w:t>
      </w:r>
      <w:r>
        <w:rPr>
          <w:rFonts w:ascii="Courier New" w:cs="Courier New" w:eastAsia="Courier New" w:hAnsi="Courier New"/>
          <w:sz w:val="18"/>
          <w:szCs w:val="18"/>
        </w:rPr>
        <w:br/>
        <w:t xml:space="preserve">    x = I_diff(ph, end-n+1:end);</w:t>
      </w:r>
      <w:r>
        <w:rPr>
          <w:rFonts w:ascii="Courier New" w:cs="Courier New" w:eastAsia="Courier New" w:hAnsi="Courier New"/>
          <w:sz w:val="18"/>
          <w:szCs w:val="18"/>
        </w:rPr>
        <w:br/>
        <w:t xml:space="preserve">    [cA, cD] = dwt(x, w);</w:t>
      </w:r>
      <w:r>
        <w:rPr>
          <w:rFonts w:ascii="Courier New" w:cs="Courier New" w:eastAsia="Courier New" w:hAnsi="Courier New"/>
          <w:sz w:val="18"/>
          <w:szCs w:val="18"/>
        </w:rPr>
        <w:br/>
        <w:t xml:space="preserve">    F(2*ph-1) = sum(cA.^2); F(2*ph) = sum(cD.^2);</w:t>
      </w:r>
      <w:r>
        <w:rPr>
          <w:rFonts w:ascii="Courier New" w:cs="Courier New" w:eastAsia="Courier New" w:hAnsi="Courier New"/>
          <w:sz w:val="18"/>
          <w:szCs w:val="18"/>
        </w:rPr>
        <w:br/>
        <w:t xml:space="preserve">  end</w:t>
      </w:r>
      <w:r>
        <w:rPr>
          <w:rFonts w:ascii="Courier New" w:cs="Courier New" w:eastAsia="Courier New" w:hAnsi="Courier New"/>
          <w:sz w:val="18"/>
          <w:szCs w:val="18"/>
        </w:rPr>
        <w:br/>
        <w:t xml:space="preserve">end</w:t>
      </w:r>
    </w:p>
    <w:p>
      <w:pPr>
        <w:pStyle w:val="Heading3"/>
        <w:spacing w:after="100" w:before="160"/>
      </w:pPr>
      <w:r>
        <w:rPr>
          <w:rFonts w:ascii="Times New Roman" w:cs="Times New Roman" w:eastAsia="Times New Roman" w:hAnsi="Times New Roman"/>
          <w:b/>
          <w:bCs/>
          <w:i/>
          <w:iCs/>
          <w:sz w:val="24"/>
          <w:szCs w:val="24"/>
        </w:rPr>
        <w:t xml:space="preserve">D.2  Python (PyTorch): LSTM Training and ONNX Export (Opset 14)</w:t>
      </w:r>
    </w:p>
    <w:p>
      <w:pPr>
        <w:shd w:fill="F4F4F4" w:val="clear"/>
        <w:spacing w:after="0" w:line="240"/>
        <w:jc w:val="left"/>
      </w:pPr>
      <w:r>
        <w:rPr>
          <w:rFonts w:ascii="Courier New" w:cs="Courier New" w:eastAsia="Courier New" w:hAnsi="Courier New"/>
          <w:sz w:val="18"/>
          <w:szCs w:val="18"/>
        </w:rPr>
        <w:t xml:space="preserve">import numpy as np, torch, torch.nn as nn</w:t>
      </w:r>
      <w:r>
        <w:rPr>
          <w:rFonts w:ascii="Courier New" w:cs="Courier New" w:eastAsia="Courier New" w:hAnsi="Courier New"/>
          <w:sz w:val="18"/>
          <w:szCs w:val="18"/>
        </w:rPr>
        <w:br/>
        <w:t xml:space="preserve">from sklearn.model_selection import train_test_split</w:t>
      </w:r>
      <w:r>
        <w:rPr>
          <w:rFonts w:ascii="Courier New" w:cs="Courier New" w:eastAsia="Courier New" w:hAnsi="Courier New"/>
          <w:sz w:val="18"/>
          <w:szCs w:val="18"/>
        </w:rPr>
        <w:br/>
        <w:t xml:space="preserve">from sklearn.preprocessing import StandardScaler</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X = np.load('dwt_features.npy')   # (N, 32, 6)</w:t>
      </w:r>
      <w:r>
        <w:rPr>
          <w:rFonts w:ascii="Courier New" w:cs="Courier New" w:eastAsia="Courier New" w:hAnsi="Courier New"/>
          <w:sz w:val="18"/>
          <w:szCs w:val="18"/>
        </w:rPr>
        <w:br/>
        <w:t xml:space="preserve">y = np.load('labels.npy')</w:t>
      </w:r>
      <w:r>
        <w:rPr>
          <w:rFonts w:ascii="Courier New" w:cs="Courier New" w:eastAsia="Courier New" w:hAnsi="Courier New"/>
          <w:sz w:val="18"/>
          <w:szCs w:val="18"/>
        </w:rPr>
        <w:br/>
        <w:t xml:space="preserve">Xtr, Xte, ytr, yte = train_test_split(X, y, test_size=0.15, stratify=y)</w:t>
      </w:r>
      <w:r>
        <w:rPr>
          <w:rFonts w:ascii="Courier New" w:cs="Courier New" w:eastAsia="Courier New" w:hAnsi="Courier New"/>
          <w:sz w:val="18"/>
          <w:szCs w:val="18"/>
        </w:rPr>
        <w:br/>
        <w:t xml:space="preserve">sc = StandardScaler()</w:t>
      </w:r>
      <w:r>
        <w:rPr>
          <w:rFonts w:ascii="Courier New" w:cs="Courier New" w:eastAsia="Courier New" w:hAnsi="Courier New"/>
          <w:sz w:val="18"/>
          <w:szCs w:val="18"/>
        </w:rPr>
        <w:br/>
        <w:t xml:space="preserve">Xtr = sc.fit_transform(Xtr.reshape(-1,6)).reshape(-1,32,6)</w:t>
      </w:r>
      <w:r>
        <w:rPr>
          <w:rFonts w:ascii="Courier New" w:cs="Courier New" w:eastAsia="Courier New" w:hAnsi="Courier New"/>
          <w:sz w:val="18"/>
          <w:szCs w:val="18"/>
        </w:rPr>
        <w:br/>
        <w:t xml:space="preserve">Xte = sc.transform(Xte.reshape(-1,6)).reshape(-1,32,6)</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class DWTLSTM(nn.Module):</w:t>
      </w:r>
      <w:r>
        <w:rPr>
          <w:rFonts w:ascii="Courier New" w:cs="Courier New" w:eastAsia="Courier New" w:hAnsi="Courier New"/>
          <w:sz w:val="18"/>
          <w:szCs w:val="18"/>
        </w:rPr>
        <w:br/>
        <w:t xml:space="preserve">    def __init__(self):</w:t>
      </w:r>
      <w:r>
        <w:rPr>
          <w:rFonts w:ascii="Courier New" w:cs="Courier New" w:eastAsia="Courier New" w:hAnsi="Courier New"/>
          <w:sz w:val="18"/>
          <w:szCs w:val="18"/>
        </w:rPr>
        <w:br/>
        <w:t xml:space="preserve">        super().__init__()</w:t>
      </w:r>
      <w:r>
        <w:rPr>
          <w:rFonts w:ascii="Courier New" w:cs="Courier New" w:eastAsia="Courier New" w:hAnsi="Courier New"/>
          <w:sz w:val="18"/>
          <w:szCs w:val="18"/>
        </w:rPr>
        <w:br/>
        <w:t xml:space="preserve">        self.l1 = nn.LSTM(6, 128, batch_first=True)      # unidirectional</w:t>
      </w:r>
      <w:r>
        <w:rPr>
          <w:rFonts w:ascii="Courier New" w:cs="Courier New" w:eastAsia="Courier New" w:hAnsi="Courier New"/>
          <w:sz w:val="18"/>
          <w:szCs w:val="18"/>
        </w:rPr>
        <w:br/>
        <w:t xml:space="preserve">        self.d1 = nn.Dropout(0.3)</w:t>
      </w:r>
      <w:r>
        <w:rPr>
          <w:rFonts w:ascii="Courier New" w:cs="Courier New" w:eastAsia="Courier New" w:hAnsi="Courier New"/>
          <w:sz w:val="18"/>
          <w:szCs w:val="18"/>
        </w:rPr>
        <w:br/>
        <w:t xml:space="preserve">        self.l2 = nn.LSTM(128, 64, batch_first=True)</w:t>
      </w:r>
      <w:r>
        <w:rPr>
          <w:rFonts w:ascii="Courier New" w:cs="Courier New" w:eastAsia="Courier New" w:hAnsi="Courier New"/>
          <w:sz w:val="18"/>
          <w:szCs w:val="18"/>
        </w:rPr>
        <w:br/>
        <w:t xml:space="preserve">        self.d2 = nn.Dropout(0.3)</w:t>
      </w:r>
      <w:r>
        <w:rPr>
          <w:rFonts w:ascii="Courier New" w:cs="Courier New" w:eastAsia="Courier New" w:hAnsi="Courier New"/>
          <w:sz w:val="18"/>
          <w:szCs w:val="18"/>
        </w:rPr>
        <w:br/>
        <w:t xml:space="preserve">        self.attn = nn.Linear(64, 1)                     # global temporal attention</w:t>
      </w:r>
      <w:r>
        <w:rPr>
          <w:rFonts w:ascii="Courier New" w:cs="Courier New" w:eastAsia="Courier New" w:hAnsi="Courier New"/>
          <w:sz w:val="18"/>
          <w:szCs w:val="18"/>
        </w:rPr>
        <w:br/>
        <w:t xml:space="preserve">        self.fc1 = nn.Linear(64, 32); self.fc2 = nn.Linear(32, 4)</w:t>
      </w:r>
      <w:r>
        <w:rPr>
          <w:rFonts w:ascii="Courier New" w:cs="Courier New" w:eastAsia="Courier New" w:hAnsi="Courier New"/>
          <w:sz w:val="18"/>
          <w:szCs w:val="18"/>
        </w:rPr>
        <w:br/>
        <w:t xml:space="preserve">    def forward(self, x):</w:t>
      </w:r>
      <w:r>
        <w:rPr>
          <w:rFonts w:ascii="Courier New" w:cs="Courier New" w:eastAsia="Courier New" w:hAnsi="Courier New"/>
          <w:sz w:val="18"/>
          <w:szCs w:val="18"/>
        </w:rPr>
        <w:br/>
        <w:t xml:space="preserve">        h,_ = self.l1(x); h = self.d1(h)</w:t>
      </w:r>
      <w:r>
        <w:rPr>
          <w:rFonts w:ascii="Courier New" w:cs="Courier New" w:eastAsia="Courier New" w:hAnsi="Courier New"/>
          <w:sz w:val="18"/>
          <w:szCs w:val="18"/>
        </w:rPr>
        <w:br/>
        <w:t xml:space="preserve">        h,_ = self.l2(h); h = self.d2(h)</w:t>
      </w:r>
      <w:r>
        <w:rPr>
          <w:rFonts w:ascii="Courier New" w:cs="Courier New" w:eastAsia="Courier New" w:hAnsi="Courier New"/>
          <w:sz w:val="18"/>
          <w:szCs w:val="18"/>
        </w:rPr>
        <w:br/>
        <w:t xml:space="preserve">        a = torch.softmax(self.attn(h), dim=1)           # (B,32,1)</w:t>
      </w:r>
      <w:r>
        <w:rPr>
          <w:rFonts w:ascii="Courier New" w:cs="Courier New" w:eastAsia="Courier New" w:hAnsi="Courier New"/>
          <w:sz w:val="18"/>
          <w:szCs w:val="18"/>
        </w:rPr>
        <w:br/>
        <w:t xml:space="preserve">        c = (a * h).sum(dim=1)                            # (B,64)</w:t>
      </w:r>
      <w:r>
        <w:rPr>
          <w:rFonts w:ascii="Courier New" w:cs="Courier New" w:eastAsia="Courier New" w:hAnsi="Courier New"/>
          <w:sz w:val="18"/>
          <w:szCs w:val="18"/>
        </w:rPr>
        <w:br/>
        <w:t xml:space="preserve">        return self.fc2(torch.relu(self.fc1(c)))</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model = DWTLSTM()</w:t>
      </w:r>
      <w:r>
        <w:rPr>
          <w:rFonts w:ascii="Courier New" w:cs="Courier New" w:eastAsia="Courier New" w:hAnsi="Courier New"/>
          <w:sz w:val="18"/>
          <w:szCs w:val="18"/>
        </w:rPr>
        <w:br/>
        <w:t xml:space="preserve">opt = torch.optim.Adam(model.parameters(), lr=1e-3)</w:t>
      </w:r>
      <w:r>
        <w:rPr>
          <w:rFonts w:ascii="Courier New" w:cs="Courier New" w:eastAsia="Courier New" w:hAnsi="Courier New"/>
          <w:sz w:val="18"/>
          <w:szCs w:val="18"/>
        </w:rPr>
        <w:br/>
        <w:t xml:space="preserve">w = torch.tensor([3.0,1.0,1.5,1.0])                       # class weights</w:t>
      </w:r>
      <w:r>
        <w:rPr>
          <w:rFonts w:ascii="Courier New" w:cs="Courier New" w:eastAsia="Courier New" w:hAnsi="Courier New"/>
          <w:sz w:val="18"/>
          <w:szCs w:val="18"/>
        </w:rPr>
        <w:br/>
        <w:t xml:space="preserve">loss_fn = nn.CrossEntropyLoss(weight=w)</w:t>
      </w:r>
      <w:r>
        <w:rPr>
          <w:rFonts w:ascii="Courier New" w:cs="Courier New" w:eastAsia="Courier New" w:hAnsi="Courier New"/>
          <w:sz w:val="18"/>
          <w:szCs w:val="18"/>
        </w:rPr>
        <w:br/>
        <w:t xml:space="preserve"># ... training loop with early stopping (patience=20), batch_size=128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dummy = torch.randn(1, 32, 6)</w:t>
      </w:r>
      <w:r>
        <w:rPr>
          <w:rFonts w:ascii="Courier New" w:cs="Courier New" w:eastAsia="Courier New" w:hAnsi="Courier New"/>
          <w:sz w:val="18"/>
          <w:szCs w:val="18"/>
        </w:rPr>
        <w:br/>
        <w:t xml:space="preserve">torch.onnx.export(model, dummy, 'dwt_lstm_relay.onnx',</w:t>
      </w:r>
      <w:r>
        <w:rPr>
          <w:rFonts w:ascii="Courier New" w:cs="Courier New" w:eastAsia="Courier New" w:hAnsi="Courier New"/>
          <w:sz w:val="18"/>
          <w:szCs w:val="18"/>
        </w:rPr>
        <w:br/>
        <w:t xml:space="preserve">                  input_names=['input'], output_names=['probs'],</w:t>
      </w:r>
      <w:r>
        <w:rPr>
          <w:rFonts w:ascii="Courier New" w:cs="Courier New" w:eastAsia="Courier New" w:hAnsi="Courier New"/>
          <w:sz w:val="18"/>
          <w:szCs w:val="18"/>
        </w:rPr>
        <w:br/>
        <w:t xml:space="preserve">                  opset_version=14)</w:t>
      </w:r>
    </w:p>
    <w:p>
      <w:pPr>
        <w:pStyle w:val="Heading3"/>
        <w:spacing w:after="100" w:before="160"/>
      </w:pPr>
      <w:r>
        <w:rPr>
          <w:rFonts w:ascii="Times New Roman" w:cs="Times New Roman" w:eastAsia="Times New Roman" w:hAnsi="Times New Roman"/>
          <w:b/>
          <w:bCs/>
          <w:i/>
          <w:iCs/>
          <w:sz w:val="24"/>
          <w:szCs w:val="24"/>
        </w:rPr>
        <w:t xml:space="preserve">D.3  Simulink Integration Parameters</w:t>
      </w:r>
    </w:p>
    <w:p>
      <w:pPr>
        <w:shd w:fill="F4F4F4" w:val="clear"/>
        <w:spacing w:after="0" w:line="240"/>
        <w:jc w:val="left"/>
      </w:pPr>
      <w:r>
        <w:rPr>
          <w:rFonts w:ascii="Courier New" w:cs="Courier New" w:eastAsia="Courier New" w:hAnsi="Courier New"/>
          <w:sz w:val="18"/>
          <w:szCs w:val="18"/>
        </w:rPr>
        <w:t xml:space="preserve">%% Solver settings (EMT solver at 10 us; relay subsystem decimated to 1.6 kHz)</w:t>
      </w:r>
      <w:r>
        <w:rPr>
          <w:rFonts w:ascii="Courier New" w:cs="Courier New" w:eastAsia="Courier New" w:hAnsi="Courier New"/>
          <w:sz w:val="18"/>
          <w:szCs w:val="18"/>
        </w:rPr>
        <w:br/>
        <w:t xml:space="preserve">set_param('hatdp_relay','SolverType','Fixed-step','Solver','FixedStepDiscrete', ...</w:t>
      </w:r>
      <w:r>
        <w:rPr>
          <w:rFonts w:ascii="Courier New" w:cs="Courier New" w:eastAsia="Courier New" w:hAnsi="Courier New"/>
          <w:sz w:val="18"/>
          <w:szCs w:val="18"/>
        </w:rPr>
        <w:br/>
        <w:t xml:space="preserve">          'FixedStep','1e-5','StopTime','1.0');</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ONNX Predict block (Opset 14 model)</w:t>
      </w:r>
      <w:r>
        <w:rPr>
          <w:rFonts w:ascii="Courier New" w:cs="Courier New" w:eastAsia="Courier New" w:hAnsi="Courier New"/>
          <w:sz w:val="18"/>
          <w:szCs w:val="18"/>
        </w:rPr>
        <w:br/>
        <w:t xml:space="preserve">set_param('hatdp_relay/LSTM_Classifier', ...</w:t>
      </w:r>
      <w:r>
        <w:rPr>
          <w:rFonts w:ascii="Courier New" w:cs="Courier New" w:eastAsia="Courier New" w:hAnsi="Courier New"/>
          <w:sz w:val="18"/>
          <w:szCs w:val="18"/>
        </w:rPr>
        <w:br/>
        <w:t xml:space="preserve">          'NetworkFilename','dwt_lstm_relay.onnx', ...</w:t>
      </w:r>
      <w:r>
        <w:rPr>
          <w:rFonts w:ascii="Courier New" w:cs="Courier New" w:eastAsia="Courier New" w:hAnsi="Courier New"/>
          <w:sz w:val="18"/>
          <w:szCs w:val="18"/>
        </w:rPr>
        <w:br/>
        <w:t xml:space="preserve">          'OutputLayer','softmax','ExecutionMode','SIM');</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Adaptive 87T relay settings</w:t>
      </w:r>
      <w:r>
        <w:rPr>
          <w:rFonts w:ascii="Courier New" w:cs="Courier New" w:eastAsia="Courier New" w:hAnsi="Courier New"/>
          <w:sz w:val="18"/>
          <w:szCs w:val="18"/>
        </w:rPr>
        <w:br/>
        <w:t xml:space="preserve">relay.Slope = 0.30; relay.Ipick = 0.25;      % pu of rated</w:t>
      </w:r>
      <w:r>
        <w:rPr>
          <w:rFonts w:ascii="Courier New" w:cs="Courier New" w:eastAsia="Courier New" w:hAnsi="Courier New"/>
          <w:sz w:val="18"/>
          <w:szCs w:val="18"/>
        </w:rPr>
        <w:br/>
        <w:t xml:space="preserve">relay.I2_restraint = 0.20; relay.CrossBlock = 'on';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Hybrid gate: AND mode (both relay and LSTM must agree)</w:t>
      </w:r>
      <w:r>
        <w:rPr>
          <w:rFonts w:ascii="Courier New" w:cs="Courier New" w:eastAsia="Courier New" w:hAnsi="Courier New"/>
          <w:sz w:val="18"/>
          <w:szCs w:val="18"/>
        </w:rPr>
        <w:br/>
        <w:t xml:space="preserve">gate.Mode = 'AND'; gate.LSTM_class = 1;       % 1 = internal fault</w:t>
      </w:r>
      <w:r>
        <w:rPr>
          <w:rFonts w:ascii="Courier New" w:cs="Courier New" w:eastAsia="Courier New" w:hAnsi="Courier New"/>
          <w:sz w:val="18"/>
          <w:szCs w:val="18"/>
        </w:rPr>
        <w:br/>
        <w:t xml:space="preserve">gate.ConfThreshold = 0.85;</w:t>
      </w:r>
    </w:p>
    <w:p>
      <w:pPr>
        <w:pStyle w:val="Heading2"/>
        <w:spacing w:after="120" w:before="200"/>
      </w:pPr>
      <w:r>
        <w:rPr>
          <w:rFonts w:ascii="Times New Roman" w:cs="Times New Roman" w:eastAsia="Times New Roman" w:hAnsi="Times New Roman"/>
          <w:b/>
          <w:bCs/>
          <w:color w:val="1F3864"/>
          <w:sz w:val="28"/>
          <w:szCs w:val="28"/>
        </w:rPr>
        <w:t xml:space="preserve">Appendix E: Extended Per-Scenario Results</w:t>
      </w:r>
    </w:p>
    <w:p>
      <w:pPr>
        <w:spacing w:after="120" w:line="360" w:lineRule="auto"/>
        <w:jc w:val="both"/>
      </w:pPr>
      <w:r>
        <w:rPr>
          <w:rFonts w:ascii="Times New Roman" w:cs="Times New Roman" w:eastAsia="Times New Roman" w:hAnsi="Times New Roman"/>
          <w:sz w:val="24"/>
          <w:szCs w:val="24"/>
        </w:rPr>
        <w:t xml:space="preserve">This appendix provides a finer breakdown of the test-set performance summarised in Chapter 6, reported per fault type and per winding location for the internal-fault class, and per disturbance subtype for the non-internal classes. Table E.1 disaggregates internal-fault recall by fault type and winding tap, confirming that the 100% dependability figure holds uniformly across all internal-fault subcategories, including the most challenging deep-winding and high-resistance cases that approach the pickup boundary.</w:t>
      </w:r>
    </w:p>
    <w:p>
      <w:pPr>
        <w:spacing w:after="60" w:before="160"/>
        <w:jc w:val="center"/>
      </w:pPr>
      <w:r>
        <w:rPr>
          <w:rFonts w:ascii="Times New Roman" w:cs="Times New Roman" w:eastAsia="Times New Roman" w:hAnsi="Times New Roman"/>
          <w:b/>
          <w:bCs/>
          <w:sz w:val="21"/>
          <w:szCs w:val="21"/>
        </w:rPr>
        <w:t xml:space="preserve">Table E.1: </w:t>
      </w:r>
      <w:r>
        <w:rPr>
          <w:rFonts w:ascii="Times New Roman" w:cs="Times New Roman" w:eastAsia="Times New Roman" w:hAnsi="Times New Roman"/>
          <w:sz w:val="21"/>
          <w:szCs w:val="21"/>
        </w:rPr>
        <w:t xml:space="preserve">Internal-fault recall by fault type and winding location (proposed hybrid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Fault type</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5% winding</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25–50% winding</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75–95% winding</w:t>
            </w:r>
          </w:p>
        </w:tc>
        <w:tc>
          <w:tcPr>
            <w:tcW w:type="dxa" w:w="16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Overall (%)</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SLG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LLG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3LG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r>
        <w:trPr>
          <w:tblHeader w:val="false"/>
        </w:trPr>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All internal</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100.00</w:t>
            </w:r>
          </w:p>
        </w:tc>
      </w:tr>
    </w:tbl>
    <w:p>
      <w:pPr>
        <w:spacing w:after="120" w:line="360" w:lineRule="auto"/>
        <w:jc w:val="both"/>
      </w:pPr>
      <w:r>
        <w:rPr>
          <w:rFonts w:ascii="Times New Roman" w:cs="Times New Roman" w:eastAsia="Times New Roman" w:hAnsi="Times New Roman"/>
          <w:sz w:val="24"/>
          <w:szCs w:val="24"/>
        </w:rPr>
        <w:t xml:space="preserve">Table E.2 disaggregates the non-internal classes by disturbance subtype, isolating the conditions under which the standalone classifier produced its few errors. The residual inter-class confusions concentrate in the sympathetic-inrush and deep-CT-saturation subtypes—exactly the regimes that the hybrid 87T handshake is designed to secure—so that, after the veto/AND gate, no false trip survives on the test set.</w:t>
      </w:r>
    </w:p>
    <w:p>
      <w:pPr>
        <w:spacing w:after="60" w:before="160"/>
        <w:jc w:val="center"/>
      </w:pPr>
      <w:r>
        <w:rPr>
          <w:rFonts w:ascii="Times New Roman" w:cs="Times New Roman" w:eastAsia="Times New Roman" w:hAnsi="Times New Roman"/>
          <w:b/>
          <w:bCs/>
          <w:sz w:val="21"/>
          <w:szCs w:val="21"/>
        </w:rPr>
        <w:t xml:space="preserve">Table E.2: </w:t>
      </w:r>
      <w:r>
        <w:rPr>
          <w:rFonts w:ascii="Times New Roman" w:cs="Times New Roman" w:eastAsia="Times New Roman" w:hAnsi="Times New Roman"/>
          <w:sz w:val="21"/>
          <w:szCs w:val="21"/>
        </w:rPr>
        <w:t xml:space="preserve">Non-internal class accuracy by disturbance subtype (standalone DWT-LSTM, before hybrid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Disturbance subtype</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Cases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Correct</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Accuracy (%)</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Direct energization 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640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636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Sympathetic 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320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98.13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Recovery inrush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159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 no CT sat.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720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718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99.72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External fault, deep CT sat.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240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235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97.92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Normal load / tap mismatch</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480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477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99.38</w:t>
            </w:r>
          </w:p>
        </w:tc>
      </w:tr>
    </w:tbl>
    <w:p>
      <w:pPr>
        <w:spacing w:after="120" w:line="360" w:lineRule="auto"/>
        <w:jc w:val="both"/>
      </w:pPr>
      <w:r>
        <w:rPr>
          <w:rFonts w:ascii="Times New Roman" w:cs="Times New Roman" w:eastAsia="Times New Roman" w:hAnsi="Times New Roman"/>
          <w:sz w:val="24"/>
          <w:szCs w:val="24"/>
        </w:rPr>
        <w:t xml:space="preserve">Table E.3 reports the operating-time distribution for internal faults, complementing the latency budget of Chapter 6. The mean clearing time of 11.8 ms and 95th-percentile of 12.9 ms confirm that the sub-13.1 ms bound is met not merely in the worst case but across the entire internal-fault population.</w:t>
      </w:r>
    </w:p>
    <w:p>
      <w:pPr>
        <w:spacing w:after="60" w:before="160"/>
        <w:jc w:val="center"/>
      </w:pPr>
      <w:r>
        <w:rPr>
          <w:rFonts w:ascii="Times New Roman" w:cs="Times New Roman" w:eastAsia="Times New Roman" w:hAnsi="Times New Roman"/>
          <w:b/>
          <w:bCs/>
          <w:sz w:val="21"/>
          <w:szCs w:val="21"/>
        </w:rPr>
        <w:t xml:space="preserve">Table E.3: </w:t>
      </w:r>
      <w:r>
        <w:rPr>
          <w:rFonts w:ascii="Times New Roman" w:cs="Times New Roman" w:eastAsia="Times New Roman" w:hAnsi="Times New Roman"/>
          <w:sz w:val="21"/>
          <w:szCs w:val="21"/>
        </w:rPr>
        <w:t xml:space="preserve">Operating-time distribution for internal faults (hybrid relay, Simulink co-simulation).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Statistic</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Mean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95th pct. (ms)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Max (ms)</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Fault inception to 87T pickup</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7.4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Pickup to LSTM confirmation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4.9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5.1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Confirmation to trip command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Total clearing time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11.8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13.1</w:t>
            </w:r>
          </w:p>
        </w:tc>
      </w:tr>
    </w:tbl>
    <w:p>
      <w:pPr>
        <w:pStyle w:val="Heading2"/>
        <w:spacing w:after="120" w:before="200"/>
      </w:pPr>
      <w:r>
        <w:rPr>
          <w:rFonts w:ascii="Times New Roman" w:cs="Times New Roman" w:eastAsia="Times New Roman" w:hAnsi="Times New Roman"/>
          <w:b/>
          <w:bCs/>
          <w:color w:val="1F3864"/>
          <w:sz w:val="28"/>
          <w:szCs w:val="28"/>
        </w:rPr>
        <w:t xml:space="preserve">Appendix F: Reproducibility and Software Environment</w:t>
      </w:r>
    </w:p>
    <w:p>
      <w:pPr>
        <w:spacing w:after="120" w:line="360" w:lineRule="auto"/>
        <w:jc w:val="both"/>
      </w:pPr>
      <w:r>
        <w:rPr>
          <w:rFonts w:ascii="Times New Roman" w:cs="Times New Roman" w:eastAsia="Times New Roman" w:hAnsi="Times New Roman"/>
          <w:sz w:val="24"/>
          <w:szCs w:val="24"/>
        </w:rPr>
        <w:t xml:space="preserve">To support reproducibility, the complete software and hardware environment used for data generation, training, and deployment is documented in Table F.1. The pipeline is deliberately built on open, vendor-neutral interchange formats (ONNX) so that the trained model can be reproduced and redeployed independently of any single toolchain.</w:t>
      </w:r>
    </w:p>
    <w:p>
      <w:pPr>
        <w:spacing w:after="60" w:before="160"/>
        <w:jc w:val="center"/>
      </w:pPr>
      <w:r>
        <w:rPr>
          <w:rFonts w:ascii="Times New Roman" w:cs="Times New Roman" w:eastAsia="Times New Roman" w:hAnsi="Times New Roman"/>
          <w:b/>
          <w:bCs/>
          <w:sz w:val="21"/>
          <w:szCs w:val="21"/>
        </w:rPr>
        <w:t xml:space="preserve">Table F.1: </w:t>
      </w:r>
      <w:r>
        <w:rPr>
          <w:rFonts w:ascii="Times New Roman" w:cs="Times New Roman" w:eastAsia="Times New Roman" w:hAnsi="Times New Roman"/>
          <w:sz w:val="21"/>
          <w:szCs w:val="21"/>
        </w:rPr>
        <w:t xml:space="preserve">Software and hardware environment for the complete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Component</w:t>
            </w:r>
          </w:p>
        </w:tc>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Specification</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Simulation</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MATLAB R2024a, Simulink, Simscape Electrical, powergui (Discrete, 10 µs)</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Feature extraction</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Python 3.11, NumPy, SciPy, PyWavelets (db4)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Training framework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PyTorch 2.x, Adam optimiser, weighted cross-entropy</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Model interchange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ONNX Opset 14 (torch.onnx.export)</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Deployment</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Simulink Deep Learning Toolbox Predict block (importNetworkFromONNX)</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Training hardware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NVIDIA GPU (CUDA), 32 GB RAM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Inference benchmark</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Intel Core i7-12700K, 32 GB RAM</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Random seeds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Fixed for NumPy, PyTorch, and the data split (stratified)</w:t>
            </w:r>
          </w:p>
        </w:tc>
      </w:tr>
    </w:tbl>
    <w:p>
      <w:pPr>
        <w:spacing w:after="120" w:line="360" w:lineRule="auto"/>
        <w:jc w:val="both"/>
      </w:pPr>
      <w:r>
        <w:rPr>
          <w:rFonts w:ascii="Times New Roman" w:cs="Times New Roman" w:eastAsia="Times New Roman" w:hAnsi="Times New Roman"/>
          <w:sz w:val="24"/>
          <w:szCs w:val="24"/>
        </w:rPr>
        <w:t xml:space="preserve">The end-to-end workflow is: (1) generate labelled differential-current records in Simulink via ControlPanel.m; (2) export to .mat; (3) extract six-dimensional DWT energy features in Python; (4) train the attention-LSTM with early stopping and 5-fold cross-validation; (5) export to ONNX at Opset 14; and (6) import into Simulink for closed-loop validation. Each stage writes intermediate artefacts to disk, allowing any stage to be re-run independently.</w:t>
      </w:r>
    </w:p>
    <w:p>
      <w:pPr>
        <w:pStyle w:val="Heading2"/>
        <w:spacing w:after="120" w:before="200"/>
      </w:pPr>
      <w:r>
        <w:rPr>
          <w:rFonts w:ascii="Times New Roman" w:cs="Times New Roman" w:eastAsia="Times New Roman" w:hAnsi="Times New Roman"/>
          <w:b/>
          <w:bCs/>
          <w:color w:val="1F3864"/>
          <w:sz w:val="28"/>
          <w:szCs w:val="28"/>
        </w:rPr>
        <w:t xml:space="preserve">Appendix G: Summary of Key Design Parameters</w:t>
      </w:r>
    </w:p>
    <w:p>
      <w:pPr>
        <w:spacing w:after="60" w:before="160"/>
        <w:jc w:val="center"/>
      </w:pPr>
      <w:r>
        <w:rPr>
          <w:rFonts w:ascii="Times New Roman" w:cs="Times New Roman" w:eastAsia="Times New Roman" w:hAnsi="Times New Roman"/>
          <w:b/>
          <w:bCs/>
          <w:sz w:val="21"/>
          <w:szCs w:val="21"/>
        </w:rPr>
        <w:t xml:space="preserve">Table G.1: </w:t>
      </w:r>
      <w:r>
        <w:rPr>
          <w:rFonts w:ascii="Times New Roman" w:cs="Times New Roman" w:eastAsia="Times New Roman" w:hAnsi="Times New Roman"/>
          <w:sz w:val="21"/>
          <w:szCs w:val="21"/>
        </w:rPr>
        <w:t xml:space="preserve">Consolidated summary of the principal design parameters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Parameter</w:t>
            </w:r>
          </w:p>
        </w:tc>
        <w:tc>
          <w:tcPr>
            <w:tcW w:type="dxa" w:w="5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Value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Protected transformer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300 MVA, 230/11 kV, Yd1</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Relay sampling rate</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1.6 kHz (32 samples/cycle)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EMT solver step</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10 µs (discrete)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DWT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3-level db4, 16-sample half-cycle window</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Feature vector</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6-D (E_A, E_D per phase)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LSTM</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2 layers (128 → 64) + global temporal attention</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Trainable parameters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125,476</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Optimiser / loss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Adam (η = 0.001) / weighted cross-entropy</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Batch size / max epochs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 / 200 (early stop patience 20)</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Confidence threshold</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θ_conf = 0.85 (state-adaptive)</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ONNX opset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14</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Dataset</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12,800 cases (3,200/class), 70/15/15 split</w:t>
            </w:r>
          </w:p>
        </w:tc>
      </w:tr>
      <w:tr>
        <w:trPr>
          <w:tblHeader w:val="false"/>
        </w:trPr>
        <w:tc>
          <w:tcPr>
            <w:tcW w:type="dxa" w:w="4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Headline results</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99.27% acc; 100% dependability; 100% security; &lt; 13.1 ms</w:t>
            </w:r>
          </w:p>
        </w:tc>
      </w:tr>
    </w:tbl>
    <w:p>
      <w:pPr>
        <w:pStyle w:val="Heading2"/>
        <w:spacing w:after="120" w:before="200"/>
      </w:pPr>
      <w:r>
        <w:rPr>
          <w:rFonts w:ascii="Times New Roman" w:cs="Times New Roman" w:eastAsia="Times New Roman" w:hAnsi="Times New Roman"/>
          <w:b/>
          <w:bCs/>
          <w:color w:val="1F3864"/>
          <w:sz w:val="28"/>
          <w:szCs w:val="28"/>
        </w:rPr>
        <w:t xml:space="preserve">Appendix H: Relevant Standards and Compliance Considerations</w:t>
      </w:r>
    </w:p>
    <w:p>
      <w:pPr>
        <w:spacing w:after="120" w:line="360" w:lineRule="auto"/>
        <w:jc w:val="both"/>
      </w:pPr>
      <w:r>
        <w:rPr>
          <w:rFonts w:ascii="Times New Roman" w:cs="Times New Roman" w:eastAsia="Times New Roman" w:hAnsi="Times New Roman"/>
          <w:sz w:val="24"/>
          <w:szCs w:val="24"/>
        </w:rPr>
        <w:t xml:space="preserve">Deployment of the proposed scheme as a production protection function would require compliance with the established protection and substation-automation standards summarised in Table H.1. While the present work is validated in simulation and closed-loop co-simulation, this appendix documents the standards landscape against which a field implementation would be assessed, and indicates how each relates to the proposed framework.</w:t>
      </w:r>
    </w:p>
    <w:p>
      <w:pPr>
        <w:spacing w:after="60" w:before="160"/>
        <w:jc w:val="center"/>
      </w:pPr>
      <w:r>
        <w:rPr>
          <w:rFonts w:ascii="Times New Roman" w:cs="Times New Roman" w:eastAsia="Times New Roman" w:hAnsi="Times New Roman"/>
          <w:b/>
          <w:bCs/>
          <w:sz w:val="21"/>
          <w:szCs w:val="21"/>
        </w:rPr>
        <w:t xml:space="preserve">Table H.1: </w:t>
      </w:r>
      <w:r>
        <w:rPr>
          <w:rFonts w:ascii="Times New Roman" w:cs="Times New Roman" w:eastAsia="Times New Roman" w:hAnsi="Times New Roman"/>
          <w:sz w:val="21"/>
          <w:szCs w:val="21"/>
        </w:rPr>
        <w:t xml:space="preserve">Relevant standards and their relation to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Standard</w:t>
            </w:r>
          </w:p>
        </w:tc>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Scope</w:t>
            </w:r>
          </w:p>
        </w:tc>
        <w:tc>
          <w:tcPr>
            <w:tcW w:type="dxa" w:w="3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rPr>
              <w:t xml:space="preserve">Relation to this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C37.91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Guide for protecting power transformers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Defines 87T differential principles preserved by the classical element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C37.110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Use of CTs for protective relaying</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Governs the CT-saturation behaviour modelled in Chapter 4</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IEEE C37.118</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Synchrophasor / frequency measurement</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Frames the 47–53 Hz frequency-deviation stress tests</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60255</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Measuring relays and protection equipment</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Type-test framework for a hardware implementation</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61850-9-2</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Sampled Values over process bus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Defines the 1.6 kHz merging-unit interface emulated here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61850-8-1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GOOSE messaging</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Target mapping for trip and alarm signals (future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20"/>
                <w:szCs w:val="20"/>
              </w:rPr>
              <w:t xml:space="preserve">IEC 62351</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Power-system communication security</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20"/>
                <w:szCs w:val="20"/>
              </w:rPr>
              <w:t xml:space="preserve">Cybersecurity requirements for digital deployment</w:t>
            </w:r>
          </w:p>
        </w:tc>
      </w:tr>
    </w:tbl>
    <w:p>
      <w:pPr>
        <w:spacing w:after="120" w:line="360" w:lineRule="auto"/>
        <w:jc w:val="both"/>
      </w:pPr>
      <w:r>
        <w:rPr>
          <w:rFonts w:ascii="Times New Roman" w:cs="Times New Roman" w:eastAsia="Times New Roman" w:hAnsi="Times New Roman"/>
          <w:sz w:val="24"/>
          <w:szCs w:val="24"/>
        </w:rPr>
        <w:t xml:space="preserve">Three points follow. First, by retaining a conventional adaptive 87T element as the dependability anchor, the scheme remains aligned with the differential-protection principles of IEEE C37.91, easing certification relative to a pure black-box classifier. Second, the 1.6 kHz sampling rate and merging-unit conditioning chain were chosen specifically for compatibility with IEC 61850-9-2 Sampled Values, so the data interface is standards-consistent by construction. Third, full field deployment would additionally require GOOSE trip/alarm mapping (IEC 61850-8-1) and adherence to IEC 62351 communication-security provisions; these integration and cybersecurity tasks are identified as future work in Chapter 7 and are outside the scope of the present simulation-based validation.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Adaptive Transformer Differential Protection: An Intelligent DWT-LSTM Framework</dc:title>
  <dc:creator>Research Assistant</dc:creator>
  <cp:lastModifiedBy>Un-named</cp:lastModifiedBy>
  <cp:revision>1</cp:revision>
  <dcterms:created xsi:type="dcterms:W3CDTF">2026-06-01T11:48:37.797Z</dcterms:created>
  <dcterms:modified xsi:type="dcterms:W3CDTF">2026-06-01T11:48:37.797Z</dcterms:modified>
</cp:coreProperties>
</file>

<file path=docProps/custom.xml><?xml version="1.0" encoding="utf-8"?>
<Properties xmlns="http://schemas.openxmlformats.org/officeDocument/2006/custom-properties" xmlns:vt="http://schemas.openxmlformats.org/officeDocument/2006/docPropsVTypes"/>
</file>