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159.png" ContentType="image/png"/>
  <Override PartName="/word/media/rId77.png" ContentType="image/png"/>
  <Override PartName="/word/media/rId79.png" ContentType="image/png"/>
  <Override PartName="/word/media/rId51.png" ContentType="image/png"/>
  <Override PartName="/word/media/rId56.png" ContentType="image/png"/>
  <Override PartName="/word/media/rId61.png" ContentType="image/png"/>
  <Override PartName="/word/media/rId66.png" ContentType="image/png"/>
  <Override PartName="/word/media/rId75.png" ContentType="image/png"/>
  <Override PartName="/word/media/rId89.png" ContentType="image/png"/>
  <Override PartName="/word/media/rId93.png" ContentType="image/png"/>
  <Override PartName="/word/media/rId98.png" ContentType="image/png"/>
  <Override PartName="/word/media/rId101.png" ContentType="image/png"/>
  <Override PartName="/word/media/rId104.png" ContentType="image/png"/>
  <Override PartName="/word/media/rId107.png" ContentType="image/png"/>
  <Override PartName="/word/media/rId111.png" ContentType="image/png"/>
  <Override PartName="/word/media/rId114.png" ContentType="image/png"/>
  <Override PartName="/word/media/rId120.png" ContentType="image/png"/>
  <Override PartName="/word/media/rId127.png" ContentType="image/png"/>
  <Override PartName="/word/media/rId180.png" ContentType="image/png"/>
  <Override PartName="/word/media/rId182.png" ContentType="image/png"/>
  <Override PartName="/word/media/rId130.png" ContentType="image/png"/>
  <Override PartName="/word/media/rId132.png" ContentType="image/png"/>
  <Override PartName="/word/media/rId136.png" ContentType="image/png"/>
  <Override PartName="/word/media/rId140.png" ContentType="image/png"/>
  <Override PartName="/word/media/rId144.png" ContentType="image/png"/>
  <Override PartName="/word/media/rId163.png" ContentType="image/png"/>
  <Override PartName="/word/media/rId152.png" ContentType="image/png"/>
  <Override PartName="/word/media/rId177.png" ContentType="image/png"/>
  <Override PartName="/word/media/rId165.png" ContentType="image/png"/>
  <Override PartName="/word/media/rId117.png" ContentType="image/png"/>
  <Override PartName="/word/media/rId157.png" ContentType="image/png"/>
  <Override PartName="/word/media/rId20.png" ContentType="image/png"/>
  <Override PartName="/word/media/rId2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rPr>
        <w:t xml:space="preserve">HYBRID ADAPTIVE TRANSFORMER</w:t>
      </w:r>
      <w:r>
        <w:br/>
      </w:r>
      <w:r>
        <w:rPr>
          <w:b/>
        </w:rPr>
        <w:t xml:space="preserve">DIFFERENTIAL PROTECTION:</w:t>
      </w:r>
      <w:r>
        <w:br/>
      </w:r>
      <w:r>
        <w:rPr>
          <w:b/>
        </w:rPr>
        <w:t xml:space="preserve">AN INTELLIGENT DWT–LSTM FRAMEWORK</w:t>
      </w:r>
    </w:p>
    <w:p>
      <w:pPr>
        <w:pStyle w:val="BodyText"/>
      </w:pPr>
      <w:r>
        <w:rPr>
          <w:b/>
        </w:rPr>
        <w:t xml:space="preserve">Md Moinul Haque(SN: 202216206)</w:t>
      </w:r>
    </w:p>
    <w:p>
      <w:pPr>
        <w:pStyle w:val="BodyText"/>
      </w:pPr>
      <w:r>
        <w:rPr>
          <w:b/>
        </w:rPr>
        <w:t xml:space="preserve">Md Reyaz Uddin(SN: 202216211)</w:t>
      </w:r>
    </w:p>
    <w:p>
      <w:pPr>
        <w:pStyle w:val="BodyText"/>
      </w:pPr>
      <w:r>
        <w:rPr>
          <w:b/>
        </w:rPr>
        <w:t xml:space="preserve">B.Sc. ENGINEERING THESIS</w:t>
      </w:r>
    </w:p>
    <w:p>
      <w:pPr>
        <w:pStyle w:val="BodyText"/>
      </w:pPr>
      <w:r>
        <w:drawing>
          <wp:inline>
            <wp:extent cx="1005840" cy="935431"/>
            <wp:effectExtent b="0" l="0" r="0" t="0"/>
            <wp:docPr descr="image" title="" id="1" name="Picture"/>
            <a:graphic>
              <a:graphicData uri="http://schemas.openxmlformats.org/drawingml/2006/picture">
                <pic:pic>
                  <pic:nvPicPr>
                    <pic:cNvPr descr="logoMIST.png" id="0" name="Picture"/>
                    <pic:cNvPicPr>
                      <a:picLocks noChangeArrowheads="1" noChangeAspect="1"/>
                    </pic:cNvPicPr>
                  </pic:nvPicPr>
                  <pic:blipFill>
                    <a:blip r:embed="rId20"/>
                    <a:stretch>
                      <a:fillRect/>
                    </a:stretch>
                  </pic:blipFill>
                  <pic:spPr bwMode="auto">
                    <a:xfrm>
                      <a:off x="0" y="0"/>
                      <a:ext cx="1005840" cy="935431"/>
                    </a:xfrm>
                    <a:prstGeom prst="rect">
                      <a:avLst/>
                    </a:prstGeom>
                    <a:noFill/>
                    <a:ln w="9525">
                      <a:noFill/>
                      <a:headEnd/>
                      <a:tailEnd/>
                    </a:ln>
                  </pic:spPr>
                </pic:pic>
              </a:graphicData>
            </a:graphic>
          </wp:inline>
        </w:drawing>
      </w:r>
    </w:p>
    <w:p>
      <w:pPr>
        <w:pStyle w:val="BodyText"/>
      </w:pPr>
      <w:r>
        <w:rPr>
          <w:b/>
        </w:rPr>
        <w:t xml:space="preserve">DEPARTMENT OF ELECTRICAL, ELECTRONIC AND</w:t>
      </w:r>
      <w:r>
        <w:br/>
      </w:r>
      <w:r>
        <w:rPr>
          <w:b/>
        </w:rPr>
        <w:t xml:space="preserve">COMMUNICATION ENGINEERING</w:t>
      </w:r>
    </w:p>
    <w:p>
      <w:pPr>
        <w:pStyle w:val="BodyText"/>
      </w:pPr>
      <w:r>
        <w:rPr>
          <w:b/>
        </w:rPr>
        <w:t xml:space="preserve">MILITARY INSTITUTE OF SCIENCE AND TECHNOLOGY</w:t>
      </w:r>
    </w:p>
    <w:p>
      <w:pPr>
        <w:pStyle w:val="BodyText"/>
      </w:pPr>
      <w:r>
        <w:rPr>
          <w:b/>
        </w:rPr>
        <w:t xml:space="preserve">DHAKA, BANGLADESH</w:t>
      </w:r>
    </w:p>
    <w:p>
      <w:pPr>
        <w:pStyle w:val="BodyText"/>
      </w:pPr>
      <w:r>
        <w:rPr>
          <w:b/>
        </w:rPr>
        <w:t xml:space="preserve">JUNE 2026</w:t>
      </w:r>
    </w:p>
    <w:p>
      <w:pPr>
        <w:pStyle w:val="BodyText"/>
      </w:pPr>
      <w:r>
        <w:rPr>
          <w:b/>
        </w:rPr>
        <w:t xml:space="preserve">HYBRID ADAPTIVE TRANSFORMER DIFFERENTIAL PROTECTION:</w:t>
      </w:r>
      <w:r>
        <w:br/>
      </w:r>
      <w:r>
        <w:rPr>
          <w:b/>
        </w:rPr>
        <w:t xml:space="preserve">AN INTELLIGENT DWT–LSTM FRAMEWORK</w:t>
      </w:r>
    </w:p>
    <w:p>
      <w:pPr>
        <w:pStyle w:val="BodyText"/>
      </w:pPr>
      <w:r>
        <w:rPr>
          <w:b/>
        </w:rPr>
        <w:t xml:space="preserve">Md Moinul Haque (SN: 202216206)</w:t>
      </w:r>
      <w:r>
        <w:br/>
      </w:r>
      <w:r>
        <w:rPr>
          <w:b/>
        </w:rPr>
        <w:t xml:space="preserve">Md Reyaz Uddin (SN: 202216211)</w:t>
      </w:r>
    </w:p>
    <w:p>
      <w:pPr>
        <w:pStyle w:val="BodyText"/>
      </w:pPr>
      <w:r>
        <w:rPr>
          <w:i/>
        </w:rPr>
        <w:t xml:space="preserve">A Thesis Submitted in Partial Fulfillment of the Requirements for the</w:t>
      </w:r>
      <w:r>
        <w:br/>
      </w:r>
      <w:r>
        <w:rPr>
          <w:i/>
        </w:rPr>
        <w:t xml:space="preserve">Degree of Bachelor of Science in Electrical, Electronic and</w:t>
      </w:r>
      <w:r>
        <w:br/>
      </w:r>
      <w:r>
        <w:rPr>
          <w:i/>
        </w:rPr>
        <w:t xml:space="preserve">Communication Engineering</w:t>
      </w:r>
    </w:p>
    <w:p>
      <w:pPr>
        <w:pStyle w:val="BodyText"/>
      </w:pPr>
      <w:r>
        <w:drawing>
          <wp:inline>
            <wp:extent cx="1005840" cy="935431"/>
            <wp:effectExtent b="0" l="0" r="0" t="0"/>
            <wp:docPr descr="image" title="" id="1" name="Picture"/>
            <a:graphic>
              <a:graphicData uri="http://schemas.openxmlformats.org/drawingml/2006/picture">
                <pic:pic>
                  <pic:nvPicPr>
                    <pic:cNvPr descr="logoMIST.png" id="0" name="Picture"/>
                    <pic:cNvPicPr>
                      <a:picLocks noChangeArrowheads="1" noChangeAspect="1"/>
                    </pic:cNvPicPr>
                  </pic:nvPicPr>
                  <pic:blipFill>
                    <a:blip r:embed="rId20"/>
                    <a:stretch>
                      <a:fillRect/>
                    </a:stretch>
                  </pic:blipFill>
                  <pic:spPr bwMode="auto">
                    <a:xfrm>
                      <a:off x="0" y="0"/>
                      <a:ext cx="1005840" cy="935431"/>
                    </a:xfrm>
                    <a:prstGeom prst="rect">
                      <a:avLst/>
                    </a:prstGeom>
                    <a:noFill/>
                    <a:ln w="9525">
                      <a:noFill/>
                      <a:headEnd/>
                      <a:tailEnd/>
                    </a:ln>
                  </pic:spPr>
                </pic:pic>
              </a:graphicData>
            </a:graphic>
          </wp:inline>
        </w:drawing>
      </w:r>
    </w:p>
    <w:p>
      <w:pPr>
        <w:pStyle w:val="BodyText"/>
      </w:pPr>
      <w:r>
        <w:rPr>
          <w:b/>
        </w:rPr>
        <w:t xml:space="preserve">DEPARTMENT OF ELECTRICAL, ELECTRONIC AND</w:t>
      </w:r>
      <w:r>
        <w:br/>
      </w:r>
      <w:r>
        <w:rPr>
          <w:b/>
        </w:rPr>
        <w:t xml:space="preserve">COMMUNICATION ENGINEERING</w:t>
      </w:r>
      <w:r>
        <w:br/>
      </w:r>
      <w:r>
        <w:rPr>
          <w:b/>
        </w:rPr>
        <w:t xml:space="preserve">MILITARY INSTITUTE OF SCIENCE AND TECHNOLOGY</w:t>
      </w:r>
      <w:r>
        <w:br/>
      </w:r>
      <w:r>
        <w:rPr>
          <w:b/>
        </w:rPr>
        <w:t xml:space="preserve">DHAKA, BANGLADESH</w:t>
      </w:r>
    </w:p>
    <w:p>
      <w:pPr>
        <w:pStyle w:val="BodyText"/>
      </w:pPr>
      <w:r>
        <w:rPr>
          <w:b/>
        </w:rPr>
        <w:t xml:space="preserve">JUNE 2026</w:t>
      </w:r>
    </w:p>
    <w:p>
      <w:pPr>
        <w:pStyle w:val="BodyText"/>
      </w:pPr>
      <w:r>
        <w:rPr>
          <w:b/>
        </w:rPr>
        <w:t xml:space="preserve">HYBRID ADAPTIVE TRANSFORMER DIFFERENTIAL PROTECTION:</w:t>
      </w:r>
      <w:r>
        <w:br/>
      </w:r>
      <w:r>
        <w:rPr>
          <w:b/>
        </w:rPr>
        <w:t xml:space="preserve">AN INTELLIGENT DWT–LSTM FRAMEWORK</w:t>
      </w:r>
    </w:p>
    <w:p>
      <w:pPr>
        <w:pStyle w:val="BodyText"/>
      </w:pPr>
      <w:r>
        <w:t xml:space="preserve">B.Sc. Engineering Thesis</w:t>
      </w:r>
    </w:p>
    <w:p>
      <w:pPr>
        <w:pStyle w:val="BodyText"/>
      </w:pPr>
      <w:r>
        <w:t xml:space="preserve">By</w:t>
      </w:r>
    </w:p>
    <w:p>
      <w:pPr>
        <w:pStyle w:val="BodyText"/>
      </w:pPr>
      <w:r>
        <w:t xml:space="preserve">Md Moinul Haque (SN: 202216206)</w:t>
      </w:r>
      <w:r>
        <w:br/>
      </w:r>
      <w:r>
        <w:t xml:space="preserve">Md Reyaz Uddin (SN: 202216211)</w:t>
      </w:r>
    </w:p>
    <w:p>
      <w:pPr>
        <w:pStyle w:val="BodyText"/>
      </w:pPr>
      <w:r>
        <w:t xml:space="preserve">Approved as to style and content by the Board of Examination on</w:t>
      </w:r>
    </w:p>
    <w:p>
      <w:r>
        <w:pict>
          <v:rect style="width:0;height:1.5pt" o:hralign="center" o:hrstd="t" o:hr="t"/>
        </w:pict>
      </w:r>
    </w:p>
    <w:p>
      <w:pPr>
        <w:pStyle w:val="FirstParagraph"/>
      </w:pPr>
      <w:r>
        <w:t xml:space="preserve">June 2026 :</w:t>
      </w:r>
    </w:p>
    <w:p>
      <w:r>
        <w:pict>
          <v:rect style="width:0;height:1.5pt" o:hralign="center" o:hrstd="t" o:hr="t"/>
        </w:pict>
      </w:r>
    </w:p>
    <w:p>
      <w:pPr>
        <w:pStyle w:val="FirstParagraph"/>
      </w:pPr>
      <w:r>
        <w:t xml:space="preserve">Cdre A N M Didarul Alam, (L), NUP, psc, BN</w:t>
      </w:r>
      <w:r>
        <w:br/>
      </w:r>
    </w:p>
    <w:p>
      <w:pPr>
        <w:pStyle w:val="BodyText"/>
      </w:pPr>
      <w:r>
        <w:t xml:space="preserve">Dean, Faculty of Maritime Business Studies, Bangladesh Maritime University</w:t>
      </w:r>
      <w:r>
        <w:br/>
      </w:r>
    </w:p>
    <w:p>
      <w:pPr>
        <w:pStyle w:val="BodyText"/>
      </w:pPr>
      <w:r>
        <w:t xml:space="preserve">Chairman</w:t>
      </w:r>
      <w:r>
        <w:br/>
      </w:r>
    </w:p>
    <w:p>
      <w:pPr>
        <w:pStyle w:val="BodyText"/>
      </w:pPr>
      <w:r>
        <w:t xml:space="preserve">(Supervisor)</w:t>
      </w:r>
      <w:r>
        <w:br/>
      </w:r>
    </w:p>
    <w:p>
      <w:pPr>
        <w:pStyle w:val="BodyText"/>
      </w:pPr>
      <w:r>
        <w:t xml:space="preserve">Board of Examination</w:t>
      </w:r>
    </w:p>
    <w:p>
      <w:r>
        <w:pict>
          <v:rect style="width:0;height:1.5pt" o:hralign="center" o:hrstd="t" o:hr="t"/>
        </w:pict>
      </w:r>
    </w:p>
    <w:p>
      <w:pPr>
        <w:pStyle w:val="FirstParagraph"/>
      </w:pPr>
      <w:r>
        <w:br/>
      </w:r>
    </w:p>
    <w:p>
      <w:pPr>
        <w:pStyle w:val="BodyText"/>
      </w:pPr>
      <w:r>
        <w:br/>
      </w:r>
    </w:p>
    <w:p>
      <w:pPr>
        <w:pStyle w:val="BodyText"/>
      </w:pPr>
      <w:r>
        <w:t xml:space="preserve">Department of EECE, MIST, Dhaka, Bangladesh</w:t>
      </w:r>
    </w:p>
    <w:p>
      <w:pPr>
        <w:pStyle w:val="BodyText"/>
      </w:pPr>
      <w:r>
        <w:t xml:space="preserve">Member</w:t>
      </w:r>
      <w:r>
        <w:br/>
      </w:r>
    </w:p>
    <w:p>
      <w:pPr>
        <w:pStyle w:val="BodyText"/>
      </w:pPr>
      <w:r>
        <w:t xml:space="preserve">(Internal)</w:t>
      </w:r>
      <w:r>
        <w:br/>
      </w:r>
    </w:p>
    <w:p>
      <w:pPr>
        <w:pStyle w:val="BodyText"/>
      </w:pPr>
      <w:r>
        <w:t xml:space="preserve">Board of Examination</w:t>
      </w:r>
    </w:p>
    <w:p>
      <w:r>
        <w:pict>
          <v:rect style="width:0;height:1.5pt" o:hralign="center" o:hrstd="t" o:hr="t"/>
        </w:pict>
      </w:r>
    </w:p>
    <w:p>
      <w:pPr>
        <w:pStyle w:val="FirstParagraph"/>
      </w:pPr>
      <w:r>
        <w:br/>
      </w:r>
    </w:p>
    <w:p>
      <w:pPr>
        <w:pStyle w:val="BodyText"/>
      </w:pPr>
      <w:r>
        <w:br/>
      </w:r>
    </w:p>
    <w:p>
      <w:pPr>
        <w:pStyle w:val="BodyText"/>
      </w:pPr>
      <w:r>
        <w:t xml:space="preserve">Department of EECE, MIST, Dhaka, Bangladesh</w:t>
      </w:r>
    </w:p>
    <w:p>
      <w:pPr>
        <w:pStyle w:val="BodyText"/>
      </w:pPr>
      <w:r>
        <w:t xml:space="preserve">Member</w:t>
      </w:r>
      <w:r>
        <w:br/>
      </w:r>
    </w:p>
    <w:p>
      <w:pPr>
        <w:pStyle w:val="BodyText"/>
      </w:pPr>
      <w:r>
        <w:t xml:space="preserve">(Ex-officio)</w:t>
      </w:r>
      <w:r>
        <w:br/>
      </w:r>
    </w:p>
    <w:p>
      <w:pPr>
        <w:pStyle w:val="BodyText"/>
      </w:pPr>
      <w:r>
        <w:t xml:space="preserve">Board of Examination</w:t>
      </w:r>
    </w:p>
    <w:p>
      <w:r>
        <w:pict>
          <v:rect style="width:0;height:1.5pt" o:hralign="center" o:hrstd="t" o:hr="t"/>
        </w:pict>
      </w:r>
    </w:p>
    <w:p>
      <w:pPr>
        <w:pStyle w:val="FirstParagraph"/>
      </w:pPr>
      <w:r>
        <w:br/>
      </w:r>
    </w:p>
    <w:p>
      <w:pPr>
        <w:pStyle w:val="BodyText"/>
      </w:pPr>
      <w:r>
        <w:br/>
      </w:r>
    </w:p>
    <w:p>
      <w:pPr>
        <w:pStyle w:val="BodyText"/>
      </w:pPr>
      <w:r>
        <w:t xml:space="preserve">Department of EEE, BUET, Dhaka, Bangladesh</w:t>
      </w:r>
    </w:p>
    <w:p>
      <w:pPr>
        <w:pStyle w:val="BodyText"/>
      </w:pPr>
      <w:r>
        <w:t xml:space="preserve">Member</w:t>
      </w:r>
      <w:r>
        <w:br/>
      </w:r>
    </w:p>
    <w:p>
      <w:pPr>
        <w:pStyle w:val="BodyText"/>
      </w:pPr>
      <w:r>
        <w:t xml:space="preserve">(External)</w:t>
      </w:r>
      <w:r>
        <w:br/>
      </w:r>
    </w:p>
    <w:p>
      <w:pPr>
        <w:pStyle w:val="BodyText"/>
      </w:pPr>
      <w:r>
        <w:t xml:space="preserve">Board of Examination</w:t>
      </w:r>
    </w:p>
    <w:p>
      <w:pPr>
        <w:pStyle w:val="BodyText"/>
      </w:pPr>
      <w:r>
        <w:t xml:space="preserve">Department of Electrical, Electronic and Communication Engineering</w:t>
      </w:r>
      <w:r>
        <w:br/>
      </w:r>
      <w:r>
        <w:t xml:space="preserve">MIST, Dhaka</w:t>
      </w:r>
    </w:p>
    <w:p>
      <w:pPr>
        <w:pStyle w:val="BodyText"/>
      </w:pPr>
      <w:r>
        <w:rPr>
          <w:b/>
        </w:rPr>
        <w:t xml:space="preserve">HYBRID ADAPTIVE TRANSFORMER DIFFERENTIAL PROTECTION:</w:t>
      </w:r>
      <w:r>
        <w:br/>
      </w:r>
      <w:r>
        <w:rPr>
          <w:b/>
        </w:rPr>
        <w:t xml:space="preserve">AN INTELLIGENT DWT–LSTM FRAMEWORK</w:t>
      </w:r>
    </w:p>
    <w:p>
      <w:pPr>
        <w:pStyle w:val="BodyText"/>
      </w:pPr>
      <w:r>
        <w:rPr>
          <w:b/>
        </w:rPr>
        <w:t xml:space="preserve">DECLARATION</w:t>
      </w:r>
    </w:p>
    <w:p>
      <w:pPr>
        <w:pStyle w:val="BodyText"/>
      </w:pPr>
      <w:r>
        <w:t xml:space="preserve">We hereby declare that the study reported in this thesis entitled as above is our own original work and has not been submitted before anywhere for any degree or other purposes. Further, we certify that the intellectual content of this thesis is the product of our own work and that all the assistance received in preparing this thesis and sources have been acknowledged and cited in the reference section.</w:t>
      </w:r>
    </w:p>
    <w:p>
      <w:r>
        <w:pict>
          <v:rect style="width:0;height:1.5pt" o:hralign="center" o:hrstd="t" o:hr="t"/>
        </w:pict>
      </w:r>
    </w:p>
    <w:p>
      <w:r>
        <w:pict>
          <v:rect style="width:0;height:1.5pt" o:hralign="center" o:hrstd="t" o:hr="t"/>
        </w:pict>
      </w:r>
    </w:p>
    <w:p>
      <w:pPr>
        <w:pStyle w:val="FirstParagraph"/>
      </w:pPr>
      <w:r>
        <w:br/>
      </w:r>
      <w:r>
        <w:t xml:space="preserve">Md Moinul Haque (SN: 202216206)Md Reyaz Uddin (SN: 202216211)</w:t>
      </w:r>
    </w:p>
    <w:p>
      <w:pPr>
        <w:pStyle w:val="BodyText"/>
      </w:pPr>
      <w:r>
        <w:t xml:space="preserve">Department of Electrical, Electronic and Communication Engineering</w:t>
      </w:r>
      <w:r>
        <w:br/>
      </w:r>
      <w:r>
        <w:t xml:space="preserve">MIST, Dhaka</w:t>
      </w:r>
    </w:p>
    <w:p>
      <w:pPr>
        <w:pStyle w:val="BodyText"/>
      </w:pPr>
      <w:r>
        <w:rPr>
          <w:b/>
        </w:rPr>
        <w:t xml:space="preserve">HYBRID ADAPTIVE TRANSFORMER DIFFERENTIAL PROTECTION:</w:t>
      </w:r>
      <w:r>
        <w:br/>
      </w:r>
      <w:r>
        <w:rPr>
          <w:b/>
        </w:rPr>
        <w:t xml:space="preserve">AN INTELLIGENT DWT–LSTM FRAMEWORK</w:t>
      </w:r>
    </w:p>
    <w:p>
      <w:pPr>
        <w:pStyle w:val="BodyText"/>
      </w:pPr>
      <w:r>
        <w:rPr>
          <w:b/>
        </w:rPr>
        <w:t xml:space="preserve">DEDICATION</w:t>
      </w:r>
    </w:p>
    <w:p>
      <w:pPr>
        <w:pStyle w:val="BodyText"/>
      </w:pPr>
      <w:r>
        <w:t xml:space="preserve">A Thesis</w:t>
      </w:r>
      <w:r>
        <w:br/>
      </w:r>
      <w:r>
        <w:t xml:space="preserve">By</w:t>
      </w:r>
      <w:r>
        <w:br/>
      </w:r>
      <w:r>
        <w:t xml:space="preserve">Md Moinul Haque and Md Reyaz Uddin</w:t>
      </w:r>
    </w:p>
    <w:p>
      <w:pPr>
        <w:pStyle w:val="BodyText"/>
      </w:pPr>
      <w:r>
        <w:rPr>
          <w:i/>
        </w:rPr>
        <w:t xml:space="preserve">Dedicated to our parents for supporting and encouraging us to believe in ourselves.</w:t>
      </w:r>
    </w:p>
    <w:p>
      <w:pPr>
        <w:pStyle w:val="BodyText"/>
      </w:pPr>
      <w:r>
        <w:rPr>
          <w:b/>
        </w:rPr>
        <w:t xml:space="preserve">ACKNOWLEDGEMENTS</w:t>
      </w:r>
    </w:p>
    <w:p>
      <w:pPr>
        <w:pStyle w:val="BodyText"/>
      </w:pPr>
      <w:r>
        <w:t xml:space="preserve">Foremost, we would like to express our sincere gratitude to our supervisor, Cdre A N M Didarul Alam, (L), NUP, psc, BN, for his continuous support, patience, motivation, and immense knowledge. His guidance helped us throughout the research and writing of this thesis.</w:t>
      </w:r>
    </w:p>
    <w:p>
      <w:pPr>
        <w:pStyle w:val="BodyText"/>
      </w:pPr>
      <w:r>
        <w:t xml:space="preserve">We would also like to thank the faculty members and staff of the Department of Electrical, Electronic and Communication Engineering, MIST, for providing the academic facilities and the research environment that made this work possible.</w:t>
      </w:r>
    </w:p>
    <w:p>
      <w:pPr>
        <w:pStyle w:val="BodyText"/>
      </w:pPr>
      <w:r>
        <w:t xml:space="preserve">Finally, we must express our profound gratitude to our parents and families for their unfailing support and continuous encouragement throughout our years of study. This accomplishment would not have been possible without them.</w:t>
      </w:r>
    </w:p>
    <w:p>
      <w:pPr>
        <w:pStyle w:val="BodyText"/>
      </w:pPr>
      <w:r>
        <w:rPr>
          <w:b/>
        </w:rPr>
        <w:t xml:space="preserve">ABSTRACT</w:t>
      </w:r>
    </w:p>
    <w:p>
      <w:pPr>
        <w:pStyle w:val="BodyText"/>
      </w:pPr>
      <w:r>
        <w:rPr>
          <w:b/>
        </w:rPr>
        <w:t xml:space="preserve">Hybrid Adaptive Transformer Differential Protection:</w:t>
      </w:r>
      <w:r>
        <w:br/>
      </w:r>
      <w:r>
        <w:rPr>
          <w:b/>
        </w:rPr>
        <w:t xml:space="preserve">An Intelligent DWT–LSTM Framework</w:t>
      </w:r>
    </w:p>
    <w:p>
      <w:pPr>
        <w:pStyle w:val="BodyText"/>
      </w:pPr>
      <w:r>
        <w:t xml:space="preserve">Power transformers constitute the most critical and capital-intensive components of electrical power transmission and distribution networks, making their reliable and rapid protection a paramount concern for the continuity and stability of electric power supply [4]. Differential protection has long been the primary scheme for safeguarding power transformers against internal faults, comparing the currents entering and leaving the protected zone [5]. However, the conventional percentage differential relay struggles to distinguish genuine internal faults from non-fault transients such as magnetizing inrush, sympathetic inrush, and external faults with current transformer (CT) saturation [3]. The second-harmonic restraint method suffers reduced sensitivity in modern transformers with high-permeability cores [4].</w:t>
      </w:r>
    </w:p>
    <w:p>
      <w:pPr>
        <w:pStyle w:val="BodyText"/>
      </w:pPr>
      <w:r>
        <w:t xml:space="preserve">This thesis proposes a hybrid adaptive protection framework that integrates the multi-resolution feature extraction of the Discrete Wavelet Transform (DWT) with the temporal classification power of Long Short-Term Memory (LSTM) networks. A three-level Daubechies-4 (db4) decomposition extracts six energy features per time step (approximation and detail energy for each of the three phases) over a half-cycle sliding window of 16 samples at 1.6 kHz (32 samples/cycle at 50 Hz). The trained model is exported to ONNX (Opset 14) and integrated into MATLAB/Simulink via the Deep Learning Predict block. A two-layer LSTM (128–64 hidden units) with global temporal attention discriminates four operating conditions—normal, external fault, magnetizing inrush, and internal fault—mapped to a binary protection decision (Trip versus No-Trip). A hybrid decision handshake makes the LSTM a supervisory veto (AND) gate for the classical adaptive 87T element: the relay trips only when both the 87T element operates and the LSTM confirms an internal fault with confidence above a threshold.</w:t>
      </w:r>
    </w:p>
    <w:p>
      <w:pPr>
        <w:pStyle w:val="BodyText"/>
      </w:pPr>
      <w:r>
        <w:t xml:space="preserve">A comprehensive simulation model of a 300 MVA, 230/11 kV, Yd1 power transformer is developed in MATLAB/Simulink with Simscape Electrical, using a 10 s discrete solver to capture high-frequency transients. A base dataset of 2</w:t>
      </w:r>
      <w:r>
        <w:t xml:space="preserve">,</w:t>
      </w:r>
      <w:r>
        <w:t xml:space="preserve">500 cases spanning fault types, inception angles, locations, resistances, loading, CT saturation, and remanent flux is generated and augmented; the held-out test set comprises 1</w:t>
      </w:r>
      <w:r>
        <w:t xml:space="preserve">,</w:t>
      </w:r>
      <w:r>
        <w:t xml:space="preserve">800 cases. The standalone DWT–LSTM classifier attains 98.89% accuracy (F1 = 0.9901, ROC–AUC = 0.9999), and the hybrid veto logic eliminates the 62 false trips otherwise issued by the standalone adaptive 87T relay, achieving 100% dependability and 100% security with an average fault-clearing time of 17.2 ms (a 2.6</w:t>
      </w:r>
      <m:oMath>
        <m:r>
          <m:t>×</m:t>
        </m:r>
      </m:oMath>
      <w:r>
        <w:t xml:space="preserve"> </w:t>
      </w:r>
      <w:r>
        <w:t xml:space="preserve">speedup over conventional harmonic restraint). The framework degrades gracefully under CT remanent-flux mismatch, frequency deviation (47–53 Hz), and noise down to 20 dB SNR.</w:t>
      </w:r>
    </w:p>
    <w:p>
      <w:pPr>
        <w:pStyle w:val="BodyText"/>
      </w:pPr>
      <w:r>
        <w:rPr>
          <w:b/>
        </w:rPr>
        <w:t xml:space="preserve">Keywords:</w:t>
      </w:r>
      <w:r>
        <w:t xml:space="preserve"> </w:t>
      </w:r>
      <w:r>
        <w:t xml:space="preserve">Transformer differential protection, Discrete Wavelet Transform (DWT), Long Short-Term Memory (LSTM), MATLAB/Simulink, magnetizing inrush current, CT saturation, ONNX, real-time relay, fault classification, deep learning, hybrid adaptive protection.</w:t>
      </w:r>
    </w:p>
    <w:p>
      <w:pPr>
        <w:pStyle w:val="BodyText"/>
      </w:pPr>
      <w:r>
        <w:rPr>
          <w:b/>
        </w:rPr>
        <w:t xml:space="preserve">সারসংক্ষেপ</w:t>
      </w:r>
    </w:p>
    <w:p>
      <w:pPr>
        <w:pStyle w:val="BodyText"/>
      </w:pPr>
      <w:r>
        <w:rPr>
          <w:b/>
        </w:rPr>
        <w:t xml:space="preserve">Hybrid Adaptive Transformer Differential Protection:</w:t>
      </w:r>
      <w:r>
        <w:br/>
      </w:r>
      <w:r>
        <w:rPr>
          <w:b/>
        </w:rPr>
        <w:t xml:space="preserve">An Intelligent DWT–LSTM Framework</w:t>
      </w:r>
    </w:p>
    <w:p>
      <w:pPr>
        <w:pStyle w:val="BodyText"/>
      </w:pPr>
      <w:r>
        <w:t xml:space="preserve">প্রস্তাবিত থিসিস পত্রে পাওয়ার ট্রান্সফরমারে বিদ্যমান প্রচলিত পার্সেন্টেজ ডিফারেনশিয়াল সুরক্ষার সীমাবদ্ধতা দূর করতে ডিসক্রিট ওয়েভলেট ট্রান্সফর্ম (DWT) এবং লং শর্ট-টার্ম মেমোরি (LSTM) নেটওয়ার্কের সমন্বয়ে একটি যুগান্তকারী</w:t>
      </w:r>
      <w:r>
        <w:t xml:space="preserve"> </w:t>
      </w:r>
      <w:r>
        <w:t xml:space="preserve">‘</w:t>
      </w:r>
      <w:r>
        <w:t xml:space="preserve">হাইব্রিড অ্যাডাপ্টিভ প্রটেকশন ফ্রেমওয়ার্ক</w:t>
      </w:r>
      <w:r>
        <w:t xml:space="preserve">’</w:t>
      </w:r>
      <w:r>
        <w:t xml:space="preserve"> </w:t>
      </w:r>
      <w:r>
        <w:t xml:space="preserve">উপস্থাপিত হয়েছে। প্রচলিত ২য় হারমোনিক রেস্ট্রেইন্ট পদ্ধতি আধুনিক উচ্চ-ভেদ্যতাসম্পন্ন কোরের ট্রান্সফরমারে ম্যাগনেটাইজিং ইনরাশ কারেন্ট এবং বাহ্যিক ফল্টজনিত কারেন্ট ট্রান্সফরমার (CT) স্যাচুরেশনের সঠিক পার্থক্য নির্ণয়ে প্রায়শই ব্যর্থ হয়ে অনাকাঙ্ক্ষিত ট্রিপিং ঘটায়। এই সুরক্ষাজনিত সংকট সমাধানে MATLAB/Simulink পরিবেশে একটি ৩০০ MVA, ২৩০/১১ kV, Yd1 পাওয়ার ট্রান্সফরমার এবং ননলাইনার সিটি স্যাচুরেশনের উচ্চ-স্তরের ফিজিক্যাল মডেল তৈরি করে ২,৫০০টি ভিন্ন ভিন্ন ঘটনার বাস্তবসম্মত ডেটাসেট তৈরি করা হয়েছে। এই ডেটা থেকে Daubechies-4 (db4) মাদার ওয়েভলেটের ৩-লেভেল ডিকম্পোজিশন এবং পার্সিভালের উপপাদ্য প্রয়োগ করে প্রতি ফেজের জন্য অত্যন্ত কমপ্যাক্ট ৬-ডাইমেনশনাল এনার্জি ফিচার ভেক্টর (E_A ও E_D) বের করা হয়েছে। পরবর্তীতে, গ্লোবাল টেম্পোরাল অ্যাটেনশন মেকানিজম সংবলিত ২-লেয়ার বিশিষ্ট LSTM নেটওয়ার্কটি PyTorch-এ প্রশিক্ষণের পর ONNX ফরম্যাটের মাধ্যমে পুনরায় Simulink-এর Predict ব্লকে রিয়েল-টাইম কো-সিমুলেশনের জন্য সফলভাবে মোতায়েন করা হয়। এই সিস্টেমের মূল অভিনবত্ব হলো এর</w:t>
      </w:r>
      <w:r>
        <w:t xml:space="preserve"> </w:t>
      </w:r>
      <w:r>
        <w:t xml:space="preserve">‘</w:t>
      </w:r>
      <w:r>
        <w:t xml:space="preserve">হাইব্রিড ডিসিশন হ্যান্ডশেক</w:t>
      </w:r>
      <w:r>
        <w:t xml:space="preserve">’</w:t>
      </w:r>
      <w:r>
        <w:t xml:space="preserve"> </w:t>
      </w:r>
      <w:r>
        <w:t xml:space="preserve">আর্কিটেকচার, যেখানে LSTM ক্লাসিফায়ারটি প্রচলিত সেফটি-সার্টিফাইড অ্যাডাপ্টিভ 87T রিলের ব্লকিং বা সুপারভাইজরি ভেটো (AND Gate) হিসেবে কাজ করে। ১,৮০০টি টেস্ট কেসের ওপর একক DWT-LSTM ক্লাসিফায়ারটি ৯৮.৮৯% সামগ্রিক নির্ভুলতা অর্জন করলেও যখন একে রিলের সাথে হাইব্রিড গেটে যুক্ত করা হয়, তখন এটি ফল্ট-রেজিস্ট্যান্স এবং তীব্র নয়েজের মধ্যেও কোনো ফল্ট মিস না করে (Zero False Negatives) শতভাগ নির্ভরযোগ্যতা (100% Dependability) ও শতভাগ নিরাপত্তা (100% Security) নিশ্চিত করে। সর্বোপরি, প্রতি প্রেডিকশন স্টেপে মাত্র ০.৭৪ ms ইনফারেন্স ল্যাটেন্সি এবং মাত্র ১৭.২ ms-এর দ্রুততম গড় ফল্ট-ক্লিয়ারিং টাইম (যা প্রচলিত পদ্ধতির চেয়ে ২.৬ গুণ দ্রুত) ট্রান্সফরমারের উইন্ডিংয়ের ওপর তাপীয় ও যান্ত্রিক চাপ হ্রাস করে এমবেডেড রিলে হার্ডওয়্যারে রিয়েল-টাইম সুরক্ষার এক নতুন দিগন্ত উন্মোচন করেছে।</w:t>
      </w:r>
    </w:p>
    <w:p>
      <w:pPr>
        <w:pStyle w:val="BodyText"/>
      </w:pPr>
      <w:r>
        <w:rPr>
          <w:b/>
        </w:rPr>
        <w:t xml:space="preserve">LIST OF NOTATIONS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Symbol</w:t>
            </w:r>
          </w:p>
        </w:tc>
        <w:tc>
          <w:tcPr>
            <w:tcBorders>
              <w:bottom w:val="single"/>
            </w:tcBorders>
            <w:vAlign w:val="bottom"/>
          </w:tcPr>
          <w:p>
            <w:pPr>
              <w:pStyle w:val="Compact"/>
              <w:jc w:val="left"/>
            </w:pPr>
            <w:r>
              <w:rPr>
                <w:b/>
              </w:rPr>
              <w:t xml:space="preserve">Description</w:t>
            </w:r>
          </w:p>
        </w:tc>
        <w:tc>
          <w:tcPr>
            <w:tcBorders>
              <w:bottom w:val="single"/>
            </w:tcBorders>
            <w:vAlign w:val="bottom"/>
          </w:tcPr>
          <w:p>
            <w:pPr>
              <w:pStyle w:val="Compact"/>
              <w:jc w:val="left"/>
            </w:pPr>
            <w:r>
              <w:rPr>
                <w:b/>
              </w:rPr>
              <w:t xml:space="preserve">Unit</w:t>
            </w:r>
          </w:p>
        </w:tc>
      </w:tr>
      <w:tr>
        <w:tc>
          <w:p>
            <w:pPr>
              <w:pStyle w:val="Compact"/>
              <w:jc w:val="left"/>
            </w:pPr>
            <m:oMath>
              <m:sSub>
                <m:e>
                  <m:r>
                    <m:t>I</m:t>
                  </m:r>
                </m:e>
                <m:sub>
                  <m:r>
                    <m:t>d</m:t>
                  </m:r>
                </m:sub>
              </m:sSub>
            </m:oMath>
          </w:p>
        </w:tc>
        <w:tc>
          <w:p>
            <w:pPr>
              <w:pStyle w:val="Compact"/>
              <w:jc w:val="left"/>
            </w:pPr>
            <w:r>
              <w:t xml:space="preserve">Differential current</w:t>
            </w:r>
          </w:p>
        </w:tc>
        <w:tc>
          <w:p>
            <w:pPr>
              <w:pStyle w:val="Compact"/>
              <w:jc w:val="left"/>
            </w:pPr>
            <w:r>
              <w:t xml:space="preserve">A</w:t>
            </w:r>
          </w:p>
        </w:tc>
      </w:tr>
      <w:tr>
        <w:tc>
          <w:p>
            <w:pPr>
              <w:pStyle w:val="Compact"/>
              <w:jc w:val="left"/>
            </w:pPr>
            <m:oMath>
              <m:sSub>
                <m:e>
                  <m:r>
                    <m:t>I</m:t>
                  </m:r>
                </m:e>
                <m:sub>
                  <m:r>
                    <m:t>r</m:t>
                  </m:r>
                </m:sub>
              </m:sSub>
            </m:oMath>
          </w:p>
        </w:tc>
        <w:tc>
          <w:p>
            <w:pPr>
              <w:pStyle w:val="Compact"/>
              <w:jc w:val="left"/>
            </w:pPr>
            <w:r>
              <w:t xml:space="preserve">Restraint (bias) current</w:t>
            </w:r>
          </w:p>
        </w:tc>
        <w:tc>
          <w:p>
            <w:pPr>
              <w:pStyle w:val="Compact"/>
              <w:jc w:val="left"/>
            </w:pPr>
            <w:r>
              <w:t xml:space="preserve">A</w:t>
            </w:r>
          </w:p>
        </w:tc>
      </w:tr>
      <w:tr>
        <w:tc>
          <w:p>
            <w:pPr>
              <w:pStyle w:val="Compact"/>
              <w:jc w:val="left"/>
            </w:pPr>
            <m:oMath>
              <m:sSub>
                <m:e>
                  <m:r>
                    <m:t>I</m:t>
                  </m:r>
                </m:e>
                <m:sub>
                  <m:r>
                    <m:t>p</m:t>
                  </m:r>
                  <m:r>
                    <m:t>i</m:t>
                  </m:r>
                  <m:r>
                    <m:t>c</m:t>
                  </m:r>
                  <m:r>
                    <m:t>k</m:t>
                  </m:r>
                  <m:r>
                    <m:t>u</m:t>
                  </m:r>
                  <m:r>
                    <m:t>p</m:t>
                  </m:r>
                </m:sub>
              </m:sSub>
            </m:oMath>
          </w:p>
        </w:tc>
        <w:tc>
          <w:p>
            <w:pPr>
              <w:pStyle w:val="Compact"/>
              <w:jc w:val="left"/>
            </w:pPr>
            <w:r>
              <w:t xml:space="preserve">Minimum pickup current setting</w:t>
            </w:r>
          </w:p>
        </w:tc>
        <w:tc>
          <w:p>
            <w:pPr>
              <w:pStyle w:val="Compact"/>
              <w:jc w:val="left"/>
            </w:pPr>
            <w:r>
              <w:t xml:space="preserve">A</w:t>
            </w:r>
          </w:p>
        </w:tc>
      </w:tr>
      <w:tr>
        <w:tc>
          <w:p>
            <w:pPr>
              <w:pStyle w:val="Compact"/>
              <w:jc w:val="left"/>
            </w:pPr>
            <m:oMath>
              <m:r>
                <m:t>S</m:t>
              </m:r>
            </m:oMath>
          </w:p>
        </w:tc>
        <w:tc>
          <w:p>
            <w:pPr>
              <w:pStyle w:val="Compact"/>
              <w:jc w:val="left"/>
            </w:pPr>
            <w:r>
              <w:t xml:space="preserve">Slope of the differential characteristic</w:t>
            </w:r>
          </w:p>
        </w:tc>
        <w:tc>
          <w:p>
            <w:pPr>
              <w:pStyle w:val="Compact"/>
              <w:jc w:val="left"/>
            </w:pPr>
            <w:r>
              <w:t xml:space="preserve">%</w:t>
            </w:r>
          </w:p>
        </w:tc>
      </w:tr>
      <w:tr>
        <w:tc>
          <w:p>
            <w:pPr>
              <w:pStyle w:val="Compact"/>
              <w:jc w:val="left"/>
            </w:pPr>
            <m:oMath>
              <m:sSub>
                <m:e>
                  <m:r>
                    <m:t>T</m:t>
                  </m:r>
                </m:e>
                <m:sub>
                  <m:r>
                    <m:t>o</m:t>
                  </m:r>
                  <m:r>
                    <m:t>p</m:t>
                  </m:r>
                </m:sub>
              </m:sSub>
            </m:oMath>
          </w:p>
        </w:tc>
        <w:tc>
          <w:p>
            <w:pPr>
              <w:pStyle w:val="Compact"/>
              <w:jc w:val="left"/>
            </w:pPr>
            <w:r>
              <w:t xml:space="preserve">Relay operating time</w:t>
            </w:r>
          </w:p>
        </w:tc>
        <w:tc>
          <w:p>
            <w:pPr>
              <w:pStyle w:val="Compact"/>
              <w:jc w:val="left"/>
            </w:pPr>
            <w:r>
              <w:t xml:space="preserve">ms</w:t>
            </w:r>
          </w:p>
        </w:tc>
      </w:tr>
      <w:tr>
        <w:tc>
          <w:p>
            <w:pPr>
              <w:pStyle w:val="Compact"/>
              <w:jc w:val="left"/>
            </w:pPr>
            <m:oMath>
              <m:sSub>
                <m:e>
                  <m:r>
                    <m:t>Φ</m:t>
                  </m:r>
                </m:e>
                <m:sub>
                  <m:r>
                    <m:t>C</m:t>
                  </m:r>
                  <m:r>
                    <m:t>T</m:t>
                  </m:r>
                </m:sub>
              </m:sSub>
            </m:oMath>
          </w:p>
        </w:tc>
        <w:tc>
          <w:p>
            <w:pPr>
              <w:pStyle w:val="Compact"/>
              <w:jc w:val="left"/>
            </w:pPr>
            <w:r>
              <w:t xml:space="preserve">CT magnetization flux</w:t>
            </w:r>
          </w:p>
        </w:tc>
        <w:tc>
          <w:p>
            <w:pPr>
              <w:pStyle w:val="Compact"/>
              <w:jc w:val="left"/>
            </w:pPr>
            <w:r>
              <w:t xml:space="preserve">Wb</w:t>
            </w:r>
          </w:p>
        </w:tc>
      </w:tr>
      <w:tr>
        <w:tc>
          <w:p>
            <w:pPr>
              <w:pStyle w:val="Compact"/>
              <w:jc w:val="left"/>
            </w:pPr>
            <m:oMath>
              <m:r>
                <m:t>ψ</m:t>
              </m:r>
              <m:r>
                <m:t>(</m:t>
              </m:r>
              <m:r>
                <m:t>t</m:t>
              </m:r>
              <m:r>
                <m:t>)</m:t>
              </m:r>
            </m:oMath>
          </w:p>
        </w:tc>
        <w:tc>
          <w:p>
            <w:pPr>
              <w:pStyle w:val="Compact"/>
              <w:jc w:val="left"/>
            </w:pPr>
            <w:r>
              <w:t xml:space="preserve">Mother wavelet function</w:t>
            </w:r>
          </w:p>
        </w:tc>
        <w:tc>
          <w:p>
            <w:pPr>
              <w:pStyle w:val="Compact"/>
              <w:jc w:val="left"/>
            </w:pPr>
            <w:r>
              <w:t xml:space="preserve">–</w:t>
            </w:r>
          </w:p>
        </w:tc>
      </w:tr>
      <w:tr>
        <w:tc>
          <w:p>
            <w:pPr>
              <w:pStyle w:val="Compact"/>
              <w:jc w:val="left"/>
            </w:pPr>
            <m:oMath>
              <m:sSub>
                <m:e>
                  <m:r>
                    <m:t>a</m:t>
                  </m:r>
                </m:e>
                <m:sub>
                  <m:r>
                    <m:t>j</m:t>
                  </m:r>
                </m:sub>
              </m:sSub>
              <m:r>
                <m:t>,</m:t>
              </m:r>
              <m:r>
                <m:t> </m:t>
              </m:r>
              <m:sSub>
                <m:e>
                  <m:r>
                    <m:t>d</m:t>
                  </m:r>
                </m:e>
                <m:sub>
                  <m:r>
                    <m:t>j</m:t>
                  </m:r>
                </m:sub>
              </m:sSub>
            </m:oMath>
          </w:p>
        </w:tc>
        <w:tc>
          <w:p>
            <w:pPr>
              <w:pStyle w:val="Compact"/>
              <w:jc w:val="left"/>
            </w:pPr>
            <w:r>
              <w:t xml:space="preserve">Approximation / detail coefficients at level</w:t>
            </w:r>
            <w:r>
              <w:t xml:space="preserve"> </w:t>
            </w:r>
            <m:oMath>
              <m:r>
                <m:t>j</m:t>
              </m:r>
            </m:oMath>
          </w:p>
        </w:tc>
        <w:tc>
          <w:p>
            <w:pPr>
              <w:pStyle w:val="Compact"/>
              <w:jc w:val="left"/>
            </w:pPr>
            <w:r>
              <w:t xml:space="preserve">–</w:t>
            </w:r>
          </w:p>
        </w:tc>
      </w:tr>
      <w:tr>
        <w:tc>
          <w:p>
            <w:pPr>
              <w:pStyle w:val="Compact"/>
              <w:jc w:val="left"/>
            </w:pPr>
            <m:oMath>
              <m:r>
                <m:t>h</m:t>
              </m:r>
              <m:r>
                <m:t>[</m:t>
              </m:r>
              <m:r>
                <m:t>n</m:t>
              </m:r>
              <m:r>
                <m:t>]</m:t>
              </m:r>
              <m:r>
                <m:t>,</m:t>
              </m:r>
              <m:r>
                <m:t> </m:t>
              </m:r>
              <m:r>
                <m:t>g</m:t>
              </m:r>
              <m:r>
                <m:t>[</m:t>
              </m:r>
              <m:r>
                <m:t>n</m:t>
              </m:r>
              <m:r>
                <m:t>]</m:t>
              </m:r>
            </m:oMath>
          </w:p>
        </w:tc>
        <w:tc>
          <w:p>
            <w:pPr>
              <w:pStyle w:val="Compact"/>
              <w:jc w:val="left"/>
            </w:pPr>
            <w:r>
              <w:t xml:space="preserve">Low-pass / high-pass decomposition filters</w:t>
            </w:r>
          </w:p>
        </w:tc>
        <w:tc>
          <w:p>
            <w:pPr>
              <w:pStyle w:val="Compact"/>
              <w:jc w:val="left"/>
            </w:pPr>
            <w:r>
              <w:t xml:space="preserve">–</w:t>
            </w:r>
          </w:p>
        </w:tc>
      </w:tr>
      <w:tr>
        <w:tc>
          <w:p>
            <w:pPr>
              <w:pStyle w:val="Compact"/>
              <w:jc w:val="left"/>
            </w:pPr>
            <m:oMath>
              <m:sSub>
                <m:e>
                  <m:r>
                    <m:t>E</m:t>
                  </m:r>
                </m:e>
                <m:sub>
                  <m:r>
                    <m:t>A</m:t>
                  </m:r>
                </m:sub>
              </m:sSub>
              <m:r>
                <m:t>,</m:t>
              </m:r>
              <m:r>
                <m:t> </m:t>
              </m:r>
              <m:sSub>
                <m:e>
                  <m:r>
                    <m:t>E</m:t>
                  </m:r>
                </m:e>
                <m:sub>
                  <m:r>
                    <m:t>D</m:t>
                  </m:r>
                </m:sub>
              </m:sSub>
            </m:oMath>
          </w:p>
        </w:tc>
        <w:tc>
          <w:p>
            <w:pPr>
              <w:pStyle w:val="Compact"/>
              <w:jc w:val="left"/>
            </w:pPr>
            <w:r>
              <w:t xml:space="preserve">Approximation / detail energy feature</w:t>
            </w:r>
          </w:p>
        </w:tc>
        <w:tc>
          <w:p>
            <w:pPr>
              <w:pStyle w:val="Compact"/>
              <w:jc w:val="left"/>
            </w:pPr>
            <w:r>
              <w:t xml:space="preserve">pu</w:t>
            </w:r>
            <m:oMath>
              <m:sSup>
                <m:e>
                  <m:r>
                    <m:t>​</m:t>
                  </m:r>
                </m:e>
                <m:sup>
                  <m:r>
                    <m:t>2</m:t>
                  </m:r>
                </m:sup>
              </m:sSup>
            </m:oMath>
          </w:p>
        </w:tc>
      </w:tr>
      <w:tr>
        <w:tc>
          <w:p>
            <w:pPr>
              <w:pStyle w:val="Compact"/>
              <w:jc w:val="left"/>
            </w:pPr>
            <m:oMath>
              <m:sSub>
                <m:e>
                  <m:r>
                    <m:t>f</m:t>
                  </m:r>
                </m:e>
                <m:sub>
                  <m:r>
                    <m:t>t</m:t>
                  </m:r>
                </m:sub>
              </m:sSub>
              <m:r>
                <m:t>,</m:t>
              </m:r>
              <m:r>
                <m:t> </m:t>
              </m:r>
              <m:sSub>
                <m:e>
                  <m:r>
                    <m:t>i</m:t>
                  </m:r>
                </m:e>
                <m:sub>
                  <m:r>
                    <m:t>t</m:t>
                  </m:r>
                </m:sub>
              </m:sSub>
              <m:r>
                <m:t>,</m:t>
              </m:r>
              <m:r>
                <m:t> </m:t>
              </m:r>
              <m:sSub>
                <m:e>
                  <m:r>
                    <m:t>o</m:t>
                  </m:r>
                </m:e>
                <m:sub>
                  <m:r>
                    <m:t>t</m:t>
                  </m:r>
                </m:sub>
              </m:sSub>
            </m:oMath>
          </w:p>
        </w:tc>
        <w:tc>
          <w:p>
            <w:pPr>
              <w:pStyle w:val="Compact"/>
              <w:jc w:val="left"/>
            </w:pPr>
            <w:r>
              <w:t xml:space="preserve">LSTM forget, input, output gate activations</w:t>
            </w:r>
          </w:p>
        </w:tc>
        <w:tc>
          <w:p>
            <w:pPr>
              <w:pStyle w:val="Compact"/>
              <w:jc w:val="left"/>
            </w:pPr>
            <w:r>
              <w:t xml:space="preserve">–</w:t>
            </w:r>
          </w:p>
        </w:tc>
      </w:tr>
      <w:tr>
        <w:tc>
          <w:p>
            <w:pPr>
              <w:pStyle w:val="Compact"/>
              <w:jc w:val="left"/>
            </w:pPr>
            <m:oMath>
              <m:sSub>
                <m:e>
                  <m:r>
                    <m:t>C</m:t>
                  </m:r>
                </m:e>
                <m:sub>
                  <m:r>
                    <m:t>t</m:t>
                  </m:r>
                </m:sub>
              </m:sSub>
              <m:r>
                <m:t>,</m:t>
              </m:r>
              <m:r>
                <m:t> </m:t>
              </m:r>
              <m:sSub>
                <m:e>
                  <m:r>
                    <m:t>h</m:t>
                  </m:r>
                </m:e>
                <m:sub>
                  <m:r>
                    <m:t>t</m:t>
                  </m:r>
                </m:sub>
              </m:sSub>
            </m:oMath>
          </w:p>
        </w:tc>
        <w:tc>
          <w:p>
            <w:pPr>
              <w:pStyle w:val="Compact"/>
              <w:jc w:val="left"/>
            </w:pPr>
            <w:r>
              <w:t xml:space="preserve">LSTM cell state / hidden state at step</w:t>
            </w:r>
            <w:r>
              <w:t xml:space="preserve"> </w:t>
            </w:r>
            <m:oMath>
              <m:r>
                <m:t>t</m:t>
              </m:r>
            </m:oMath>
          </w:p>
        </w:tc>
        <w:tc>
          <w:p>
            <w:pPr>
              <w:pStyle w:val="Compact"/>
              <w:jc w:val="left"/>
            </w:pPr>
            <w:r>
              <w:t xml:space="preserve">–</w:t>
            </w:r>
          </w:p>
        </w:tc>
      </w:tr>
      <w:tr>
        <w:tc>
          <w:p>
            <w:pPr>
              <w:pStyle w:val="Compact"/>
              <w:jc w:val="left"/>
            </w:pPr>
            <m:oMath>
              <m:r>
                <m:t>σ</m:t>
              </m:r>
              <m:r>
                <m:t>(</m:t>
              </m:r>
              <m:r>
                <m:t>⋅</m:t>
              </m:r>
              <m:r>
                <m:t>)</m:t>
              </m:r>
              <m:r>
                <m:t>,</m:t>
              </m:r>
              <m:r>
                <m:t> </m:t>
              </m:r>
              <m:r>
                <m:rPr>
                  <m:nor/>
                  <m:sty m:val="p"/>
                </m:rPr>
                <m:t>tanh</m:t>
              </m:r>
              <m:r>
                <m:t>(</m:t>
              </m:r>
              <m:r>
                <m:t>⋅</m:t>
              </m:r>
              <m:r>
                <m:t>)</m:t>
              </m:r>
            </m:oMath>
          </w:p>
        </w:tc>
        <w:tc>
          <w:p>
            <w:pPr>
              <w:pStyle w:val="Compact"/>
              <w:jc w:val="left"/>
            </w:pPr>
            <w:r>
              <w:t xml:space="preserve">Sigmoid / hyperbolic tangent activation</w:t>
            </w:r>
          </w:p>
        </w:tc>
        <w:tc>
          <w:p>
            <w:pPr>
              <w:pStyle w:val="Compact"/>
              <w:jc w:val="left"/>
            </w:pPr>
            <w:r>
              <w:t xml:space="preserve">–</w:t>
            </w:r>
          </w:p>
        </w:tc>
      </w:tr>
      <w:tr>
        <w:tc>
          <w:p>
            <w:pPr>
              <w:pStyle w:val="Compact"/>
              <w:jc w:val="left"/>
            </w:pPr>
            <m:oMath>
              <m:r>
                <m:t>η</m:t>
              </m:r>
            </m:oMath>
          </w:p>
        </w:tc>
        <w:tc>
          <w:p>
            <w:pPr>
              <w:pStyle w:val="Compact"/>
              <w:jc w:val="left"/>
            </w:pPr>
            <w:r>
              <w:t xml:space="preserve">Learning rate</w:t>
            </w:r>
          </w:p>
        </w:tc>
        <w:tc>
          <w:p>
            <w:pPr>
              <w:pStyle w:val="Compact"/>
              <w:jc w:val="left"/>
            </w:pPr>
            <w:r>
              <w:t xml:space="preserve">–</w:t>
            </w:r>
          </w:p>
        </w:tc>
      </w:tr>
      <w:tr>
        <w:tc>
          <w:p>
            <w:pPr>
              <w:pStyle w:val="Compact"/>
              <w:jc w:val="left"/>
            </w:pPr>
            <m:oMath>
              <m:sSub>
                <m:e>
                  <m:r>
                    <m:t>x</m:t>
                  </m:r>
                </m:e>
                <m:sub>
                  <m:r>
                    <m:t>t</m:t>
                  </m:r>
                </m:sub>
              </m:sSub>
              <m:r>
                <m:t>,</m:t>
              </m:r>
              <m:r>
                <m:t> </m:t>
              </m:r>
              <m:sSub>
                <m:e>
                  <m:acc>
                    <m:accPr>
                      <m:chr m:val="̂"/>
                    </m:accPr>
                    <m:e>
                      <m:r>
                        <m:t>y</m:t>
                      </m:r>
                    </m:e>
                  </m:acc>
                </m:e>
                <m:sub>
                  <m:r>
                    <m:t>t</m:t>
                  </m:r>
                </m:sub>
              </m:sSub>
              <m:r>
                <m:t>,</m:t>
              </m:r>
              <m:r>
                <m:t> </m:t>
              </m:r>
              <m:sSub>
                <m:e>
                  <m:r>
                    <m:t>y</m:t>
                  </m:r>
                </m:e>
                <m:sub>
                  <m:r>
                    <m:t>t</m:t>
                  </m:r>
                </m:sub>
              </m:sSub>
            </m:oMath>
          </w:p>
        </w:tc>
        <w:tc>
          <w:p>
            <w:pPr>
              <w:pStyle w:val="Compact"/>
              <w:jc w:val="left"/>
            </w:pPr>
            <w:r>
              <w:t xml:space="preserve">Input / predicted / true label at step</w:t>
            </w:r>
            <w:r>
              <w:t xml:space="preserve"> </w:t>
            </w:r>
            <m:oMath>
              <m:r>
                <m:t>t</m:t>
              </m:r>
            </m:oMath>
          </w:p>
        </w:tc>
        <w:tc>
          <w:p>
            <w:pPr>
              <w:pStyle w:val="Compact"/>
              <w:jc w:val="left"/>
            </w:pPr>
            <w:r>
              <w:t xml:space="preserve">–</w:t>
            </w:r>
          </w:p>
        </w:tc>
      </w:tr>
      <w:tr>
        <w:tc>
          <w:p>
            <w:pPr>
              <w:pStyle w:val="Compact"/>
              <w:jc w:val="left"/>
            </w:pPr>
            <m:oMath>
              <m:r>
                <m:rPr>
                  <m:sty m:val="p"/>
                  <m:scr m:val="script"/>
                </m:rPr>
                <m:t>L</m:t>
              </m:r>
            </m:oMath>
          </w:p>
        </w:tc>
        <w:tc>
          <w:p>
            <w:pPr>
              <w:pStyle w:val="Compact"/>
              <w:jc w:val="left"/>
            </w:pPr>
            <w:r>
              <w:t xml:space="preserve">Cross-entropy loss function</w:t>
            </w:r>
          </w:p>
        </w:tc>
        <w:tc>
          <w:p>
            <w:pPr>
              <w:pStyle w:val="Compact"/>
              <w:jc w:val="left"/>
            </w:pPr>
            <w:r>
              <w:t xml:space="preserve">–</w:t>
            </w:r>
          </w:p>
        </w:tc>
      </w:tr>
      <w:tr>
        <w:tc>
          <w:p>
            <w:pPr>
              <w:pStyle w:val="Compact"/>
              <w:jc w:val="left"/>
            </w:pPr>
            <w:r>
              <w:t xml:space="preserve">TP, TN, FP, FN</w:t>
            </w:r>
          </w:p>
        </w:tc>
        <w:tc>
          <w:p>
            <w:pPr>
              <w:pStyle w:val="Compact"/>
              <w:jc w:val="left"/>
            </w:pPr>
            <w:r>
              <w:t xml:space="preserve">True/False Positives and Negatives</w:t>
            </w:r>
          </w:p>
        </w:tc>
        <w:tc>
          <w:p>
            <w:pPr>
              <w:pStyle w:val="Compact"/>
              <w:jc w:val="left"/>
            </w:pPr>
            <w:r>
              <w:t xml:space="preserve">–</w:t>
            </w:r>
          </w:p>
        </w:tc>
      </w:tr>
      <w:tr>
        <w:tc>
          <w:p>
            <w:pPr>
              <w:pStyle w:val="Compact"/>
              <w:jc w:val="left"/>
            </w:pPr>
            <m:oMath>
              <m:sSub>
                <m:e>
                  <m:r>
                    <m:t>S</m:t>
                  </m:r>
                </m:e>
                <m:sub>
                  <m:r>
                    <m:t>r</m:t>
                  </m:r>
                  <m:r>
                    <m:t>a</m:t>
                  </m:r>
                  <m:r>
                    <m:t>t</m:t>
                  </m:r>
                  <m:r>
                    <m:t>e</m:t>
                  </m:r>
                  <m:r>
                    <m:t>d</m:t>
                  </m:r>
                </m:sub>
              </m:sSub>
            </m:oMath>
          </w:p>
        </w:tc>
        <w:tc>
          <w:p>
            <w:pPr>
              <w:pStyle w:val="Compact"/>
              <w:jc w:val="left"/>
            </w:pPr>
            <w:r>
              <w:t xml:space="preserve">Transformer rated power</w:t>
            </w:r>
          </w:p>
        </w:tc>
        <w:tc>
          <w:p>
            <w:pPr>
              <w:pStyle w:val="Compact"/>
              <w:jc w:val="left"/>
            </w:pPr>
            <w:r>
              <w:t xml:space="preserve">MVA</w:t>
            </w:r>
          </w:p>
        </w:tc>
      </w:tr>
      <w:tr>
        <w:tc>
          <w:p>
            <w:pPr>
              <w:pStyle w:val="Compact"/>
              <w:jc w:val="left"/>
            </w:pPr>
            <m:oMath>
              <m:sSub>
                <m:e>
                  <m:r>
                    <m:t>R</m:t>
                  </m:r>
                </m:e>
                <m:sub>
                  <m:r>
                    <m:t>f</m:t>
                  </m:r>
                </m:sub>
              </m:sSub>
            </m:oMath>
          </w:p>
        </w:tc>
        <w:tc>
          <w:p>
            <w:pPr>
              <w:pStyle w:val="Compact"/>
              <w:jc w:val="left"/>
            </w:pPr>
            <w:r>
              <w:t xml:space="preserve">Fault resistance</w:t>
            </w:r>
          </w:p>
        </w:tc>
        <w:tc>
          <w:p>
            <w:pPr>
              <w:pStyle w:val="Compact"/>
              <w:jc w:val="left"/>
            </w:pPr>
            <m:oMath>
              <m:r>
                <m:t>Ω</m:t>
              </m:r>
            </m:oMath>
          </w:p>
        </w:tc>
      </w:tr>
      <w:tr>
        <w:tc>
          <w:p>
            <w:pPr>
              <w:pStyle w:val="Compact"/>
              <w:jc w:val="left"/>
            </w:pPr>
            <m:oMath>
              <m:sSub>
                <m:e>
                  <m:r>
                    <m:t>φ</m:t>
                  </m:r>
                </m:e>
                <m:sub>
                  <m:r>
                    <m:t>i</m:t>
                  </m:r>
                </m:sub>
              </m:sSub>
            </m:oMath>
          </w:p>
        </w:tc>
        <w:tc>
          <w:p>
            <w:pPr>
              <w:pStyle w:val="Compact"/>
              <w:jc w:val="left"/>
            </w:pPr>
            <w:r>
              <w:t xml:space="preserve">Fault inception angle</w:t>
            </w:r>
          </w:p>
        </w:tc>
        <w:tc>
          <w:p>
            <w:pPr>
              <w:pStyle w:val="Compact"/>
              <w:jc w:val="left"/>
            </w:pPr>
            <w:r>
              <w:t xml:space="preserve">deg</w:t>
            </w:r>
          </w:p>
        </w:tc>
      </w:tr>
      <w:tr>
        <w:tc>
          <w:p>
            <w:pPr>
              <w:pStyle w:val="Compact"/>
              <w:jc w:val="left"/>
            </w:pPr>
            <m:oMath>
              <m:sSub>
                <m:e>
                  <m:r>
                    <m:t>Φ</m:t>
                  </m:r>
                </m:e>
                <m:sub>
                  <m:r>
                    <m:t>r</m:t>
                  </m:r>
                  <m:r>
                    <m:t>e</m:t>
                  </m:r>
                  <m:r>
                    <m:t>m</m:t>
                  </m:r>
                </m:sub>
              </m:sSub>
              <m:r>
                <m:t>,</m:t>
              </m:r>
              <m:r>
                <m:t> </m:t>
              </m:r>
              <m:sSub>
                <m:e>
                  <m:r>
                    <m:t>Φ</m:t>
                  </m:r>
                </m:e>
                <m:sub>
                  <m:r>
                    <m:t>s</m:t>
                  </m:r>
                  <m:r>
                    <m:t>a</m:t>
                  </m:r>
                  <m:r>
                    <m:t>t</m:t>
                  </m:r>
                </m:sub>
              </m:sSub>
            </m:oMath>
          </w:p>
        </w:tc>
        <w:tc>
          <w:p>
            <w:pPr>
              <w:pStyle w:val="Compact"/>
              <w:jc w:val="left"/>
            </w:pPr>
            <w:r>
              <w:t xml:space="preserve">Remanent / saturation flux of core</w:t>
            </w:r>
          </w:p>
        </w:tc>
        <w:tc>
          <w:p>
            <w:pPr>
              <w:pStyle w:val="Compact"/>
              <w:jc w:val="left"/>
            </w:pPr>
            <w:r>
              <w:t xml:space="preserve">Wb</w:t>
            </w:r>
          </w:p>
        </w:tc>
      </w:tr>
      <w:tr>
        <w:tc>
          <w:p>
            <w:pPr>
              <w:pStyle w:val="Compact"/>
              <w:jc w:val="left"/>
            </w:pPr>
            <m:oMath>
              <m:sSub>
                <m:e>
                  <m:r>
                    <m:t>N</m:t>
                  </m:r>
                </m:e>
                <m:sub>
                  <m:r>
                    <m:t>C</m:t>
                  </m:r>
                  <m:r>
                    <m:t>T</m:t>
                  </m:r>
                </m:sub>
              </m:sSub>
            </m:oMath>
          </w:p>
        </w:tc>
        <w:tc>
          <w:p>
            <w:pPr>
              <w:pStyle w:val="Compact"/>
              <w:jc w:val="left"/>
            </w:pPr>
            <w:r>
              <w:t xml:space="preserve">Current-transformer turns ratio</w:t>
            </w:r>
          </w:p>
        </w:tc>
        <w:tc>
          <w:p>
            <w:pPr>
              <w:pStyle w:val="Compact"/>
              <w:jc w:val="left"/>
            </w:pPr>
            <w:r>
              <w:t xml:space="preserve">–</w:t>
            </w:r>
          </w:p>
        </w:tc>
      </w:tr>
      <w:tr>
        <w:tc>
          <w:p>
            <w:pPr>
              <w:pStyle w:val="Compact"/>
              <w:jc w:val="left"/>
            </w:pPr>
            <m:oMath>
              <m:sSub>
                <m:e>
                  <m:r>
                    <m:t>f</m:t>
                  </m:r>
                </m:e>
                <m:sub>
                  <m:r>
                    <m:t>s</m:t>
                  </m:r>
                </m:sub>
              </m:sSub>
            </m:oMath>
          </w:p>
        </w:tc>
        <w:tc>
          <w:p>
            <w:pPr>
              <w:pStyle w:val="Compact"/>
              <w:jc w:val="left"/>
            </w:pPr>
            <w:r>
              <w:t xml:space="preserve">Sampling frequency</w:t>
            </w:r>
          </w:p>
        </w:tc>
        <w:tc>
          <w:p>
            <w:pPr>
              <w:pStyle w:val="Compact"/>
              <w:jc w:val="left"/>
            </w:pPr>
            <w:r>
              <w:t xml:space="preserve">Hz</w:t>
            </w:r>
          </w:p>
        </w:tc>
      </w:tr>
    </w:tbl>
    <w:p>
      <w:pPr>
        <w:pStyle w:val="BodyText"/>
      </w:pPr>
      <w:r>
        <w:rPr>
          <w:b/>
        </w:rPr>
        <w:t xml:space="preserve">LIST OF ABBREVIATIONS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Abbreviation</w:t>
            </w:r>
          </w:p>
        </w:tc>
        <w:tc>
          <w:tcPr>
            <w:tcBorders>
              <w:bottom w:val="single"/>
            </w:tcBorders>
            <w:vAlign w:val="bottom"/>
          </w:tcPr>
          <w:p>
            <w:pPr>
              <w:pStyle w:val="Compact"/>
              <w:jc w:val="left"/>
            </w:pPr>
            <w:r>
              <w:rPr>
                <w:b/>
              </w:rPr>
              <w:t xml:space="preserve">Full Form</w:t>
            </w:r>
          </w:p>
        </w:tc>
      </w:tr>
      <w:tr>
        <w:tc>
          <w:p>
            <w:pPr>
              <w:pStyle w:val="Compact"/>
              <w:jc w:val="left"/>
            </w:pPr>
            <w:r>
              <w:t xml:space="preserve">CT / PT</w:t>
            </w:r>
          </w:p>
        </w:tc>
        <w:tc>
          <w:p>
            <w:pPr>
              <w:pStyle w:val="Compact"/>
              <w:jc w:val="left"/>
            </w:pPr>
            <w:r>
              <w:t xml:space="preserve">Current Transformer / Potential (Voltage) Transformer</w:t>
            </w:r>
          </w:p>
        </w:tc>
      </w:tr>
      <w:tr>
        <w:tc>
          <w:p>
            <w:pPr>
              <w:pStyle w:val="Compact"/>
              <w:jc w:val="left"/>
            </w:pPr>
            <w:r>
              <w:t xml:space="preserve">CHR</w:t>
            </w:r>
          </w:p>
        </w:tc>
        <w:tc>
          <w:p>
            <w:pPr>
              <w:pStyle w:val="Compact"/>
              <w:jc w:val="left"/>
            </w:pPr>
            <w:r>
              <w:t xml:space="preserve">Current Harmonic Restraint</w:t>
            </w:r>
          </w:p>
        </w:tc>
      </w:tr>
      <w:tr>
        <w:tc>
          <w:p>
            <w:pPr>
              <w:pStyle w:val="Compact"/>
              <w:jc w:val="left"/>
            </w:pPr>
            <w:r>
              <w:t xml:space="preserve">DWT / WPT</w:t>
            </w:r>
          </w:p>
        </w:tc>
        <w:tc>
          <w:p>
            <w:pPr>
              <w:pStyle w:val="Compact"/>
              <w:jc w:val="left"/>
            </w:pPr>
            <w:r>
              <w:t xml:space="preserve">Discrete / Wavelet Packet Transform</w:t>
            </w:r>
          </w:p>
        </w:tc>
      </w:tr>
      <w:tr>
        <w:tc>
          <w:p>
            <w:pPr>
              <w:pStyle w:val="Compact"/>
              <w:jc w:val="left"/>
            </w:pPr>
            <w:r>
              <w:t xml:space="preserve">DFT / FFT</w:t>
            </w:r>
          </w:p>
        </w:tc>
        <w:tc>
          <w:p>
            <w:pPr>
              <w:pStyle w:val="Compact"/>
              <w:jc w:val="left"/>
            </w:pPr>
            <w:r>
              <w:t xml:space="preserve">Discrete / Fast Fourier Transform</w:t>
            </w:r>
          </w:p>
        </w:tc>
      </w:tr>
      <w:tr>
        <w:tc>
          <w:p>
            <w:pPr>
              <w:pStyle w:val="Compact"/>
              <w:jc w:val="left"/>
            </w:pPr>
            <w:r>
              <w:t xml:space="preserve">STFT</w:t>
            </w:r>
          </w:p>
        </w:tc>
        <w:tc>
          <w:p>
            <w:pPr>
              <w:pStyle w:val="Compact"/>
              <w:jc w:val="left"/>
            </w:pPr>
            <w:r>
              <w:t xml:space="preserve">Short-Time Fourier Transform</w:t>
            </w:r>
          </w:p>
        </w:tc>
      </w:tr>
      <w:tr>
        <w:tc>
          <w:p>
            <w:pPr>
              <w:pStyle w:val="Compact"/>
              <w:jc w:val="left"/>
            </w:pPr>
            <w:r>
              <w:t xml:space="preserve">MRA</w:t>
            </w:r>
          </w:p>
        </w:tc>
        <w:tc>
          <w:p>
            <w:pPr>
              <w:pStyle w:val="Compact"/>
              <w:jc w:val="left"/>
            </w:pPr>
            <w:r>
              <w:t xml:space="preserve">Multi-Resolution Analysis</w:t>
            </w:r>
          </w:p>
        </w:tc>
      </w:tr>
      <w:tr>
        <w:tc>
          <w:p>
            <w:pPr>
              <w:pStyle w:val="Compact"/>
              <w:jc w:val="left"/>
            </w:pPr>
            <w:r>
              <w:t xml:space="preserve">ANN / DNN</w:t>
            </w:r>
          </w:p>
        </w:tc>
        <w:tc>
          <w:p>
            <w:pPr>
              <w:pStyle w:val="Compact"/>
              <w:jc w:val="left"/>
            </w:pPr>
            <w:r>
              <w:t xml:space="preserve">Artificial / Deep Neural Network</w:t>
            </w:r>
          </w:p>
        </w:tc>
      </w:tr>
      <w:tr>
        <w:tc>
          <w:p>
            <w:pPr>
              <w:pStyle w:val="Compact"/>
              <w:jc w:val="left"/>
            </w:pPr>
            <w:r>
              <w:t xml:space="preserve">CNN / RNN</w:t>
            </w:r>
          </w:p>
        </w:tc>
        <w:tc>
          <w:p>
            <w:pPr>
              <w:pStyle w:val="Compact"/>
              <w:jc w:val="left"/>
            </w:pPr>
            <w:r>
              <w:t xml:space="preserve">Convolutional / Recurrent Neural Network</w:t>
            </w:r>
          </w:p>
        </w:tc>
      </w:tr>
      <w:tr>
        <w:tc>
          <w:p>
            <w:pPr>
              <w:pStyle w:val="Compact"/>
              <w:jc w:val="left"/>
            </w:pPr>
            <w:r>
              <w:t xml:space="preserve">LSTM / GRU</w:t>
            </w:r>
          </w:p>
        </w:tc>
        <w:tc>
          <w:p>
            <w:pPr>
              <w:pStyle w:val="Compact"/>
              <w:jc w:val="left"/>
            </w:pPr>
            <w:r>
              <w:t xml:space="preserve">Long Short-Term Memory / Gated Recurrent Unit</w:t>
            </w:r>
          </w:p>
        </w:tc>
      </w:tr>
      <w:tr>
        <w:tc>
          <w:p>
            <w:pPr>
              <w:pStyle w:val="Compact"/>
              <w:jc w:val="left"/>
            </w:pPr>
            <w:r>
              <w:t xml:space="preserve">SVM / PNN</w:t>
            </w:r>
          </w:p>
        </w:tc>
        <w:tc>
          <w:p>
            <w:pPr>
              <w:pStyle w:val="Compact"/>
              <w:jc w:val="left"/>
            </w:pPr>
            <w:r>
              <w:t xml:space="preserve">Support Vector Machine / Probabilistic Neural Network</w:t>
            </w:r>
          </w:p>
        </w:tc>
      </w:tr>
      <w:tr>
        <w:tc>
          <w:p>
            <w:pPr>
              <w:pStyle w:val="Compact"/>
              <w:jc w:val="left"/>
            </w:pPr>
            <w:r>
              <w:t xml:space="preserve">ReLU</w:t>
            </w:r>
          </w:p>
        </w:tc>
        <w:tc>
          <w:p>
            <w:pPr>
              <w:pStyle w:val="Compact"/>
              <w:jc w:val="left"/>
            </w:pPr>
            <w:r>
              <w:t xml:space="preserve">Rectified Linear Unit</w:t>
            </w:r>
          </w:p>
        </w:tc>
      </w:tr>
      <w:tr>
        <w:tc>
          <w:p>
            <w:pPr>
              <w:pStyle w:val="Compact"/>
              <w:jc w:val="left"/>
            </w:pPr>
            <w:r>
              <w:t xml:space="preserve">Adam / SGD</w:t>
            </w:r>
          </w:p>
        </w:tc>
        <w:tc>
          <w:p>
            <w:pPr>
              <w:pStyle w:val="Compact"/>
              <w:jc w:val="left"/>
            </w:pPr>
            <w:r>
              <w:t xml:space="preserve">Adaptive Moment Estimation / Stochastic Gradient Descent</w:t>
            </w:r>
          </w:p>
        </w:tc>
      </w:tr>
      <w:tr>
        <w:tc>
          <w:p>
            <w:pPr>
              <w:pStyle w:val="Compact"/>
              <w:jc w:val="left"/>
            </w:pPr>
            <w:r>
              <w:t xml:space="preserve">AUC / ROC</w:t>
            </w:r>
          </w:p>
        </w:tc>
        <w:tc>
          <w:p>
            <w:pPr>
              <w:pStyle w:val="Compact"/>
              <w:jc w:val="left"/>
            </w:pPr>
            <w:r>
              <w:t xml:space="preserve">Area Under Curve / Receiver Operating Characteristic</w:t>
            </w:r>
          </w:p>
        </w:tc>
      </w:tr>
      <w:tr>
        <w:tc>
          <w:p>
            <w:pPr>
              <w:pStyle w:val="Compact"/>
              <w:jc w:val="left"/>
            </w:pPr>
            <w:r>
              <w:t xml:space="preserve">MAE / MSE / RMSE</w:t>
            </w:r>
          </w:p>
        </w:tc>
        <w:tc>
          <w:p>
            <w:pPr>
              <w:pStyle w:val="Compact"/>
              <w:jc w:val="left"/>
            </w:pPr>
            <w:r>
              <w:t xml:space="preserve">Mean Absolute / Squared / Root-Mean-Squared Error</w:t>
            </w:r>
          </w:p>
        </w:tc>
      </w:tr>
      <w:tr>
        <w:tc>
          <w:p>
            <w:pPr>
              <w:pStyle w:val="Compact"/>
              <w:jc w:val="left"/>
            </w:pPr>
            <w:r>
              <w:t xml:space="preserve">MATLAB</w:t>
            </w:r>
          </w:p>
        </w:tc>
        <w:tc>
          <w:p>
            <w:pPr>
              <w:pStyle w:val="Compact"/>
              <w:jc w:val="left"/>
            </w:pPr>
            <w:r>
              <w:t xml:space="preserve">Matrix Laboratory</w:t>
            </w:r>
          </w:p>
        </w:tc>
      </w:tr>
      <w:tr>
        <w:tc>
          <w:p>
            <w:pPr>
              <w:pStyle w:val="Compact"/>
              <w:jc w:val="left"/>
            </w:pPr>
            <w:r>
              <w:t xml:space="preserve">ONNX</w:t>
            </w:r>
          </w:p>
        </w:tc>
        <w:tc>
          <w:p>
            <w:pPr>
              <w:pStyle w:val="Compact"/>
              <w:jc w:val="left"/>
            </w:pPr>
            <w:r>
              <w:t xml:space="preserve">Open Neural Network Exchange</w:t>
            </w:r>
          </w:p>
        </w:tc>
      </w:tr>
      <w:tr>
        <w:tc>
          <w:p>
            <w:pPr>
              <w:pStyle w:val="Compact"/>
              <w:jc w:val="left"/>
            </w:pPr>
            <w:r>
              <w:t xml:space="preserve">HIL</w:t>
            </w:r>
          </w:p>
        </w:tc>
        <w:tc>
          <w:p>
            <w:pPr>
              <w:pStyle w:val="Compact"/>
              <w:jc w:val="left"/>
            </w:pPr>
            <w:r>
              <w:t xml:space="preserve">Hardware-in-the-Loop</w:t>
            </w:r>
          </w:p>
        </w:tc>
      </w:tr>
      <w:tr>
        <w:tc>
          <w:p>
            <w:pPr>
              <w:pStyle w:val="Compact"/>
              <w:jc w:val="left"/>
            </w:pPr>
            <w:r>
              <w:t xml:space="preserve">FPGA / GPU / CPU</w:t>
            </w:r>
          </w:p>
        </w:tc>
        <w:tc>
          <w:p>
            <w:pPr>
              <w:pStyle w:val="Compact"/>
              <w:jc w:val="left"/>
            </w:pPr>
            <w:r>
              <w:t xml:space="preserve">Field-Programmable Gate Array / Graphics / Central Processing Unit</w:t>
            </w:r>
          </w:p>
        </w:tc>
      </w:tr>
      <w:tr>
        <w:tc>
          <w:p>
            <w:pPr>
              <w:pStyle w:val="Compact"/>
              <w:jc w:val="left"/>
            </w:pPr>
            <w:r>
              <w:t xml:space="preserve">SNR</w:t>
            </w:r>
          </w:p>
        </w:tc>
        <w:tc>
          <w:p>
            <w:pPr>
              <w:pStyle w:val="Compact"/>
              <w:jc w:val="left"/>
            </w:pPr>
            <w:r>
              <w:t xml:space="preserve">Signal-to-Noise Ratio</w:t>
            </w:r>
          </w:p>
        </w:tc>
      </w:tr>
      <w:tr>
        <w:tc>
          <w:p>
            <w:pPr>
              <w:pStyle w:val="Compact"/>
              <w:jc w:val="left"/>
            </w:pPr>
            <w:r>
              <w:t xml:space="preserve">IEEE / IEC</w:t>
            </w:r>
          </w:p>
        </w:tc>
        <w:tc>
          <w:p>
            <w:pPr>
              <w:pStyle w:val="Compact"/>
              <w:jc w:val="left"/>
            </w:pPr>
            <w:r>
              <w:t xml:space="preserve">Inst. of Electrical and Electronics Engineers / Int. Electrotechnical Commission</w:t>
            </w:r>
          </w:p>
        </w:tc>
      </w:tr>
    </w:tbl>
    <w:p>
      <w:pPr>
        <w:pStyle w:val="Heading1"/>
      </w:pPr>
      <w:bookmarkStart w:id="21" w:name="introduction"/>
      <w:r>
        <w:t xml:space="preserve">Introduction</w:t>
      </w:r>
      <w:bookmarkEnd w:id="21"/>
    </w:p>
    <w:p>
      <w:pPr>
        <w:pStyle w:val="Heading2"/>
      </w:pPr>
      <w:bookmarkStart w:id="22" w:name="background"/>
      <w:r>
        <w:t xml:space="preserve">Background</w:t>
      </w:r>
      <w:bookmarkEnd w:id="22"/>
    </w:p>
    <w:p>
      <w:pPr>
        <w:pStyle w:val="FirstParagraph"/>
      </w:pPr>
      <w:r>
        <w:t xml:space="preserve">Power transformers are among the most critical and capital-intensive assets in electrical power systems, serving as the essential link between generation, transmission, and distribution networks [1]. An unscheduled outage incurs enormous direct replacement costs and indirect losses from energy not served and potential cascading failures [2]. Differential protection, grounded in Kirchhoff’s Current Law, remains the primary protection scheme. Under healthy conditions, the primary and secondary currents are related by the turns ratio</w:t>
      </w:r>
      <w:r>
        <w:t xml:space="preserve"> </w:t>
      </w:r>
      <m:oMath>
        <m:r>
          <m:t>n</m:t>
        </m:r>
      </m:oMath>
      <w:r>
        <w:t xml:space="preserve">:</w:t>
      </w:r>
    </w:p>
    <w:p>
      <w:pPr>
        <w:pStyle w:val="BodyText"/>
      </w:pPr>
      <m:oMathPara>
        <m:oMathParaPr>
          <m:jc m:val="center"/>
        </m:oMathParaPr>
        <m:oMath>
          <m:sSub>
            <m:e>
              <m:r>
                <m:t>I</m:t>
              </m:r>
            </m:e>
            <m:sub>
              <m:r>
                <m:t>p</m:t>
              </m:r>
              <m:r>
                <m:t>r</m:t>
              </m:r>
              <m:r>
                <m:t>i</m:t>
              </m:r>
              <m:r>
                <m:t>m</m:t>
              </m:r>
              <m:r>
                <m:t>a</m:t>
              </m:r>
              <m:r>
                <m:t>r</m:t>
              </m:r>
              <m:r>
                <m:t>y</m:t>
              </m:r>
            </m:sub>
          </m:sSub>
          <m:r>
            <m:t>−</m:t>
          </m:r>
          <m:f>
            <m:fPr>
              <m:type m:val="bar"/>
            </m:fPr>
            <m:num>
              <m:sSub>
                <m:e>
                  <m:r>
                    <m:t>I</m:t>
                  </m:r>
                </m:e>
                <m:sub>
                  <m:r>
                    <m:t>s</m:t>
                  </m:r>
                  <m:r>
                    <m:t>e</m:t>
                  </m:r>
                  <m:r>
                    <m:t>c</m:t>
                  </m:r>
                  <m:r>
                    <m:t>o</m:t>
                  </m:r>
                  <m:r>
                    <m:t>n</m:t>
                  </m:r>
                  <m:r>
                    <m:t>d</m:t>
                  </m:r>
                  <m:r>
                    <m:t>a</m:t>
                  </m:r>
                  <m:r>
                    <m:t>r</m:t>
                  </m:r>
                  <m:r>
                    <m:t>y</m:t>
                  </m:r>
                </m:sub>
              </m:sSub>
            </m:num>
            <m:den>
              <m:r>
                <m:t>n</m:t>
              </m:r>
            </m:den>
          </m:f>
          <m:r>
            <m:t>≈</m:t>
          </m:r>
          <m:r>
            <m:t>0</m:t>
          </m:r>
          <m:r>
            <m:t>.</m:t>
          </m:r>
        </m:oMath>
      </m:oMathPara>
    </w:p>
    <w:p>
      <w:pPr>
        <w:pStyle w:val="FirstParagraph"/>
      </w:pPr>
      <w:r>
        <w:t xml:space="preserve">When an internal fault occurs, this balance is disrupted and the differential current becomes significantly nonzero, triggering relay operation [3].</w:t>
      </w:r>
    </w:p>
    <w:p>
      <w:pPr>
        <w:pStyle w:val="BodyText"/>
      </w:pPr>
      <w:r>
        <w:t xml:space="preserve">However, several phenomena produce substantial differential currents without internal faults. Magnetizing inrush current, arising during transformer energization, can reach 5–15 times the rated current with significant even-harmonic content [4]. Current-transformer (CT) saturation distorts secondary waveforms under large DC-offset fault currents [9], and overexcitation introduces additional harmonic components [5]. Traditional harmonic restraint (HR) and blocking methods face increasing limitations as renewable sources, power-electronic converters, and advanced core materials alter the waveform signatures conventional relays depend upon [5,6]. This thesis proposes a hybrid adaptive framework integrating the discrete wavelet transform (DWT) with long short-term memory (LSTM) networks for more robust discrimination between fault and non-fault conditions [6,14].</w:t>
      </w:r>
    </w:p>
    <w:p>
      <w:pPr>
        <w:pStyle w:val="CaptionedFigure"/>
      </w:pPr>
      <w:bookmarkStart w:id="24" w:name="fig:1.1"/>
      <w:r>
        <w:drawing>
          <wp:inline>
            <wp:extent cx="5334000" cy="4002324"/>
            <wp:effectExtent b="0" l="0" r="0" t="0"/>
            <wp:docPr descr="Single-line diagram of the 300 MVA, 230/11 kV Yd1 power transformer and its differential (87T) protection scheme." title="" id="1" name="Picture"/>
            <a:graphic>
              <a:graphicData uri="http://schemas.openxmlformats.org/drawingml/2006/picture">
                <pic:pic>
                  <pic:nvPicPr>
                    <pic:cNvPr descr="sld.png" id="0" name="Picture"/>
                    <pic:cNvPicPr>
                      <a:picLocks noChangeArrowheads="1" noChangeAspect="1"/>
                    </pic:cNvPicPr>
                  </pic:nvPicPr>
                  <pic:blipFill>
                    <a:blip r:embed="rId23"/>
                    <a:stretch>
                      <a:fillRect/>
                    </a:stretch>
                  </pic:blipFill>
                  <pic:spPr bwMode="auto">
                    <a:xfrm>
                      <a:off x="0" y="0"/>
                      <a:ext cx="5334000" cy="4002324"/>
                    </a:xfrm>
                    <a:prstGeom prst="rect">
                      <a:avLst/>
                    </a:prstGeom>
                    <a:noFill/>
                    <a:ln w="9525">
                      <a:noFill/>
                      <a:headEnd/>
                      <a:tailEnd/>
                    </a:ln>
                  </pic:spPr>
                </pic:pic>
              </a:graphicData>
            </a:graphic>
          </wp:inline>
        </w:drawing>
      </w:r>
      <w:bookmarkEnd w:id="24"/>
    </w:p>
    <w:p>
      <w:pPr>
        <w:pStyle w:val="ImageCaption"/>
      </w:pPr>
      <w:r>
        <w:t xml:space="preserve">Single-line diagram of the 300 MVA, 230/11 kV Yd1 power transformer and its differential (87T) protection scheme.</w:t>
      </w:r>
    </w:p>
    <w:p>
      <w:pPr>
        <w:pStyle w:val="Heading2"/>
      </w:pPr>
      <w:bookmarkStart w:id="25" w:name="research-motivation"/>
      <w:r>
        <w:t xml:space="preserve">Research Motivation</w:t>
      </w:r>
      <w:bookmarkEnd w:id="25"/>
    </w:p>
    <w:p>
      <w:pPr>
        <w:pStyle w:val="FirstParagraph"/>
      </w:pPr>
      <w:r>
        <w:t xml:space="preserve">The reliability of differential protection is increasingly threatened by compounding factors. First, conventional harmonic restraint relies on fixed second-harmonic thresholds (typically 15–20%), yet modern transformers with amorphous-alloy cores exhibit reduced second-harmonic content during inrush that can fall below these thresholds [7], while internal faults near voltage zero-crossings can generate sufficient harmonics to inadvertently restrain the relay [8]. Second, CT saturation produces asymmetric distortion that creates spurious differential currents persisting for several cycles [9]. Third, advanced core materials exhibit steeper</w:t>
      </w:r>
      <w:r>
        <w:t xml:space="preserve"> </w:t>
      </w:r>
      <m:oMath>
        <m:r>
          <m:t>B</m:t>
        </m:r>
      </m:oMath>
      <w:r>
        <w:t xml:space="preserve">–</w:t>
      </w:r>
      <m:oMath>
        <m:r>
          <m:t>H</m:t>
        </m:r>
      </m:oMath>
      <w:r>
        <w:t xml:space="preserve"> </w:t>
      </w:r>
      <w:r>
        <w:t xml:space="preserve">curves with altered harmonic signatures [11]. Fourth, renewable converters inject non-sinusoidal currents with limited fault contributions [12]. Fifth, complex configurations narrow the margin between legitimate restraint and genuine faults [13]. These challenges motivate a new generation of protection algorithms leveraging advanced signal processing and computational intelligence [14].</w:t>
      </w:r>
    </w:p>
    <w:p>
      <w:pPr>
        <w:pStyle w:val="Heading2"/>
      </w:pPr>
      <w:bookmarkStart w:id="26" w:name="problem-statement"/>
      <w:r>
        <w:t xml:space="preserve">Problem Statement</w:t>
      </w:r>
      <w:bookmarkEnd w:id="26"/>
    </w:p>
    <w:p>
      <w:pPr>
        <w:pStyle w:val="FirstParagraph"/>
      </w:pPr>
      <w:r>
        <w:t xml:space="preserve">Despite over a century of development, transformer differential protection schemes continue to experience maloperations at unacceptable rates.</w:t>
      </w:r>
      <w:r>
        <w:t xml:space="preserve"> </w:t>
      </w:r>
      <w:r>
        <w:rPr>
          <w:b/>
        </w:rPr>
        <w:t xml:space="preserve">Given</w:t>
      </w:r>
      <w:r>
        <w:t xml:space="preserve"> </w:t>
      </w:r>
      <w:r>
        <w:t xml:space="preserve">time-series differential current signals</w:t>
      </w:r>
      <w:r>
        <w:t xml:space="preserve"> </w:t>
      </w:r>
      <m:oMath>
        <m:r>
          <m:t>{</m:t>
        </m:r>
        <m:sSub>
          <m:e>
            <m:r>
              <m:t>I</m:t>
            </m:r>
          </m:e>
          <m:sub>
            <m:r>
              <m:t>d</m:t>
            </m:r>
          </m:sub>
        </m:sSub>
        <m:r>
          <m:t>(</m:t>
        </m:r>
        <m:r>
          <m:t>t</m:t>
        </m:r>
        <m:r>
          <m:t>)</m:t>
        </m:r>
        <m:r>
          <m:t>}</m:t>
        </m:r>
      </m:oMath>
      <w:r>
        <w:t xml:space="preserve"> </w:t>
      </w:r>
      <w:r>
        <w:t xml:space="preserve">sampled at</w:t>
      </w:r>
      <w:r>
        <w:t xml:space="preserve"> </w:t>
      </w:r>
      <m:oMath>
        <m:sSub>
          <m:e>
            <m:r>
              <m:t>f</m:t>
            </m:r>
          </m:e>
          <m:sub>
            <m:r>
              <m:t>s</m:t>
            </m:r>
          </m:sub>
        </m:sSub>
      </m:oMath>
      <w:r>
        <w:t xml:space="preserve">, encompassing internal faults, magnetizing inrush, external faults with CT saturation, overexcitation, and normal load conditions, corrupted by measurement noise and CT errors;</w:t>
      </w:r>
      <w:r>
        <w:t xml:space="preserve"> </w:t>
      </w:r>
      <w:r>
        <w:rPr>
          <w:b/>
        </w:rPr>
        <w:t xml:space="preserve">find</w:t>
      </w:r>
      <w:r>
        <w:t xml:space="preserve"> </w:t>
      </w:r>
      <w:r>
        <w:t xml:space="preserve">a classification function</w:t>
      </w:r>
      <w:r>
        <w:t xml:space="preserve"> </w:t>
      </w:r>
      <m:oMath>
        <m:r>
          <m:t>f</m:t>
        </m:r>
        <m:r>
          <m:t>:</m:t>
        </m:r>
        <m:r>
          <m:rPr>
            <m:sty m:val="p"/>
            <m:scr m:val="script"/>
          </m:rPr>
          <m:t>X</m:t>
        </m:r>
        <m:r>
          <m:t>​</m:t>
        </m:r>
        <m:r>
          <m:t>→</m:t>
        </m:r>
        <m:r>
          <m:t>​</m:t>
        </m:r>
        <m:r>
          <m:rPr>
            <m:sty m:val="p"/>
            <m:scr m:val="script"/>
          </m:rPr>
          <m:t>Y</m:t>
        </m:r>
      </m:oMath>
      <w:r>
        <w:t xml:space="preserve"> </w:t>
      </w:r>
      <w:r>
        <w:t xml:space="preserve">mapping</w:t>
      </w:r>
      <w:r>
        <w:t xml:space="preserve"> </w:t>
      </w:r>
      <m:oMath>
        <m:r>
          <m:t>x</m:t>
        </m:r>
        <m:r>
          <m:t>∈</m:t>
        </m:r>
        <m:r>
          <m:rPr>
            <m:sty m:val="p"/>
            <m:scr m:val="script"/>
          </m:rPr>
          <m:t>X</m:t>
        </m:r>
      </m:oMath>
      <w:r>
        <w:t xml:space="preserve"> </w:t>
      </w:r>
      <w:r>
        <w:t xml:space="preserve">to</w:t>
      </w:r>
      <w:r>
        <w:t xml:space="preserve"> </w:t>
      </w:r>
      <m:oMath>
        <m:r>
          <m:rPr>
            <m:sty m:val="p"/>
            <m:scr m:val="script"/>
          </m:rPr>
          <m:t>Y</m:t>
        </m:r>
        <m:r>
          <m:t>=</m:t>
        </m:r>
        <m:r>
          <m:t>{</m:t>
        </m:r>
      </m:oMath>
      <w:r>
        <w:t xml:space="preserve">Trip, No-Trip</w:t>
      </w:r>
      <m:oMath>
        <m:r>
          <m:t>}</m:t>
        </m:r>
      </m:oMath>
      <w:r>
        <w:t xml:space="preserve"> </w:t>
      </w:r>
      <w:r>
        <w:t xml:space="preserve">with high accuracy;</w:t>
      </w:r>
      <w:r>
        <w:t xml:space="preserve"> </w:t>
      </w:r>
      <w:r>
        <w:rPr>
          <w:b/>
        </w:rPr>
        <w:t xml:space="preserve">subject to</w:t>
      </w:r>
      <w:r>
        <w:t xml:space="preserve"> </w:t>
      </w:r>
      <w:r>
        <w:t xml:space="preserve">operating time within a half-cycle (10 ms at 50 Hz), missed-detection probability</w:t>
      </w:r>
      <w:r>
        <w:t xml:space="preserve"> </w:t>
      </w:r>
      <m:oMath>
        <m:sSub>
          <m:e>
            <m:r>
              <m:t>P</m:t>
            </m:r>
          </m:e>
          <m:sub>
            <m:r>
              <m:t>m</m:t>
            </m:r>
            <m:r>
              <m:t>i</m:t>
            </m:r>
            <m:r>
              <m:t>s</m:t>
            </m:r>
            <m:r>
              <m:t>s</m:t>
            </m:r>
          </m:sub>
        </m:sSub>
        <m:r>
          <m:t>≤</m:t>
        </m:r>
        <m:r>
          <m:t>0.01</m:t>
        </m:r>
      </m:oMath>
      <w:r>
        <w:t xml:space="preserve">, false-trip probability</w:t>
      </w:r>
      <w:r>
        <w:t xml:space="preserve"> </w:t>
      </w:r>
      <m:oMath>
        <m:sSub>
          <m:e>
            <m:r>
              <m:t>P</m:t>
            </m:r>
          </m:e>
          <m:sub>
            <m:r>
              <m:t>f</m:t>
            </m:r>
            <m:r>
              <m:t>a</m:t>
            </m:r>
            <m:r>
              <m:t>l</m:t>
            </m:r>
            <m:r>
              <m:t>s</m:t>
            </m:r>
            <m:r>
              <m:t>e</m:t>
            </m:r>
          </m:sub>
        </m:sSub>
        <m:r>
          <m:t>≤</m:t>
        </m:r>
        <m:r>
          <m:t>0.01</m:t>
        </m:r>
      </m:oMath>
      <w:r>
        <w:t xml:space="preserve">, robustness across operating states, and generalization to unseen conditions. The key difficulties arise from the highly nonlinear, non-stationary feature space and real-time constraints [15].</w:t>
      </w:r>
    </w:p>
    <w:p>
      <w:pPr>
        <w:pStyle w:val="Heading2"/>
      </w:pPr>
      <w:bookmarkStart w:id="27" w:name="research-objectives"/>
      <w:r>
        <w:t xml:space="preserve">Research Objectives</w:t>
      </w:r>
      <w:bookmarkEnd w:id="27"/>
    </w:p>
    <w:p>
      <w:pPr>
        <w:numPr>
          <w:ilvl w:val="0"/>
          <w:numId w:val="1001"/>
        </w:numPr>
      </w:pPr>
      <w:r>
        <w:rPr>
          <w:b/>
        </w:rPr>
        <w:t xml:space="preserve">Simulation model and data generation.</w:t>
      </w:r>
      <w:r>
        <w:t xml:space="preserve"> </w:t>
      </w:r>
      <w:r>
        <w:t xml:space="preserve">Develop a detailed EMT model of a transformer protection system in MATLAB/Simulink, generating differential-current signals for internal faults, magnetizing inrush (including sympathetic), external faults with CT saturation, and normal load [19].</w:t>
      </w:r>
    </w:p>
    <w:p>
      <w:pPr>
        <w:numPr>
          <w:ilvl w:val="0"/>
          <w:numId w:val="1001"/>
        </w:numPr>
      </w:pPr>
      <w:r>
        <w:rPr>
          <w:b/>
        </w:rPr>
        <w:t xml:space="preserve">Optimal DWT feature extraction.</w:t>
      </w:r>
      <w:r>
        <w:t xml:space="preserve"> </w:t>
      </w:r>
      <w:r>
        <w:t xml:space="preserve">Optimize the mother wavelet, decomposition level, and feature set maximizing fault/non-fault separability [20].</w:t>
      </w:r>
    </w:p>
    <w:p>
      <w:pPr>
        <w:numPr>
          <w:ilvl w:val="0"/>
          <w:numId w:val="1001"/>
        </w:numPr>
      </w:pPr>
      <w:r>
        <w:rPr>
          <w:b/>
        </w:rPr>
        <w:t xml:space="preserve">Hybrid DWT–LSTM classification and adaptive logic.</w:t>
      </w:r>
      <w:r>
        <w:t xml:space="preserve"> </w:t>
      </w:r>
      <w:r>
        <w:t xml:space="preserve">Integrate wavelet feature extraction with LSTM temporal modeling and develop adaptive decision-making with confidence-based thresholds [1,2].</w:t>
      </w:r>
    </w:p>
    <w:p>
      <w:pPr>
        <w:numPr>
          <w:ilvl w:val="0"/>
          <w:numId w:val="1001"/>
        </w:numPr>
      </w:pPr>
      <w:r>
        <w:rPr>
          <w:b/>
        </w:rPr>
        <w:t xml:space="preserve">Evaluation, benchmarking, and robustness.</w:t>
      </w:r>
      <w:r>
        <w:t xml:space="preserve"> </w:t>
      </w:r>
      <w:r>
        <w:t xml:space="preserve">Benchmark against harmonic restraint, ANN, SVM, and CNN methods and assess robustness under noise, CT errors, frequency deviation, and distribution shift [3,21].</w:t>
      </w:r>
    </w:p>
    <w:p>
      <w:pPr>
        <w:pStyle w:val="Heading2"/>
      </w:pPr>
      <w:bookmarkStart w:id="28" w:name="scope-and-limitations"/>
      <w:r>
        <w:t xml:space="preserve">Scope and Limitations</w:t>
      </w:r>
      <w:bookmarkEnd w:id="28"/>
    </w:p>
    <w:p>
      <w:pPr>
        <w:pStyle w:val="Heading3"/>
      </w:pPr>
      <w:bookmarkStart w:id="29" w:name="scope"/>
      <w:r>
        <w:t xml:space="preserve">Scope</w:t>
      </w:r>
      <w:bookmarkEnd w:id="29"/>
    </w:p>
    <w:p>
      <w:pPr>
        <w:pStyle w:val="FirstParagraph"/>
      </w:pPr>
      <w:r>
        <w:t xml:space="preserve">A two-winding 300 MVA, 230/11 kV, Yd1 transformer is modeled in detail; generalization to other ratings and vector groups is future work. Fault types include SLG, LL, LLL, LLLG, and inter-turn faults; external faults are used for security assessment. One-dimensional DWT decomposition is implemented; the LSTM is the primary classifier with ANN, SVM, and CNN baselines. Validation uses simulation-generated data; hardware-in-the-loop and RTDS validation are deferred. The system is configured for 50 Hz.</w:t>
      </w:r>
    </w:p>
    <w:p>
      <w:pPr>
        <w:pStyle w:val="Heading3"/>
      </w:pPr>
      <w:bookmarkStart w:id="30" w:name="limitations"/>
      <w:r>
        <w:t xml:space="preserve">Limitations</w:t>
      </w:r>
      <w:bookmarkEnd w:id="30"/>
    </w:p>
    <w:p>
      <w:pPr>
        <w:pStyle w:val="FirstParagraph"/>
      </w:pPr>
      <w:r>
        <w:t xml:space="preserve">Training data is simulation-generated; no physical-relay validation is performed; class imbalance is mitigated by augmentation; the adaptive threshold targets static loading; and IEC 61850 communication failures are not considered.</w:t>
      </w:r>
    </w:p>
    <w:p>
      <w:pPr>
        <w:pStyle w:val="Heading2"/>
      </w:pPr>
      <w:bookmarkStart w:id="31" w:name="contributions-of-this-work"/>
      <w:r>
        <w:t xml:space="preserve">Contributions of This Work</w:t>
      </w:r>
      <w:bookmarkEnd w:id="31"/>
    </w:p>
    <w:p>
      <w:pPr>
        <w:pStyle w:val="FirstParagraph"/>
      </w:pPr>
      <w:r>
        <w:rPr>
          <w:b/>
        </w:rPr>
        <w:t xml:space="preserve">(1)</w:t>
      </w:r>
      <w:r>
        <w:t xml:space="preserve"> </w:t>
      </w:r>
      <w:r>
        <w:t xml:space="preserve">A systematic wavelet feature-selection framework using Fisher’s discriminant ratio and mutual information [22].</w:t>
      </w:r>
      <w:r>
        <w:t xml:space="preserve"> </w:t>
      </w:r>
      <w:r>
        <w:rPr>
          <w:b/>
        </w:rPr>
        <w:t xml:space="preserve">(2)</w:t>
      </w:r>
      <w:r>
        <w:t xml:space="preserve"> </w:t>
      </w:r>
      <w:r>
        <w:t xml:space="preserve">A novel serial DWT–LSTM architecture combining localized time-frequency decomposition with long-term temporal modeling, benchmarked across seven methods [1,23].</w:t>
      </w:r>
      <w:r>
        <w:t xml:space="preserve"> </w:t>
      </w:r>
      <w:r>
        <w:rPr>
          <w:b/>
        </w:rPr>
        <w:t xml:space="preserve">(3)</w:t>
      </w:r>
      <w:r>
        <w:t xml:space="preserve"> </w:t>
      </w:r>
      <w:r>
        <w:t xml:space="preserve">An adaptive decision framework with confidence-based thresholds and a probabilistic uncertainty layer, validated under noise (20–60 dB SNR), CT errors (</w:t>
      </w:r>
      <m:oMath>
        <m:r>
          <m:t>±</m:t>
        </m:r>
        <m:r>
          <m:t>5</m:t>
        </m:r>
        <m:r>
          <m:t>%</m:t>
        </m:r>
      </m:oMath>
      <w:r>
        <w:t xml:space="preserve">), frequency deviation, and distribution shift [2,24].</w:t>
      </w:r>
    </w:p>
    <w:p>
      <w:pPr>
        <w:pStyle w:val="Heading2"/>
      </w:pPr>
      <w:bookmarkStart w:id="32" w:name="thesis-organization"/>
      <w:r>
        <w:t xml:space="preserve">Thesis Organization</w:t>
      </w:r>
      <w:bookmarkEnd w:id="32"/>
    </w:p>
    <w:p>
      <w:pPr>
        <w:pStyle w:val="FirstParagraph"/>
      </w:pPr>
      <w:r>
        <w:t xml:space="preserve">Chapter 2 reviews the literature and identifies research gaps. Chapter 3 establishes the mathematical foundations. Chapter 4 details the MATLAB/Simulink model and dataset. Chapter 5 presents the DWT–LSTM methodology. Chapter 6 reports results, benchmarking, and robustness. Chapter 7 concludes and outlines future work.</w:t>
      </w:r>
    </w:p>
    <w:p>
      <w:pPr>
        <w:pStyle w:val="Heading1"/>
      </w:pPr>
      <w:bookmarkStart w:id="33" w:name="literature-review"/>
      <w:r>
        <w:t xml:space="preserve">Literature Review</w:t>
      </w:r>
      <w:bookmarkEnd w:id="33"/>
    </w:p>
    <w:p>
      <w:pPr>
        <w:pStyle w:val="Heading2"/>
      </w:pPr>
      <w:bookmarkStart w:id="34" w:name="introduction-1"/>
      <w:r>
        <w:t xml:space="preserve">Introduction</w:t>
      </w:r>
      <w:bookmarkEnd w:id="34"/>
    </w:p>
    <w:p>
      <w:pPr>
        <w:pStyle w:val="FirstParagraph"/>
      </w:pPr>
      <w:r>
        <w:t xml:space="preserve">This chapter critically reviews transformer differential protection, spanning conventional harmonic restraint and waveform-based methods, signal-processing techniques, machine-learning approaches (ANN, SVM, PNN, ensembles), and deep-learning architectures (CNN, RNN, LSTM), identifying the research gaps that motivate the proposed hybrid framework. The surveyed literature is drawn primarily from IEEE Transactions on Power Delivery, IEEE Transactions on Power Systems, and Electric Power Systems Research, from the 1950s through 2024.</w:t>
      </w:r>
    </w:p>
    <w:p>
      <w:pPr>
        <w:pStyle w:val="Heading2"/>
      </w:pPr>
      <w:bookmarkStart w:id="35" w:name="X9320d8e205ecd4c698ec3eae43ab628a5a7766e"/>
      <w:r>
        <w:t xml:space="preserve">Conventional Differential Protection Methods</w:t>
      </w:r>
      <w:bookmarkEnd w:id="35"/>
    </w:p>
    <w:p>
      <w:pPr>
        <w:pStyle w:val="Heading3"/>
      </w:pPr>
      <w:bookmarkStart w:id="36" w:name="harmonic-restraint-methods"/>
      <w:r>
        <w:t xml:space="preserve">Harmonic Restraint Methods</w:t>
      </w:r>
      <w:bookmarkEnd w:id="36"/>
    </w:p>
    <w:p>
      <w:pPr>
        <w:pStyle w:val="FirstParagraph"/>
      </w:pPr>
      <w:r>
        <w:t xml:space="preserve">The harmonic restraint method, first proposed by Sharp and Glassburn in 1958, is the most widely deployed technique for discriminating inrush from internal faults [7]. Inrush currents contain significant even-harmonic content (the second-harmonic ratio</w:t>
      </w:r>
      <w:r>
        <w:t xml:space="preserve"> </w:t>
      </w:r>
      <m:oMath>
        <m:sSub>
          <m:e>
            <m:r>
              <m:t>k</m:t>
            </m:r>
          </m:e>
          <m:sub>
            <m:r>
              <m:t>2</m:t>
            </m:r>
          </m:sub>
        </m:sSub>
        <m:r>
          <m:t>=</m:t>
        </m:r>
        <m:sSub>
          <m:e>
            <m:r>
              <m:t>I</m:t>
            </m:r>
          </m:e>
          <m:sub>
            <m:r>
              <m:t>2</m:t>
            </m:r>
          </m:sub>
        </m:sSub>
        <m:r>
          <m:t>/</m:t>
        </m:r>
        <m:sSub>
          <m:e>
            <m:r>
              <m:t>I</m:t>
            </m:r>
          </m:e>
          <m:sub>
            <m:r>
              <m:t>1</m:t>
            </m:r>
          </m:sub>
        </m:sSub>
      </m:oMath>
      <w:r>
        <w:t xml:space="preserve"> </w:t>
      </w:r>
      <w:r>
        <w:t xml:space="preserve">typically 15–60%), while internal faults are predominantly fundamental. The relay trips only when</w:t>
      </w:r>
    </w:p>
    <w:p>
      <w:pPr>
        <w:pStyle w:val="BodyText"/>
      </w:pPr>
      <m:oMathPara>
        <m:oMathParaPr>
          <m:jc m:val="center"/>
        </m:oMathParaPr>
        <m:oMath>
          <m:sSub>
            <m:e>
              <m:r>
                <m:t>I</m:t>
              </m:r>
            </m:e>
            <m:sub>
              <m:r>
                <m:t>d</m:t>
              </m:r>
            </m:sub>
          </m:sSub>
          <m:r>
            <m:t>&gt;</m:t>
          </m:r>
          <m:sSub>
            <m:e>
              <m:r>
                <m:t>I</m:t>
              </m:r>
            </m:e>
            <m:sub>
              <m:r>
                <m:t>p</m:t>
              </m:r>
              <m:r>
                <m:t>i</m:t>
              </m:r>
              <m:r>
                <m:t>c</m:t>
              </m:r>
              <m:r>
                <m:t>k</m:t>
              </m:r>
              <m:r>
                <m:t>u</m:t>
              </m:r>
              <m:r>
                <m:t>p</m:t>
              </m:r>
            </m:sub>
          </m:sSub>
          <m:r>
            <m:t>,</m:t>
          </m:r>
          <m:r>
            <m:t> </m:t>
          </m:r>
          <m:sSub>
            <m:e>
              <m:r>
                <m:t>I</m:t>
              </m:r>
            </m:e>
            <m:sub>
              <m:r>
                <m:t>d</m:t>
              </m:r>
            </m:sub>
          </m:sSub>
          <m:r>
            <m:t>&gt;</m:t>
          </m:r>
          <m:r>
            <m:t>S</m:t>
          </m:r>
          <m:r>
            <m:t> </m:t>
          </m:r>
          <m:sSub>
            <m:e>
              <m:r>
                <m:t>I</m:t>
              </m:r>
            </m:e>
            <m:sub>
              <m:r>
                <m:t>r</m:t>
              </m:r>
            </m:sub>
          </m:sSub>
          <m:r>
            <m:t>,</m:t>
          </m:r>
          <m:r>
            <m:t> </m:t>
          </m:r>
          <m:f>
            <m:fPr>
              <m:type m:val="bar"/>
            </m:fPr>
            <m:num>
              <m:sSub>
                <m:e>
                  <m:r>
                    <m:t>I</m:t>
                  </m:r>
                </m:e>
                <m:sub>
                  <m:r>
                    <m:t>2</m:t>
                  </m:r>
                </m:sub>
              </m:sSub>
            </m:num>
            <m:den>
              <m:sSub>
                <m:e>
                  <m:r>
                    <m:t>I</m:t>
                  </m:r>
                </m:e>
                <m:sub>
                  <m:r>
                    <m:t>1</m:t>
                  </m:r>
                </m:sub>
              </m:sSub>
            </m:den>
          </m:f>
          <m:r>
            <m:t>&lt;</m:t>
          </m:r>
          <m:sSub>
            <m:e>
              <m:r>
                <m:t>k</m:t>
              </m:r>
            </m:e>
            <m:sub>
              <m:r>
                <m:t>t</m:t>
              </m:r>
              <m:r>
                <m:t>h</m:t>
              </m:r>
              <m:r>
                <m:t>r</m:t>
              </m:r>
              <m:r>
                <m:t>e</m:t>
              </m:r>
              <m:r>
                <m:t>s</m:t>
              </m:r>
              <m:r>
                <m:t>h</m:t>
              </m:r>
              <m:r>
                <m:t>o</m:t>
              </m:r>
              <m:r>
                <m:t>l</m:t>
              </m:r>
              <m:r>
                <m:t>d</m:t>
              </m:r>
            </m:sub>
          </m:sSub>
          <m:r>
            <m:t>,</m:t>
          </m:r>
        </m:oMath>
      </m:oMathPara>
    </w:p>
    <w:p>
      <w:pPr>
        <w:pStyle w:val="FirstParagraph"/>
      </w:pPr>
      <w:r>
        <w:t xml:space="preserve">with</w:t>
      </w:r>
      <w:r>
        <w:t xml:space="preserve"> </w:t>
      </w:r>
      <m:oMath>
        <m:sSub>
          <m:e>
            <m:r>
              <m:t>k</m:t>
            </m:r>
          </m:e>
          <m:sub>
            <m:r>
              <m:t>t</m:t>
            </m:r>
            <m:r>
              <m:t>h</m:t>
            </m:r>
            <m:r>
              <m:t>r</m:t>
            </m:r>
            <m:r>
              <m:t>e</m:t>
            </m:r>
            <m:r>
              <m:t>s</m:t>
            </m:r>
            <m:r>
              <m:t>h</m:t>
            </m:r>
            <m:r>
              <m:t>o</m:t>
            </m:r>
            <m:r>
              <m:t>l</m:t>
            </m:r>
            <m:r>
              <m:t>d</m:t>
            </m:r>
          </m:sub>
        </m:sSub>
      </m:oMath>
      <w:r>
        <w:t xml:space="preserve"> </w:t>
      </w:r>
      <w:r>
        <w:t xml:space="preserve">typically set between 15% and 20%. Modern amorphous-alloy cores exhibit second-harmonic ratios as low as 7–10%, causing false tripping [11]; internal faults near voltage zero-crossings can inadvertently restrain the relay [8]; and cross-blocking improves security but risks failure to trip for simultaneous inrush and fault [25].</w:t>
      </w:r>
    </w:p>
    <w:p>
      <w:pPr>
        <w:pStyle w:val="Heading3"/>
      </w:pPr>
      <w:bookmarkStart w:id="37" w:name="Xfeb41729a6cf794c14082a4f8c8c4d8477dbbe8"/>
      <w:r>
        <w:t xml:space="preserve">Waveform-Based and Equivalent-Circuit Methods</w:t>
      </w:r>
      <w:bookmarkEnd w:id="37"/>
    </w:p>
    <w:p>
      <w:pPr>
        <w:pStyle w:val="FirstParagraph"/>
      </w:pPr>
      <w:r>
        <w:t xml:space="preserve">Dead-angle methods classify an event as inrush when the per-half-cycle interval with current below a threshold exceeds 65–80</w:t>
      </w:r>
      <m:oMath>
        <m:sSup>
          <m:e>
            <m:r>
              <m:t>​</m:t>
            </m:r>
          </m:e>
          <m:sup>
            <m:r>
              <m:t>∘</m:t>
            </m:r>
          </m:sup>
        </m:sSup>
      </m:oMath>
      <w:r>
        <w:t xml:space="preserve">, but are sensitive to threshold selection, noise, and CT saturation [26]. Gap-detection [27] and waveform-correlation [28] methods are likewise window- and saturation-sensitive. Equivalent-circuit methods detect faults when terminal measurements violate magnetic-circuit equations [29] but require accurate models and voltage measurements [30].</w:t>
      </w:r>
    </w:p>
    <w:p>
      <w:pPr>
        <w:pStyle w:val="Heading2"/>
      </w:pPr>
      <w:bookmarkStart w:id="38" w:name="signal-processing-techniques"/>
      <w:r>
        <w:t xml:space="preserve">Signal Processing Techniques</w:t>
      </w:r>
      <w:bookmarkEnd w:id="38"/>
    </w:p>
    <w:p>
      <w:pPr>
        <w:pStyle w:val="FirstParagraph"/>
      </w:pPr>
      <w:r>
        <w:t xml:space="preserve">The Discrete Fourier Transform provides frequency resolution at the expense of time localization, limiting its ability to capture transient inrush and fault waveforms [31,32]. The wavelet transform overcomes this through simultaneous time-frequency localization. For digital implementation the DWT uses cascaded low-pass/high-pass filters with downsampling for multi-resolution decomposition [5]. db4 at five levels achieved 97.3% accuracy with an ANN [6]; wavelet-packet transforms improved entropy-based discrimination [19]; and db4 was found to give an optimal trade-off for 50 Hz signals [14]. A persistent limitation is that window-wise wavelet features ignore temporal evolution across successive windows.</w:t>
      </w:r>
    </w:p>
    <w:p>
      <w:pPr>
        <w:pStyle w:val="Heading2"/>
      </w:pPr>
      <w:bookmarkStart w:id="39" w:name="machine-learning-approaches"/>
      <w:r>
        <w:t xml:space="preserve">Machine Learning Approaches</w:t>
      </w:r>
      <w:bookmarkEnd w:id="39"/>
    </w:p>
    <w:p>
      <w:pPr>
        <w:pStyle w:val="FirstParagraph"/>
      </w:pPr>
      <w:r>
        <w:rPr>
          <w:b/>
        </w:rPr>
        <w:t xml:space="preserve">ANNs.</w:t>
      </w:r>
      <w:r>
        <w:t xml:space="preserve"> </w:t>
      </w:r>
      <w:r>
        <w:t xml:space="preserve">A three-layer MLP with harmonic features achieved 98.5% accuracy on 2</w:t>
      </w:r>
      <w:r>
        <w:t xml:space="preserve">,</w:t>
      </w:r>
      <w:r>
        <w:t xml:space="preserve">000 simulated events [9], improved to 99.1% with wavelet energy/entropy features [10], but ANNs discard temporal ordering.</w:t>
      </w:r>
      <w:r>
        <w:t xml:space="preserve"> </w:t>
      </w:r>
      <w:r>
        <w:rPr>
          <w:b/>
        </w:rPr>
        <w:t xml:space="preserve">SVMs.</w:t>
      </w:r>
      <w:r>
        <w:t xml:space="preserve"> </w:t>
      </w:r>
      <w:r>
        <w:t xml:space="preserve">RBF-kernel SVMs reached 98.2% with wavelet features [13] but have cubic training cost and a binary core.</w:t>
      </w:r>
      <w:r>
        <w:t xml:space="preserve"> </w:t>
      </w:r>
      <w:r>
        <w:rPr>
          <w:b/>
        </w:rPr>
        <w:t xml:space="preserve">PNNs.</w:t>
      </w:r>
      <w:r>
        <w:t xml:space="preserve"> </w:t>
      </w:r>
      <w:r>
        <w:t xml:space="preserve">Parzen-window PNNs reached 97.8–98.9% [9,25] but scale linearly with samples.</w:t>
      </w:r>
      <w:r>
        <w:t xml:space="preserve"> </w:t>
      </w:r>
      <w:r>
        <w:rPr>
          <w:b/>
        </w:rPr>
        <w:t xml:space="preserve">Ensembles.</w:t>
      </w:r>
      <w:r>
        <w:t xml:space="preserve"> </w:t>
      </w:r>
      <w:r>
        <w:t xml:space="preserve">Random forests on Fourier+wavelet features reached 99.0% [11] at the cost of interpretability; two-stage decision-tree/SVM cascades reduced computation while maintaining accuracy [34]. Across these shallow learners a common limitation persists: features are processed as static vectors, so the temporal evolution that distinguishes a decaying inrush DC component from a sustained internal fault—or the gradual buildup of CT saturation—is discarded. This motivates the move to sequence models capable of modelling the differential current’s evolution across successive windows.</w:t>
      </w:r>
    </w:p>
    <w:p>
      <w:pPr>
        <w:pStyle w:val="Heading2"/>
      </w:pPr>
      <w:bookmarkStart w:id="40" w:name="deep-learning-approaches"/>
      <w:r>
        <w:t xml:space="preserve">Deep Learning Approaches</w:t>
      </w:r>
      <w:bookmarkEnd w:id="40"/>
    </w:p>
    <w:p>
      <w:pPr>
        <w:pStyle w:val="Heading3"/>
      </w:pPr>
      <w:bookmarkStart w:id="41" w:name="cnn-rnn-and-lstm-architectures"/>
      <w:r>
        <w:t xml:space="preserve">CNN, RNN, and LSTM Architectures</w:t>
      </w:r>
      <w:bookmarkEnd w:id="41"/>
    </w:p>
    <w:p>
      <w:pPr>
        <w:pStyle w:val="FirstParagraph"/>
      </w:pPr>
      <w:r>
        <w:t xml:space="preserve">A 1D-CNN at 1 kHz over two-cycle windows reached 98.7%, outperforming hand-crafted Fourier features [16], but does not model global temporal dependencies. RNNs maintain a hidden state but suffer vanishing gradients; the LSTM overcomes this through a gated cell:</w:t>
      </w:r>
    </w:p>
    <w:p>
      <w:pPr>
        <w:pStyle w:val="BodyText"/>
      </w:pPr>
      <m:oMathPara>
        <m:oMathParaPr>
          <m:jc m:val="center"/>
        </m:oMathParaPr>
        <m:oMath>
          <m:m>
            <m:mPr>
              <m:baseJc m:val="center"/>
              <m:plcHide m:val="1"/>
              <m:mcs>
                <m:mc>
                  <m:mcPr>
                    <m:mcJc m:val="right"/>
                    <m:count m:val="1"/>
                  </m:mcPr>
                </m:mc>
                <m:mc>
                  <m:mcPr>
                    <m:mcJc m:val="left"/>
                    <m:count m:val="1"/>
                  </m:mcPr>
                </m:mc>
                <m:mc>
                  <m:mcPr>
                    <m:mcJc m:val="right"/>
                    <m:count m:val="1"/>
                  </m:mcPr>
                </m:mc>
                <m:mc>
                  <m:mcPr>
                    <m:mcJc m:val="left"/>
                    <m:count m:val="1"/>
                  </m:mcPr>
                </m:mc>
              </m:mcs>
            </m:mPr>
            <m:mr>
              <m:e>
                <m:sSub>
                  <m:e>
                    <m:r>
                      <m:t>f</m:t>
                    </m:r>
                  </m:e>
                  <m:sub>
                    <m:r>
                      <m:t>t</m:t>
                    </m:r>
                  </m:sub>
                </m:sSub>
              </m:e>
              <m:e>
                <m:r>
                  <m:t>=</m:t>
                </m:r>
                <m:r>
                  <m:t>σ</m:t>
                </m:r>
                <m:r>
                  <m:t>(</m:t>
                </m:r>
                <m:sSub>
                  <m:e>
                    <m:r>
                      <m:t>W</m:t>
                    </m:r>
                  </m:e>
                  <m:sub>
                    <m:r>
                      <m:t>f</m:t>
                    </m:r>
                  </m:sub>
                </m:sSub>
                <m:r>
                  <m:t>[</m:t>
                </m:r>
                <m:sSub>
                  <m:e>
                    <m:r>
                      <m:t>h</m:t>
                    </m:r>
                  </m:e>
                  <m:sub>
                    <m:r>
                      <m:t>t</m:t>
                    </m:r>
                    <m:r>
                      <m:t>−</m:t>
                    </m:r>
                    <m:r>
                      <m:t>1</m:t>
                    </m:r>
                  </m:sub>
                </m:sSub>
                <m:r>
                  <m:t>,</m:t>
                </m:r>
                <m:sSub>
                  <m:e>
                    <m:r>
                      <m:t>x</m:t>
                    </m:r>
                  </m:e>
                  <m:sub>
                    <m:r>
                      <m:t>t</m:t>
                    </m:r>
                  </m:sub>
                </m:sSub>
                <m:r>
                  <m:t>]</m:t>
                </m:r>
                <m:r>
                  <m:t>+</m:t>
                </m:r>
                <m:sSub>
                  <m:e>
                    <m:r>
                      <m:t>b</m:t>
                    </m:r>
                  </m:e>
                  <m:sub>
                    <m:r>
                      <m:t>f</m:t>
                    </m:r>
                  </m:sub>
                </m:sSub>
                <m:r>
                  <m:t>)</m:t>
                </m:r>
                <m:r>
                  <m:t>,</m:t>
                </m:r>
              </m:e>
              <m:e>
                <m:sSub>
                  <m:e>
                    <m:r>
                      <m:t>i</m:t>
                    </m:r>
                  </m:e>
                  <m:sub>
                    <m:r>
                      <m:t>t</m:t>
                    </m:r>
                  </m:sub>
                </m:sSub>
              </m:e>
              <m:e>
                <m:r>
                  <m:t>=</m:t>
                </m:r>
                <m:r>
                  <m:t>σ</m:t>
                </m:r>
                <m:r>
                  <m:t>(</m:t>
                </m:r>
                <m:sSub>
                  <m:e>
                    <m:r>
                      <m:t>W</m:t>
                    </m:r>
                  </m:e>
                  <m:sub>
                    <m:r>
                      <m:t>i</m:t>
                    </m:r>
                  </m:sub>
                </m:sSub>
                <m:r>
                  <m:t>[</m:t>
                </m:r>
                <m:sSub>
                  <m:e>
                    <m:r>
                      <m:t>h</m:t>
                    </m:r>
                  </m:e>
                  <m:sub>
                    <m:r>
                      <m:t>t</m:t>
                    </m:r>
                    <m:r>
                      <m:t>−</m:t>
                    </m:r>
                    <m:r>
                      <m:t>1</m:t>
                    </m:r>
                  </m:sub>
                </m:sSub>
                <m:r>
                  <m:t>,</m:t>
                </m:r>
                <m:sSub>
                  <m:e>
                    <m:r>
                      <m:t>x</m:t>
                    </m:r>
                  </m:e>
                  <m:sub>
                    <m:r>
                      <m:t>t</m:t>
                    </m:r>
                  </m:sub>
                </m:sSub>
                <m:r>
                  <m:t>]</m:t>
                </m:r>
                <m:r>
                  <m:t>+</m:t>
                </m:r>
                <m:sSub>
                  <m:e>
                    <m:r>
                      <m:t>b</m:t>
                    </m:r>
                  </m:e>
                  <m:sub>
                    <m:r>
                      <m:t>i</m:t>
                    </m:r>
                  </m:sub>
                </m:sSub>
                <m:r>
                  <m:t>)</m:t>
                </m:r>
                <m:r>
                  <m:t>,</m:t>
                </m:r>
              </m:e>
            </m:mr>
            <m:mr>
              <m:e>
                <m:sSub>
                  <m:e>
                    <m:acc>
                      <m:accPr>
                        <m:chr m:val="̃"/>
                      </m:accPr>
                      <m:e>
                        <m:r>
                          <m:t>C</m:t>
                        </m:r>
                      </m:e>
                    </m:acc>
                  </m:e>
                  <m:sub>
                    <m:r>
                      <m:t>t</m:t>
                    </m:r>
                  </m:sub>
                </m:sSub>
              </m:e>
              <m:e>
                <m:r>
                  <m:t>=</m:t>
                </m:r>
                <m:r>
                  <m:rPr>
                    <m:nor/>
                    <m:sty m:val="p"/>
                  </m:rPr>
                  <m:t>tanh</m:t>
                </m:r>
                <m:r>
                  <m:t>(</m:t>
                </m:r>
                <m:sSub>
                  <m:e>
                    <m:r>
                      <m:t>W</m:t>
                    </m:r>
                  </m:e>
                  <m:sub>
                    <m:r>
                      <m:t>C</m:t>
                    </m:r>
                  </m:sub>
                </m:sSub>
                <m:r>
                  <m:t>[</m:t>
                </m:r>
                <m:sSub>
                  <m:e>
                    <m:r>
                      <m:t>h</m:t>
                    </m:r>
                  </m:e>
                  <m:sub>
                    <m:r>
                      <m:t>t</m:t>
                    </m:r>
                    <m:r>
                      <m:t>−</m:t>
                    </m:r>
                    <m:r>
                      <m:t>1</m:t>
                    </m:r>
                  </m:sub>
                </m:sSub>
                <m:r>
                  <m:t>,</m:t>
                </m:r>
                <m:sSub>
                  <m:e>
                    <m:r>
                      <m:t>x</m:t>
                    </m:r>
                  </m:e>
                  <m:sub>
                    <m:r>
                      <m:t>t</m:t>
                    </m:r>
                  </m:sub>
                </m:sSub>
                <m:r>
                  <m:t>]</m:t>
                </m:r>
                <m:r>
                  <m:t>+</m:t>
                </m:r>
                <m:sSub>
                  <m:e>
                    <m:r>
                      <m:t>b</m:t>
                    </m:r>
                  </m:e>
                  <m:sub>
                    <m:r>
                      <m:t>C</m:t>
                    </m:r>
                  </m:sub>
                </m:sSub>
                <m:r>
                  <m:t>)</m:t>
                </m:r>
                <m:r>
                  <m:t>,</m:t>
                </m:r>
              </m:e>
              <m:e>
                <m:sSub>
                  <m:e>
                    <m:r>
                      <m:t>C</m:t>
                    </m:r>
                  </m:e>
                  <m:sub>
                    <m:r>
                      <m:t>t</m:t>
                    </m:r>
                  </m:sub>
                </m:sSub>
              </m:e>
              <m:e>
                <m:r>
                  <m:t>=</m:t>
                </m:r>
                <m:sSub>
                  <m:e>
                    <m:r>
                      <m:t>f</m:t>
                    </m:r>
                  </m:e>
                  <m:sub>
                    <m:r>
                      <m:t>t</m:t>
                    </m:r>
                  </m:sub>
                </m:sSub>
                <m:r>
                  <m:t>⊙</m:t>
                </m:r>
                <m:sSub>
                  <m:e>
                    <m:r>
                      <m:t>C</m:t>
                    </m:r>
                  </m:e>
                  <m:sub>
                    <m:r>
                      <m:t>t</m:t>
                    </m:r>
                    <m:r>
                      <m:t>−</m:t>
                    </m:r>
                    <m:r>
                      <m:t>1</m:t>
                    </m:r>
                  </m:sub>
                </m:sSub>
                <m:r>
                  <m:t>+</m:t>
                </m:r>
                <m:sSub>
                  <m:e>
                    <m:r>
                      <m:t>i</m:t>
                    </m:r>
                  </m:e>
                  <m:sub>
                    <m:r>
                      <m:t>t</m:t>
                    </m:r>
                  </m:sub>
                </m:sSub>
                <m:r>
                  <m:t>⊙</m:t>
                </m:r>
                <m:sSub>
                  <m:e>
                    <m:acc>
                      <m:accPr>
                        <m:chr m:val="̃"/>
                      </m:accPr>
                      <m:e>
                        <m:r>
                          <m:t>C</m:t>
                        </m:r>
                      </m:e>
                    </m:acc>
                  </m:e>
                  <m:sub>
                    <m:r>
                      <m:t>t</m:t>
                    </m:r>
                  </m:sub>
                </m:sSub>
                <m:r>
                  <m:t>,</m:t>
                </m:r>
              </m:e>
            </m:mr>
            <m:mr>
              <m:e>
                <m:sSub>
                  <m:e>
                    <m:r>
                      <m:t>o</m:t>
                    </m:r>
                  </m:e>
                  <m:sub>
                    <m:r>
                      <m:t>t</m:t>
                    </m:r>
                  </m:sub>
                </m:sSub>
              </m:e>
              <m:e>
                <m:r>
                  <m:t>=</m:t>
                </m:r>
                <m:r>
                  <m:t>σ</m:t>
                </m:r>
                <m:r>
                  <m:t>(</m:t>
                </m:r>
                <m:sSub>
                  <m:e>
                    <m:r>
                      <m:t>W</m:t>
                    </m:r>
                  </m:e>
                  <m:sub>
                    <m:r>
                      <m:t>o</m:t>
                    </m:r>
                  </m:sub>
                </m:sSub>
                <m:r>
                  <m:t>[</m:t>
                </m:r>
                <m:sSub>
                  <m:e>
                    <m:r>
                      <m:t>h</m:t>
                    </m:r>
                  </m:e>
                  <m:sub>
                    <m:r>
                      <m:t>t</m:t>
                    </m:r>
                    <m:r>
                      <m:t>−</m:t>
                    </m:r>
                    <m:r>
                      <m:t>1</m:t>
                    </m:r>
                  </m:sub>
                </m:sSub>
                <m:r>
                  <m:t>,</m:t>
                </m:r>
                <m:sSub>
                  <m:e>
                    <m:r>
                      <m:t>x</m:t>
                    </m:r>
                  </m:e>
                  <m:sub>
                    <m:r>
                      <m:t>t</m:t>
                    </m:r>
                  </m:sub>
                </m:sSub>
                <m:r>
                  <m:t>]</m:t>
                </m:r>
                <m:r>
                  <m:t>+</m:t>
                </m:r>
                <m:sSub>
                  <m:e>
                    <m:r>
                      <m:t>b</m:t>
                    </m:r>
                  </m:e>
                  <m:sub>
                    <m:r>
                      <m:t>o</m:t>
                    </m:r>
                  </m:sub>
                </m:sSub>
                <m:r>
                  <m:t>)</m:t>
                </m:r>
                <m:r>
                  <m:t>,</m:t>
                </m:r>
              </m:e>
              <m:e>
                <m:sSub>
                  <m:e>
                    <m:r>
                      <m:t>h</m:t>
                    </m:r>
                  </m:e>
                  <m:sub>
                    <m:r>
                      <m:t>t</m:t>
                    </m:r>
                  </m:sub>
                </m:sSub>
              </m:e>
              <m:e>
                <m:r>
                  <m:t>=</m:t>
                </m:r>
                <m:sSub>
                  <m:e>
                    <m:r>
                      <m:t>o</m:t>
                    </m:r>
                  </m:e>
                  <m:sub>
                    <m:r>
                      <m:t>t</m:t>
                    </m:r>
                  </m:sub>
                </m:sSub>
                <m:r>
                  <m:t>⊙</m:t>
                </m:r>
                <m:r>
                  <m:rPr>
                    <m:nor/>
                    <m:sty m:val="p"/>
                  </m:rPr>
                  <m:t>tanh</m:t>
                </m:r>
                <m:r>
                  <m:t>(</m:t>
                </m:r>
                <m:sSub>
                  <m:e>
                    <m:r>
                      <m:t>C</m:t>
                    </m:r>
                  </m:e>
                  <m:sub>
                    <m:r>
                      <m:t>t</m:t>
                    </m:r>
                  </m:sub>
                </m:sSub>
                <m:r>
                  <m:t>)</m:t>
                </m:r>
                <m:r>
                  <m:t>,</m:t>
                </m:r>
              </m:e>
            </m:mr>
          </m:m>
        </m:oMath>
      </m:oMathPara>
    </w:p>
    <w:p>
      <w:pPr>
        <w:pStyle w:val="FirstParagraph"/>
      </w:pPr>
      <w:r>
        <w:t xml:space="preserve">where</w:t>
      </w:r>
      <w:r>
        <w:t xml:space="preserve"> </w:t>
      </w:r>
      <m:oMath>
        <m:r>
          <m:t>σ</m:t>
        </m:r>
      </m:oMath>
      <w:r>
        <w:t xml:space="preserve"> </w:t>
      </w:r>
      <w:r>
        <w:t xml:space="preserve">is the sigmoid and</w:t>
      </w:r>
      <w:r>
        <w:t xml:space="preserve"> </w:t>
      </w:r>
      <m:oMath>
        <m:r>
          <m:t>⊙</m:t>
        </m:r>
      </m:oMath>
      <w:r>
        <w:t xml:space="preserve"> </w:t>
      </w:r>
      <w:r>
        <w:t xml:space="preserve">the Hadamard product. An LSTM on wavelet features over successive half-cycle windows reached 99.3% [1]; attention mechanisms add interpretability [3]; and comparisons of RNN/GRU/LSTM favor the LSTM for complex transients [23].</w:t>
      </w:r>
    </w:p>
    <w:p>
      <w:pPr>
        <w:pStyle w:val="Heading3"/>
      </w:pPr>
      <w:bookmarkStart w:id="42" w:name="emerging-architectures"/>
      <w:r>
        <w:t xml:space="preserve">Emerging Architectures</w:t>
      </w:r>
      <w:bookmarkEnd w:id="42"/>
    </w:p>
    <w:p>
      <w:pPr>
        <w:pStyle w:val="FirstParagraph"/>
      </w:pPr>
      <w:r>
        <w:t xml:space="preserve">Autoencoders enable unsupervised anomaly detection [35]; GANs augment synthetic data [36]; and Transformers, though promising, face quadratic scaling that challenges real-time use [37].</w:t>
      </w:r>
    </w:p>
    <w:p>
      <w:pPr>
        <w:pStyle w:val="Heading2"/>
      </w:pPr>
      <w:bookmarkStart w:id="43" w:name="comparative-synthesis-of-the-literature"/>
      <w:r>
        <w:t xml:space="preserve">Comparative Synthesis of the Literature</w:t>
      </w:r>
      <w:bookmarkEnd w:id="43"/>
    </w:p>
    <w:p>
      <w:pPr>
        <w:pStyle w:val="FirstParagraph"/>
      </w:pPr>
      <w:r>
        <w:t xml:space="preserve">Table </w:t>
      </w:r>
      <w:hyperlink w:anchor="tab:litcompare">
        <w:r>
          <w:rPr>
            <w:rStyle w:val="Hyperlink"/>
          </w:rPr>
          <w:t xml:space="preserve">2.1</w:t>
        </w:r>
      </w:hyperlink>
      <w:r>
        <w:t xml:space="preserve"> </w:t>
      </w:r>
      <w:r>
        <w:t xml:space="preserve">synthesizes representative studies. Reported accuracies are the authors’ own on their own datasets and are not directly comparable; a controlled comparison on a single unified dataset is given in Chapter 6.</w:t>
      </w:r>
    </w:p>
    <w:bookmarkStart w:id="44" w:name="tab:litcompare"/>
    <w:p>
      <w:pPr>
        <w:pStyle w:val="TableCaption"/>
      </w:pPr>
      <w:r>
        <w:t xml:space="preserve">Comparative synthesis of representative transformer differential protection studies.</w:t>
      </w:r>
    </w:p>
    <w:tbl>
      <w:tblPr>
        <w:tblStyle w:val="Table"/>
        <w:tblW w:type="pct" w:w="0.0"/>
        <w:tblLook w:firstRow="1"/>
        <w:tblCaption w:val="Comparative synthesis of representative transformer differential protection studies."/>
      </w:tblPr>
      <w:tblGrid/>
      <w:tr>
        <w:trPr>
          <w:cnfStyle w:firstRow="1"/>
        </w:trPr>
        <w:tc>
          <w:tcPr>
            <w:tcBorders>
              <w:bottom w:val="single"/>
            </w:tcBorders>
            <w:vAlign w:val="bottom"/>
          </w:tcPr>
          <w:p>
            <w:pPr>
              <w:pStyle w:val="Compact"/>
              <w:jc w:val="center"/>
            </w:pPr>
            <w:r>
              <w:rPr>
                <w:b/>
              </w:rPr>
              <w:t xml:space="preserve">Ref.</w:t>
            </w:r>
          </w:p>
        </w:tc>
        <w:tc>
          <w:tcPr>
            <w:tcBorders>
              <w:bottom w:val="single"/>
            </w:tcBorders>
            <w:vAlign w:val="bottom"/>
          </w:tcPr>
          <w:p>
            <w:pPr>
              <w:pStyle w:val="Compact"/>
              <w:jc w:val="left"/>
            </w:pPr>
            <w:r>
              <w:rPr>
                <w:b/>
              </w:rPr>
              <w:t xml:space="preserve">Approach</w:t>
            </w:r>
          </w:p>
        </w:tc>
        <w:tc>
          <w:tcPr>
            <w:tcBorders>
              <w:bottom w:val="single"/>
            </w:tcBorders>
            <w:vAlign w:val="bottom"/>
          </w:tcPr>
          <w:p>
            <w:pPr>
              <w:pStyle w:val="Compact"/>
              <w:jc w:val="left"/>
            </w:pPr>
            <w:r>
              <w:rPr>
                <w:b/>
              </w:rPr>
              <w:t xml:space="preserve">Classifier / method</w:t>
            </w:r>
          </w:p>
        </w:tc>
        <w:tc>
          <w:tcPr>
            <w:tcBorders>
              <w:bottom w:val="single"/>
            </w:tcBorders>
            <w:vAlign w:val="bottom"/>
          </w:tcPr>
          <w:p>
            <w:pPr>
              <w:pStyle w:val="Compact"/>
              <w:jc w:val="center"/>
            </w:pPr>
            <w:r>
              <w:rPr>
                <w:b/>
              </w:rPr>
              <w:t xml:space="preserve">Acc. (%)</w:t>
            </w:r>
          </w:p>
        </w:tc>
        <w:tc>
          <w:tcPr>
            <w:tcBorders>
              <w:bottom w:val="single"/>
            </w:tcBorders>
            <w:vAlign w:val="bottom"/>
          </w:tcPr>
          <w:p>
            <w:pPr>
              <w:pStyle w:val="Compact"/>
              <w:jc w:val="left"/>
            </w:pPr>
            <w:r>
              <w:rPr>
                <w:b/>
              </w:rPr>
              <w:t xml:space="preserve">Limitation</w:t>
            </w:r>
          </w:p>
        </w:tc>
      </w:tr>
      <w:tr>
        <w:tc>
          <w:p>
            <w:pPr>
              <w:pStyle w:val="Compact"/>
              <w:jc w:val="center"/>
            </w:pPr>
            <w:r>
              <w:t xml:space="preserve">[6]</w:t>
            </w:r>
          </w:p>
        </w:tc>
        <w:tc>
          <w:p>
            <w:pPr>
              <w:pStyle w:val="Compact"/>
              <w:jc w:val="left"/>
            </w:pPr>
            <w:r>
              <w:t xml:space="preserve">db4 DWT</w:t>
            </w:r>
          </w:p>
        </w:tc>
        <w:tc>
          <w:p>
            <w:pPr>
              <w:pStyle w:val="Compact"/>
              <w:jc w:val="left"/>
            </w:pPr>
            <w:r>
              <w:t xml:space="preserve">Threshold logic</w:t>
            </w:r>
          </w:p>
        </w:tc>
        <w:tc>
          <w:p>
            <w:pPr>
              <w:pStyle w:val="Compact"/>
              <w:jc w:val="center"/>
            </w:pPr>
            <m:oMath>
              <m:r>
                <m:t>∼</m:t>
              </m:r>
            </m:oMath>
            <w:r>
              <w:t xml:space="preserve">97</w:t>
            </w:r>
          </w:p>
        </w:tc>
        <w:tc>
          <w:p>
            <w:pPr>
              <w:pStyle w:val="Compact"/>
              <w:jc w:val="left"/>
            </w:pPr>
            <w:r>
              <w:t xml:space="preserve">Hand-tuned thresholds</w:t>
            </w:r>
          </w:p>
        </w:tc>
      </w:tr>
      <w:tr>
        <w:tc>
          <w:p>
            <w:pPr>
              <w:pStyle w:val="Compact"/>
              <w:jc w:val="center"/>
            </w:pPr>
            <w:r>
              <w:t xml:space="preserve">[19]</w:t>
            </w:r>
          </w:p>
        </w:tc>
        <w:tc>
          <w:p>
            <w:pPr>
              <w:pStyle w:val="Compact"/>
              <w:jc w:val="left"/>
            </w:pPr>
            <w:r>
              <w:t xml:space="preserve">DWT</w:t>
            </w:r>
          </w:p>
        </w:tc>
        <w:tc>
          <w:p>
            <w:pPr>
              <w:pStyle w:val="Compact"/>
              <w:jc w:val="left"/>
            </w:pPr>
            <w:r>
              <w:t xml:space="preserve">Back-propagation NN</w:t>
            </w:r>
          </w:p>
        </w:tc>
        <w:tc>
          <w:p>
            <w:pPr>
              <w:pStyle w:val="Compact"/>
              <w:jc w:val="center"/>
            </w:pPr>
            <m:oMath>
              <m:r>
                <m:t>∼</m:t>
              </m:r>
            </m:oMath>
            <w:r>
              <w:t xml:space="preserve">97</w:t>
            </w:r>
          </w:p>
        </w:tc>
        <w:tc>
          <w:p>
            <w:pPr>
              <w:pStyle w:val="Compact"/>
              <w:jc w:val="left"/>
            </w:pPr>
            <w:r>
              <w:t xml:space="preserve">Static feature vector</w:t>
            </w:r>
          </w:p>
        </w:tc>
      </w:tr>
      <w:tr>
        <w:tc>
          <w:p>
            <w:pPr>
              <w:pStyle w:val="Compact"/>
              <w:jc w:val="center"/>
            </w:pPr>
            <w:r>
              <w:t xml:space="preserve">[18]</w:t>
            </w:r>
          </w:p>
        </w:tc>
        <w:tc>
          <w:p>
            <w:pPr>
              <w:pStyle w:val="Compact"/>
              <w:jc w:val="left"/>
            </w:pPr>
            <w:r>
              <w:t xml:space="preserve">Wavelet stats</w:t>
            </w:r>
          </w:p>
        </w:tc>
        <w:tc>
          <w:p>
            <w:pPr>
              <w:pStyle w:val="Compact"/>
              <w:jc w:val="left"/>
            </w:pPr>
            <w:r>
              <w:t xml:space="preserve">ANN</w:t>
            </w:r>
          </w:p>
        </w:tc>
        <w:tc>
          <w:p>
            <w:pPr>
              <w:pStyle w:val="Compact"/>
              <w:jc w:val="center"/>
            </w:pPr>
            <w:r>
              <w:t xml:space="preserve">99.1</w:t>
            </w:r>
          </w:p>
        </w:tc>
        <w:tc>
          <w:p>
            <w:pPr>
              <w:pStyle w:val="Compact"/>
              <w:jc w:val="left"/>
            </w:pPr>
            <w:r>
              <w:t xml:space="preserve">No temporal context</w:t>
            </w:r>
          </w:p>
        </w:tc>
      </w:tr>
      <w:tr>
        <w:tc>
          <w:p>
            <w:pPr>
              <w:pStyle w:val="Compact"/>
              <w:jc w:val="center"/>
            </w:pPr>
            <w:r>
              <w:t xml:space="preserve">[9]</w:t>
            </w:r>
          </w:p>
        </w:tc>
        <w:tc>
          <w:p>
            <w:pPr>
              <w:pStyle w:val="Compact"/>
              <w:jc w:val="left"/>
            </w:pPr>
            <w:r>
              <w:t xml:space="preserve">Harmonic</w:t>
            </w:r>
          </w:p>
        </w:tc>
        <w:tc>
          <w:p>
            <w:pPr>
              <w:pStyle w:val="Compact"/>
              <w:jc w:val="left"/>
            </w:pPr>
            <w:r>
              <w:t xml:space="preserve">Optimal PNN</w:t>
            </w:r>
          </w:p>
        </w:tc>
        <w:tc>
          <w:p>
            <w:pPr>
              <w:pStyle w:val="Compact"/>
              <w:jc w:val="center"/>
            </w:pPr>
            <w:r>
              <w:t xml:space="preserve">97.8</w:t>
            </w:r>
          </w:p>
        </w:tc>
        <w:tc>
          <w:p>
            <w:pPr>
              <w:pStyle w:val="Compact"/>
              <w:jc w:val="left"/>
            </w:pPr>
            <w:r>
              <w:t xml:space="preserve">Memory grows with samples</w:t>
            </w:r>
          </w:p>
        </w:tc>
      </w:tr>
      <w:tr>
        <w:tc>
          <w:p>
            <w:pPr>
              <w:pStyle w:val="Compact"/>
              <w:jc w:val="center"/>
            </w:pPr>
            <w:r>
              <w:t xml:space="preserve">[13]</w:t>
            </w:r>
          </w:p>
        </w:tc>
        <w:tc>
          <w:p>
            <w:pPr>
              <w:pStyle w:val="Compact"/>
              <w:jc w:val="left"/>
            </w:pPr>
            <w:r>
              <w:t xml:space="preserve">Wavelet</w:t>
            </w:r>
          </w:p>
        </w:tc>
        <w:tc>
          <w:p>
            <w:pPr>
              <w:pStyle w:val="Compact"/>
              <w:jc w:val="left"/>
            </w:pPr>
            <w:r>
              <w:t xml:space="preserve">SVM (RBF)</w:t>
            </w:r>
          </w:p>
        </w:tc>
        <w:tc>
          <w:p>
            <w:pPr>
              <w:pStyle w:val="Compact"/>
              <w:jc w:val="center"/>
            </w:pPr>
            <w:r>
              <w:t xml:space="preserve">98.2</w:t>
            </w:r>
          </w:p>
        </w:tc>
        <w:tc>
          <w:p>
            <w:pPr>
              <w:pStyle w:val="Compact"/>
              <w:jc w:val="left"/>
            </w:pPr>
            <w:r>
              <w:t xml:space="preserve">No sequence modelling</w:t>
            </w:r>
          </w:p>
        </w:tc>
      </w:tr>
      <w:tr>
        <w:tc>
          <w:p>
            <w:pPr>
              <w:pStyle w:val="Compact"/>
              <w:jc w:val="center"/>
            </w:pPr>
            <w:r>
              <w:t xml:space="preserve">[20]</w:t>
            </w:r>
          </w:p>
        </w:tc>
        <w:tc>
          <w:p>
            <w:pPr>
              <w:pStyle w:val="Compact"/>
              <w:jc w:val="left"/>
            </w:pPr>
            <w:r>
              <w:t xml:space="preserve">Wavelet packet</w:t>
            </w:r>
          </w:p>
        </w:tc>
        <w:tc>
          <w:p>
            <w:pPr>
              <w:pStyle w:val="Compact"/>
              <w:jc w:val="left"/>
            </w:pPr>
            <w:r>
              <w:t xml:space="preserve">SVM</w:t>
            </w:r>
          </w:p>
        </w:tc>
        <w:tc>
          <w:p>
            <w:pPr>
              <w:pStyle w:val="Compact"/>
              <w:jc w:val="center"/>
            </w:pPr>
            <m:oMath>
              <m:r>
                <m:t>∼</m:t>
              </m:r>
            </m:oMath>
            <w:r>
              <w:t xml:space="preserve">98</w:t>
            </w:r>
          </w:p>
        </w:tc>
        <w:tc>
          <w:p>
            <w:pPr>
              <w:pStyle w:val="Compact"/>
              <w:jc w:val="left"/>
            </w:pPr>
            <w:r>
              <w:t xml:space="preserve">High dimensionality</w:t>
            </w:r>
          </w:p>
        </w:tc>
      </w:tr>
      <w:tr>
        <w:tc>
          <w:p>
            <w:pPr>
              <w:pStyle w:val="Compact"/>
              <w:jc w:val="center"/>
            </w:pPr>
            <w:r>
              <w:t xml:space="preserve">[11]</w:t>
            </w:r>
          </w:p>
        </w:tc>
        <w:tc>
          <w:p>
            <w:pPr>
              <w:pStyle w:val="Compact"/>
              <w:jc w:val="left"/>
            </w:pPr>
            <w:r>
              <w:t xml:space="preserve">Fourier+wavelet</w:t>
            </w:r>
          </w:p>
        </w:tc>
        <w:tc>
          <w:p>
            <w:pPr>
              <w:pStyle w:val="Compact"/>
              <w:jc w:val="left"/>
            </w:pPr>
            <w:r>
              <w:t xml:space="preserve">Random forest</w:t>
            </w:r>
          </w:p>
        </w:tc>
        <w:tc>
          <w:p>
            <w:pPr>
              <w:pStyle w:val="Compact"/>
              <w:jc w:val="center"/>
            </w:pPr>
            <w:r>
              <w:t xml:space="preserve">99.0</w:t>
            </w:r>
          </w:p>
        </w:tc>
        <w:tc>
          <w:p>
            <w:pPr>
              <w:pStyle w:val="Compact"/>
              <w:jc w:val="left"/>
            </w:pPr>
            <w:r>
              <w:t xml:space="preserve">No temporal model</w:t>
            </w:r>
          </w:p>
        </w:tc>
      </w:tr>
      <w:tr>
        <w:tc>
          <w:p>
            <w:pPr>
              <w:pStyle w:val="Compact"/>
              <w:jc w:val="center"/>
            </w:pPr>
            <w:r>
              <w:t xml:space="preserve">[16]</w:t>
            </w:r>
          </w:p>
        </w:tc>
        <w:tc>
          <w:p>
            <w:pPr>
              <w:pStyle w:val="Compact"/>
              <w:jc w:val="left"/>
            </w:pPr>
            <w:r>
              <w:t xml:space="preserve">Accelerated DNN</w:t>
            </w:r>
          </w:p>
        </w:tc>
        <w:tc>
          <w:p>
            <w:pPr>
              <w:pStyle w:val="Compact"/>
              <w:jc w:val="left"/>
            </w:pPr>
            <w:r>
              <w:t xml:space="preserve">1D-CNN</w:t>
            </w:r>
          </w:p>
        </w:tc>
        <w:tc>
          <w:p>
            <w:pPr>
              <w:pStyle w:val="Compact"/>
              <w:jc w:val="center"/>
            </w:pPr>
            <w:r>
              <w:t xml:space="preserve">98.7</w:t>
            </w:r>
          </w:p>
        </w:tc>
        <w:tc>
          <w:p>
            <w:pPr>
              <w:pStyle w:val="Compact"/>
              <w:jc w:val="left"/>
            </w:pPr>
            <w:r>
              <w:t xml:space="preserve">Weak long-range context</w:t>
            </w:r>
          </w:p>
        </w:tc>
      </w:tr>
      <w:tr>
        <w:tc>
          <w:p>
            <w:pPr>
              <w:pStyle w:val="Compact"/>
              <w:jc w:val="center"/>
            </w:pPr>
            <w:r>
              <w:t xml:space="preserve">[3]</w:t>
            </w:r>
          </w:p>
        </w:tc>
        <w:tc>
          <w:p>
            <w:pPr>
              <w:pStyle w:val="Compact"/>
              <w:jc w:val="left"/>
            </w:pPr>
            <w:r>
              <w:t xml:space="preserve">Wavelet</w:t>
            </w:r>
          </w:p>
        </w:tc>
        <w:tc>
          <w:p>
            <w:pPr>
              <w:pStyle w:val="Compact"/>
              <w:jc w:val="left"/>
            </w:pPr>
            <w:r>
              <w:t xml:space="preserve">LSTM</w:t>
            </w:r>
          </w:p>
        </w:tc>
        <w:tc>
          <w:p>
            <w:pPr>
              <w:pStyle w:val="Compact"/>
              <w:jc w:val="center"/>
            </w:pPr>
            <w:r>
              <w:t xml:space="preserve">99.3</w:t>
            </w:r>
          </w:p>
        </w:tc>
        <w:tc>
          <w:p>
            <w:pPr>
              <w:pStyle w:val="Compact"/>
              <w:jc w:val="left"/>
            </w:pPr>
            <w:r>
              <w:t xml:space="preserve">No hybrid relay handshake</w:t>
            </w:r>
          </w:p>
        </w:tc>
      </w:tr>
      <w:tr>
        <w:tc>
          <w:p>
            <w:pPr>
              <w:pStyle w:val="Compact"/>
              <w:jc w:val="center"/>
            </w:pPr>
            <w:r>
              <w:t xml:space="preserve">[1,2]</w:t>
            </w:r>
          </w:p>
        </w:tc>
        <w:tc>
          <w:p>
            <w:pPr>
              <w:pStyle w:val="Compact"/>
              <w:jc w:val="left"/>
            </w:pPr>
            <w:r>
              <w:t xml:space="preserve">Improved wavelet</w:t>
            </w:r>
          </w:p>
        </w:tc>
        <w:tc>
          <w:p>
            <w:pPr>
              <w:pStyle w:val="Compact"/>
              <w:jc w:val="left"/>
            </w:pPr>
            <w:r>
              <w:t xml:space="preserve">LSTM</w:t>
            </w:r>
          </w:p>
        </w:tc>
        <w:tc>
          <w:p>
            <w:pPr>
              <w:pStyle w:val="Compact"/>
              <w:jc w:val="center"/>
            </w:pPr>
            <m:oMath>
              <m:r>
                <m:t>∼</m:t>
              </m:r>
            </m:oMath>
            <w:r>
              <w:t xml:space="preserve">99.5</w:t>
            </w:r>
          </w:p>
        </w:tc>
        <w:tc>
          <w:p>
            <w:pPr>
              <w:pStyle w:val="Compact"/>
              <w:jc w:val="left"/>
            </w:pPr>
            <w:r>
              <w:t xml:space="preserve">No supervisory veto</w:t>
            </w:r>
          </w:p>
        </w:tc>
      </w:tr>
      <w:tr>
        <w:tc>
          <w:p>
            <w:pPr>
              <w:pStyle w:val="Compact"/>
              <w:jc w:val="center"/>
            </w:pPr>
            <w:r>
              <w:t xml:space="preserve">[23]</w:t>
            </w:r>
          </w:p>
        </w:tc>
        <w:tc>
          <w:p>
            <w:pPr>
              <w:pStyle w:val="Compact"/>
              <w:jc w:val="left"/>
            </w:pPr>
            <w:r>
              <w:t xml:space="preserve">Dual DNN</w:t>
            </w:r>
          </w:p>
        </w:tc>
        <w:tc>
          <w:p>
            <w:pPr>
              <w:pStyle w:val="Compact"/>
              <w:jc w:val="left"/>
            </w:pPr>
            <w:r>
              <w:t xml:space="preserve">Inrush vs. internal</w:t>
            </w:r>
          </w:p>
        </w:tc>
        <w:tc>
          <w:p>
            <w:pPr>
              <w:pStyle w:val="Compact"/>
              <w:jc w:val="center"/>
            </w:pPr>
            <m:oMath>
              <m:r>
                <m:t>∼</m:t>
              </m:r>
            </m:oMath>
            <w:r>
              <w:t xml:space="preserve">99.4</w:t>
            </w:r>
          </w:p>
        </w:tc>
        <w:tc>
          <w:p>
            <w:pPr>
              <w:pStyle w:val="Compact"/>
              <w:jc w:val="left"/>
            </w:pPr>
            <w:r>
              <w:t xml:space="preserve">Two-class only</w:t>
            </w:r>
          </w:p>
        </w:tc>
      </w:tr>
      <w:tr>
        <w:tc>
          <w:p>
            <w:pPr>
              <w:pStyle w:val="Compact"/>
              <w:jc w:val="center"/>
            </w:pPr>
            <w:r>
              <w:rPr>
                <w:b/>
              </w:rPr>
              <w:t xml:space="preserve">This work</w:t>
            </w:r>
          </w:p>
        </w:tc>
        <w:tc>
          <w:p>
            <w:pPr>
              <w:pStyle w:val="Compact"/>
              <w:jc w:val="left"/>
            </w:pPr>
            <w:r>
              <w:t xml:space="preserve">-level db4 energy</w:t>
            </w:r>
          </w:p>
        </w:tc>
        <w:tc>
          <w:p>
            <w:pPr>
              <w:pStyle w:val="Compact"/>
              <w:jc w:val="left"/>
            </w:pPr>
            <w:r>
              <w:t xml:space="preserve">LSTM (attention) + 87T veto</w:t>
            </w:r>
          </w:p>
        </w:tc>
        <w:tc>
          <w:p>
            <w:pPr>
              <w:pStyle w:val="Compact"/>
              <w:jc w:val="center"/>
            </w:pPr>
            <w:r>
              <w:rPr>
                <w:b/>
              </w:rPr>
              <w:t xml:space="preserve">98.89/100</w:t>
            </w:r>
          </w:p>
        </w:tc>
        <w:tc>
          <w:p>
            <w:pPr>
              <w:pStyle w:val="Compact"/>
              <w:jc w:val="left"/>
            </w:pPr>
            <w:r>
              <w:t xml:space="preserve">—</w:t>
            </w:r>
          </w:p>
        </w:tc>
      </w:tr>
    </w:tbl>
    <w:bookmarkEnd w:id="44"/>
    <w:p>
      <w:pPr>
        <w:pStyle w:val="BodyText"/>
      </w:pPr>
      <w:r>
        <w:t xml:space="preserve">The field has progressed from fixed-threshold schemes through shallow learning to deep sequence models, with accuracy rising above 99%. Yet almost all recent high-accuracy studies evaluate a standalone classifier that issues the trip directly, leaving the dependability–security trade-off implicit, and none couples the learned classifier to a certified 87T element through an explicit supervisory handshake. This thesis is distinguished on all three counts.</w:t>
      </w:r>
    </w:p>
    <w:p>
      <w:pPr>
        <w:pStyle w:val="BodyText"/>
      </w:pPr>
      <w:r>
        <w:t xml:space="preserve">It is also instructive to contrast the feature-engineering philosophy across studies. Several works pursue high-dimensional descriptors—36-component wavelet statistics [18], full wavelet-packet energy maps [20], or raw waveform windows fed to convolutional layers [16]. Such representations can be discriminative but inflate inference cost and obscure the physical meaning of each input. The present work deliberately adopts a parsimonious, physics-informed six-feature vector (approximation and detail energy per phase), demonstrating in Chapter 6 that compact, interpretable features paired with a temporal model match or exceed the accuracy of high-dimensional alternatives while remaining deployable on standard relay hardware.</w:t>
      </w:r>
    </w:p>
    <w:p>
      <w:pPr>
        <w:pStyle w:val="BodyText"/>
      </w:pPr>
      <w:r>
        <w:t xml:space="preserve">The validation modality also deserves emphasis. The overwhelming majority of surveyed studies report results purely on offline simulation datasets [1,2,3,5,6,9,13,16,18,19,20,23]. Field-recorded validation and hardware-in-the-loop testing remain rare. While the present work is likewise simulation-based, it advances validation realism by deploying the trained model back into the MATLAB/Simulink electromagnetic-transient environment through ONNX, executing the complete protection pipeline—feature extraction, inference, and the hybrid decision—in closed loop with the physical plant model rather than scoring a static feature matrix offline.</w:t>
      </w:r>
    </w:p>
    <w:p>
      <w:pPr>
        <w:pStyle w:val="BodyText"/>
      </w:pPr>
      <w:r>
        <w:t xml:space="preserve">Finally, almost all recent high-accuracy studies leave the dependability–security trade-off implicit: a single classifier error translates directly into a maloperation because the network issues the trip itself. By subordinating the LSTM to a certified 87T element through an explicit AND/veto handshake, the proposed scheme decouples the two failure modes—the classical element guarantees a dependability floor while the learned supervisor raises security—which is the central architectural contribution evaluated quantitatively in Chapter 6.</w:t>
      </w:r>
    </w:p>
    <w:p>
      <w:pPr>
        <w:pStyle w:val="Heading2"/>
      </w:pPr>
      <w:bookmarkStart w:id="45" w:name="research-gaps"/>
      <w:r>
        <w:t xml:space="preserve">Research Gaps</w:t>
      </w:r>
      <w:bookmarkEnd w:id="45"/>
    </w:p>
    <w:p>
      <w:pPr>
        <w:pStyle w:val="FirstParagraph"/>
      </w:pPr>
      <w:r>
        <w:t xml:space="preserve">Five gaps motivate this work: (1) ad-hoc wavelet parameter selection; (2) no full integration of DWT feature extraction with LSTM temporal modeling in a serial hybrid; (3) fixed decision thresholds; (4) limited robustness evaluation; and (5) absence of standardized benchmarking. This thesis addresses all five.</w:t>
      </w:r>
    </w:p>
    <w:p>
      <w:pPr>
        <w:pStyle w:val="Heading1"/>
      </w:pPr>
      <w:bookmarkStart w:id="46" w:name="X62a597274b7adf21d66e23951da681a433ac790"/>
      <w:r>
        <w:t xml:space="preserve">Mathematical Modeling and Theoretical Framework</w:t>
      </w:r>
      <w:bookmarkEnd w:id="46"/>
    </w:p>
    <w:p>
      <w:pPr>
        <w:pStyle w:val="Heading2"/>
      </w:pPr>
      <w:bookmarkStart w:id="47" w:name="introduction-2"/>
      <w:r>
        <w:t xml:space="preserve">Introduction</w:t>
      </w:r>
      <w:bookmarkEnd w:id="47"/>
    </w:p>
    <w:p>
      <w:pPr>
        <w:pStyle w:val="FirstParagraph"/>
      </w:pPr>
      <w:r>
        <w:t xml:space="preserve">This chapter establishes the mathematical foundations for the proposed DWT–LSTM scheme: differential relaying principles, magnetizing inrush theory, CT saturation modeling, internal-fault characteristics, and the classification framework.</w:t>
      </w:r>
    </w:p>
    <w:p>
      <w:pPr>
        <w:pStyle w:val="Heading2"/>
      </w:pPr>
      <w:bookmarkStart w:id="48" w:name="Xcb880a0f1fa44b5e75e569358ed5b861c897804"/>
      <w:r>
        <w:t xml:space="preserve">Transformer Differential Protection Fundamentals</w:t>
      </w:r>
      <w:bookmarkEnd w:id="48"/>
    </w:p>
    <w:p>
      <w:pPr>
        <w:pStyle w:val="Heading3"/>
      </w:pPr>
      <w:bookmarkStart w:id="49" w:name="differential-and-restraint-currents"/>
      <w:r>
        <w:t xml:space="preserve">Differential and Restraint Currents</w:t>
      </w:r>
      <w:bookmarkEnd w:id="49"/>
    </w:p>
    <w:p>
      <w:pPr>
        <w:pStyle w:val="FirstParagraph"/>
      </w:pPr>
      <w:r>
        <w:t xml:space="preserve">For a two-winding transformer,</w:t>
      </w:r>
    </w:p>
    <w:p>
      <w:pPr>
        <w:pStyle w:val="BodyText"/>
      </w:pPr>
      <m:oMathPara>
        <m:oMathParaPr>
          <m:jc m:val="center"/>
        </m:oMathParaPr>
        <m:oMath>
          <m:sSub>
            <m:e>
              <m:r>
                <m:t>I</m:t>
              </m:r>
            </m:e>
            <m:sub>
              <m:r>
                <m:t>d</m:t>
              </m:r>
            </m:sub>
          </m:sSub>
          <m:r>
            <m:t>=</m:t>
          </m:r>
          <m:r>
            <m:t>|</m:t>
          </m:r>
          <m:sSub>
            <m:e>
              <m:acc>
                <m:accPr>
                  <m:chr m:val="̇"/>
                </m:accPr>
                <m:e>
                  <m:r>
                    <m:t>I</m:t>
                  </m:r>
                </m:e>
              </m:acc>
            </m:e>
            <m:sub>
              <m:r>
                <m:t>1</m:t>
              </m:r>
            </m:sub>
          </m:sSub>
          <m:sSub>
            <m:e>
              <m:r>
                <m:t>N</m:t>
              </m:r>
            </m:e>
            <m:sub>
              <m:r>
                <m:t>1</m:t>
              </m:r>
            </m:sub>
          </m:sSub>
          <m:r>
            <m:t>+</m:t>
          </m:r>
          <m:sSub>
            <m:e>
              <m:acc>
                <m:accPr>
                  <m:chr m:val="̇"/>
                </m:accPr>
                <m:e>
                  <m:r>
                    <m:t>I</m:t>
                  </m:r>
                </m:e>
              </m:acc>
            </m:e>
            <m:sub>
              <m:r>
                <m:t>2</m:t>
              </m:r>
            </m:sub>
          </m:sSub>
          <m:sSub>
            <m:e>
              <m:r>
                <m:t>N</m:t>
              </m:r>
            </m:e>
            <m:sub>
              <m:r>
                <m:t>2</m:t>
              </m:r>
            </m:sub>
          </m:sSub>
          <m:r>
            <m:t>|</m:t>
          </m:r>
          <m:r>
            <m:t>,</m:t>
          </m:r>
          <m:r>
            <m:t>  </m:t>
          </m:r>
          <m:sSub>
            <m:e>
              <m:r>
                <m:t>I</m:t>
              </m:r>
            </m:e>
            <m:sub>
              <m:r>
                <m:t>r</m:t>
              </m:r>
            </m:sub>
          </m:sSub>
          <m:r>
            <m:t>=</m:t>
          </m:r>
          <m:f>
            <m:fPr>
              <m:type m:val="lin"/>
            </m:fPr>
            <m:num>
              <m:r>
                <m:t>1</m:t>
              </m:r>
            </m:num>
            <m:den>
              <m:r>
                <m:t>2</m:t>
              </m:r>
            </m:den>
          </m:f>
          <m:r>
            <m:t>(</m:t>
          </m:r>
          <m:r>
            <m:t>|</m:t>
          </m:r>
          <m:sSub>
            <m:e>
              <m:acc>
                <m:accPr>
                  <m:chr m:val="̇"/>
                </m:accPr>
                <m:e>
                  <m:r>
                    <m:t>I</m:t>
                  </m:r>
                </m:e>
              </m:acc>
            </m:e>
            <m:sub>
              <m:r>
                <m:t>1</m:t>
              </m:r>
            </m:sub>
          </m:sSub>
          <m:sSub>
            <m:e>
              <m:r>
                <m:t>N</m:t>
              </m:r>
            </m:e>
            <m:sub>
              <m:r>
                <m:t>1</m:t>
              </m:r>
            </m:sub>
          </m:sSub>
          <m:r>
            <m:t>|</m:t>
          </m:r>
          <m:r>
            <m:t>+</m:t>
          </m:r>
          <m:r>
            <m:t>|</m:t>
          </m:r>
          <m:sSub>
            <m:e>
              <m:acc>
                <m:accPr>
                  <m:chr m:val="̇"/>
                </m:accPr>
                <m:e>
                  <m:r>
                    <m:t>I</m:t>
                  </m:r>
                </m:e>
              </m:acc>
            </m:e>
            <m:sub>
              <m:r>
                <m:t>2</m:t>
              </m:r>
            </m:sub>
          </m:sSub>
          <m:sSub>
            <m:e>
              <m:r>
                <m:t>N</m:t>
              </m:r>
            </m:e>
            <m:sub>
              <m:r>
                <m:t>2</m:t>
              </m:r>
            </m:sub>
          </m:sSub>
          <m:r>
            <m:t>|</m:t>
          </m:r>
          <m:r>
            <m:t>)</m:t>
          </m:r>
          <m:r>
            <m:t>,</m:t>
          </m:r>
        </m:oMath>
      </m:oMathPara>
    </w:p>
    <w:p>
      <w:pPr>
        <w:pStyle w:val="FirstParagraph"/>
      </w:pPr>
      <w:r>
        <w:t xml:space="preserve">where</w:t>
      </w:r>
      <w:r>
        <w:t xml:space="preserve"> </w:t>
      </w:r>
      <m:oMath>
        <m:sSub>
          <m:e>
            <m:acc>
              <m:accPr>
                <m:chr m:val="̇"/>
              </m:accPr>
              <m:e>
                <m:r>
                  <m:t>I</m:t>
                </m:r>
              </m:e>
            </m:acc>
          </m:e>
          <m:sub>
            <m:r>
              <m:t>1</m:t>
            </m:r>
          </m:sub>
        </m:sSub>
        <m:r>
          <m:t>,</m:t>
        </m:r>
        <m:sSub>
          <m:e>
            <m:acc>
              <m:accPr>
                <m:chr m:val="̇"/>
              </m:accPr>
              <m:e>
                <m:r>
                  <m:t>I</m:t>
                </m:r>
              </m:e>
            </m:acc>
          </m:e>
          <m:sub>
            <m:r>
              <m:t>2</m:t>
            </m:r>
          </m:sub>
        </m:sSub>
      </m:oMath>
      <w:r>
        <w:t xml:space="preserve"> </w:t>
      </w:r>
      <w:r>
        <w:t xml:space="preserve">are phasor currents referred to a common level. Under healthy conditions</w:t>
      </w:r>
      <w:r>
        <w:t xml:space="preserve"> </w:t>
      </w:r>
      <m:oMath>
        <m:sSub>
          <m:e>
            <m:r>
              <m:t>I</m:t>
            </m:r>
          </m:e>
          <m:sub>
            <m:r>
              <m:t>d</m:t>
            </m:r>
          </m:sub>
        </m:sSub>
        <m:r>
          <m:t>≈</m:t>
        </m:r>
        <m:r>
          <m:t>0</m:t>
        </m:r>
      </m:oMath>
      <w:r>
        <w:t xml:space="preserve">; a small residual arises from CT mismatch, tap changes, magnetizing current, and measurement errors:</w:t>
      </w:r>
    </w:p>
    <w:p>
      <w:pPr>
        <w:pStyle w:val="BodyText"/>
      </w:pPr>
      <m:oMathPara>
        <m:oMathParaPr>
          <m:jc m:val="center"/>
        </m:oMathParaPr>
        <m:oMath>
          <m:sSub>
            <m:e>
              <m:r>
                <m:t>I</m:t>
              </m:r>
            </m:e>
            <m:sub>
              <m:r>
                <m:t>d</m:t>
              </m:r>
              <m:r>
                <m:t>,</m:t>
              </m:r>
              <m:r>
                <m:t>s</m:t>
              </m:r>
              <m:r>
                <m:t>t</m:t>
              </m:r>
              <m:r>
                <m:t>e</m:t>
              </m:r>
              <m:r>
                <m:t>a</m:t>
              </m:r>
              <m:r>
                <m:t>d</m:t>
              </m:r>
              <m:r>
                <m:t>y</m:t>
              </m:r>
            </m:sub>
          </m:sSub>
          <m:r>
            <m:t>=</m:t>
          </m:r>
          <m:rad>
            <m:radPr>
              <m:degHide m:val="1"/>
            </m:radPr>
            <m:deg/>
            <m:e>
              <m:r>
                <m:t>(</m:t>
              </m:r>
              <m:sSub>
                <m:e>
                  <m:r>
                    <m:t>ε</m:t>
                  </m:r>
                </m:e>
                <m:sub>
                  <m:r>
                    <m:t>C</m:t>
                  </m:r>
                  <m:r>
                    <m:t>T</m:t>
                  </m:r>
                </m:sub>
              </m:sSub>
              <m:sSub>
                <m:e>
                  <m:r>
                    <m:t>I</m:t>
                  </m:r>
                </m:e>
                <m:sub>
                  <m:r>
                    <m:t>l</m:t>
                  </m:r>
                  <m:r>
                    <m:t>o</m:t>
                  </m:r>
                  <m:r>
                    <m:t>a</m:t>
                  </m:r>
                  <m:r>
                    <m:t>d</m:t>
                  </m:r>
                </m:sub>
              </m:sSub>
              <m:sSup>
                <m:e>
                  <m:r>
                    <m:t>)</m:t>
                  </m:r>
                </m:e>
                <m:sup>
                  <m:r>
                    <m:t>2</m:t>
                  </m:r>
                </m:sup>
              </m:sSup>
              <m:r>
                <m:t>+</m:t>
              </m:r>
              <m:r>
                <m:t>(</m:t>
              </m:r>
              <m:sSub>
                <m:e>
                  <m:r>
                    <m:t>Δ</m:t>
                  </m:r>
                </m:e>
                <m:sub>
                  <m:r>
                    <m:t>t</m:t>
                  </m:r>
                  <m:r>
                    <m:t>a</m:t>
                  </m:r>
                  <m:r>
                    <m:t>p</m:t>
                  </m:r>
                </m:sub>
              </m:sSub>
              <m:sSub>
                <m:e>
                  <m:r>
                    <m:t>I</m:t>
                  </m:r>
                </m:e>
                <m:sub>
                  <m:r>
                    <m:t>l</m:t>
                  </m:r>
                  <m:r>
                    <m:t>o</m:t>
                  </m:r>
                  <m:r>
                    <m:t>a</m:t>
                  </m:r>
                  <m:r>
                    <m:t>d</m:t>
                  </m:r>
                </m:sub>
              </m:sSub>
              <m:sSup>
                <m:e>
                  <m:r>
                    <m:t>)</m:t>
                  </m:r>
                </m:e>
                <m:sup>
                  <m:r>
                    <m:t>2</m:t>
                  </m:r>
                </m:sup>
              </m:sSup>
              <m:r>
                <m:t>+</m:t>
              </m:r>
              <m:sSubSup>
                <m:e>
                  <m:r>
                    <m:t>I</m:t>
                  </m:r>
                </m:e>
                <m:sub>
                  <m:r>
                    <m:t>m</m:t>
                  </m:r>
                </m:sub>
                <m:sup>
                  <m:r>
                    <m:t>2</m:t>
                  </m:r>
                </m:sup>
              </m:sSubSup>
              <m:r>
                <m:t>+</m:t>
              </m:r>
              <m:sSubSup>
                <m:e>
                  <m:r>
                    <m:t>ε</m:t>
                  </m:r>
                </m:e>
                <m:sub>
                  <m:r>
                    <m:t>m</m:t>
                  </m:r>
                  <m:r>
                    <m:t>e</m:t>
                  </m:r>
                  <m:r>
                    <m:t>a</m:t>
                  </m:r>
                  <m:r>
                    <m:t>s</m:t>
                  </m:r>
                </m:sub>
                <m:sup>
                  <m:r>
                    <m:t>2</m:t>
                  </m:r>
                </m:sup>
              </m:sSubSup>
            </m:e>
          </m:rad>
          <m:r>
            <m:t>.</m:t>
          </m:r>
        </m:oMath>
      </m:oMathPara>
    </w:p>
    <w:p>
      <w:pPr>
        <w:pStyle w:val="Heading3"/>
      </w:pPr>
      <w:bookmarkStart w:id="50" w:name="operating-characteristics"/>
      <w:r>
        <w:t xml:space="preserve">Operating Characteristics</w:t>
      </w:r>
      <w:bookmarkEnd w:id="50"/>
    </w:p>
    <w:p>
      <w:pPr>
        <w:pStyle w:val="FirstParagraph"/>
      </w:pPr>
      <w:r>
        <w:t xml:space="preserve">The dual-slope restraint characteristic defines the operating threshold</w:t>
      </w:r>
      <w:r>
        <w:t xml:space="preserve"> </w:t>
      </w:r>
      <m:oMath>
        <m:sSub>
          <m:e>
            <m:r>
              <m:t>I</m:t>
            </m:r>
          </m:e>
          <m:sub>
            <m:r>
              <m:t>o</m:t>
            </m:r>
            <m:r>
              <m:t>p</m:t>
            </m:r>
          </m:sub>
        </m:sSub>
      </m:oMath>
      <w:r>
        <w:t xml:space="preserve"> </w:t>
      </w:r>
      <w:r>
        <w:t xml:space="preserve">as a function of</w:t>
      </w:r>
      <w:r>
        <w:t xml:space="preserve"> </w:t>
      </w:r>
      <m:oMath>
        <m:sSub>
          <m:e>
            <m:r>
              <m:t>I</m:t>
            </m:r>
          </m:e>
          <m:sub>
            <m:r>
              <m:t>r</m:t>
            </m:r>
          </m:sub>
        </m:sSub>
      </m:oMath>
      <w:r>
        <w:t xml:space="preserve">, with first slope</w:t>
      </w:r>
      <w:r>
        <w:t xml:space="preserve"> </w:t>
      </w:r>
      <m:oMath>
        <m:sSub>
          <m:e>
            <m:r>
              <m:t>S</m:t>
            </m:r>
          </m:e>
          <m:sub>
            <m:r>
              <m:t>1</m:t>
            </m:r>
          </m:sub>
        </m:sSub>
      </m:oMath>
      <w:r>
        <w:t xml:space="preserve"> </w:t>
      </w:r>
      <w:r>
        <w:t xml:space="preserve">(25–40%) accommodating steady-state errors and second slope</w:t>
      </w:r>
      <w:r>
        <w:t xml:space="preserve"> </w:t>
      </w:r>
      <m:oMath>
        <m:sSub>
          <m:e>
            <m:r>
              <m:t>S</m:t>
            </m:r>
          </m:e>
          <m:sub>
            <m:r>
              <m:t>2</m:t>
            </m:r>
          </m:sub>
        </m:sSub>
      </m:oMath>
      <w:r>
        <w:t xml:space="preserve"> </w:t>
      </w:r>
      <w:r>
        <w:t xml:space="preserve">(50–80%) providing restraint during CT saturation; the relay trips when</w:t>
      </w:r>
      <w:r>
        <w:t xml:space="preserve"> </w:t>
      </w:r>
      <m:oMath>
        <m:sSub>
          <m:e>
            <m:r>
              <m:t>I</m:t>
            </m:r>
          </m:e>
          <m:sub>
            <m:r>
              <m:t>d</m:t>
            </m:r>
          </m:sub>
        </m:sSub>
        <m:r>
          <m:t>&gt;</m:t>
        </m:r>
        <m:sSub>
          <m:e>
            <m:r>
              <m:t>I</m:t>
            </m:r>
          </m:e>
          <m:sub>
            <m:r>
              <m:t>o</m:t>
            </m:r>
            <m:r>
              <m:t>p</m:t>
            </m:r>
          </m:sub>
        </m:sSub>
      </m:oMath>
      <w:r>
        <w:t xml:space="preserve">.</w:t>
      </w:r>
    </w:p>
    <w:p>
      <w:pPr>
        <w:pStyle w:val="CaptionedFigure"/>
      </w:pPr>
      <w:bookmarkStart w:id="52" w:name="fig:3.1"/>
      <w:r>
        <w:drawing>
          <wp:inline>
            <wp:extent cx="5334000" cy="4360945"/>
            <wp:effectExtent b="0" l="0" r="0" t="0"/>
            <wp:docPr descr="Dual-slope percentage restraint characteristic of the differential relay." title="" id="1" name="Picture"/>
            <a:graphic>
              <a:graphicData uri="http://schemas.openxmlformats.org/drawingml/2006/picture">
                <pic:pic>
                  <pic:nvPicPr>
                    <pic:cNvPr descr="fig_3_1.png" id="0" name="Picture"/>
                    <pic:cNvPicPr>
                      <a:picLocks noChangeArrowheads="1" noChangeAspect="1"/>
                    </pic:cNvPicPr>
                  </pic:nvPicPr>
                  <pic:blipFill>
                    <a:blip r:embed="rId51"/>
                    <a:stretch>
                      <a:fillRect/>
                    </a:stretch>
                  </pic:blipFill>
                  <pic:spPr bwMode="auto">
                    <a:xfrm>
                      <a:off x="0" y="0"/>
                      <a:ext cx="5334000" cy="4360945"/>
                    </a:xfrm>
                    <a:prstGeom prst="rect">
                      <a:avLst/>
                    </a:prstGeom>
                    <a:noFill/>
                    <a:ln w="9525">
                      <a:noFill/>
                      <a:headEnd/>
                      <a:tailEnd/>
                    </a:ln>
                  </pic:spPr>
                </pic:pic>
              </a:graphicData>
            </a:graphic>
          </wp:inline>
        </w:drawing>
      </w:r>
      <w:bookmarkEnd w:id="52"/>
    </w:p>
    <w:p>
      <w:pPr>
        <w:pStyle w:val="ImageCaption"/>
      </w:pPr>
      <w:r>
        <w:t xml:space="preserve">Dual-slope percentage restraint characteristic of the differential relay.</w:t>
      </w:r>
    </w:p>
    <w:p>
      <w:pPr>
        <w:pStyle w:val="Heading3"/>
      </w:pPr>
      <w:bookmarkStart w:id="53" w:name="pickup-current"/>
      <w:r>
        <w:t xml:space="preserve">Pickup Current</w:t>
      </w:r>
      <w:bookmarkEnd w:id="53"/>
    </w:p>
    <w:p>
      <w:pPr>
        <w:pStyle w:val="FirstParagraph"/>
      </w:pPr>
      <w:r>
        <w:t xml:space="preserve">The pickup balances sensitivity and security,</w:t>
      </w:r>
      <w:r>
        <w:t xml:space="preserve"> </w:t>
      </w:r>
      <m:oMath>
        <m:sSub>
          <m:e>
            <m:r>
              <m:t>I</m:t>
            </m:r>
          </m:e>
          <m:sub>
            <m:r>
              <m:t>d</m:t>
            </m:r>
            <m:r>
              <m:t>,</m:t>
            </m:r>
            <m:r>
              <m:t>s</m:t>
            </m:r>
            <m:r>
              <m:t>t</m:t>
            </m:r>
            <m:r>
              <m:t>e</m:t>
            </m:r>
            <m:r>
              <m:t>a</m:t>
            </m:r>
            <m:r>
              <m:t>d</m:t>
            </m:r>
            <m:r>
              <m:t>y</m:t>
            </m:r>
            <m:r>
              <m:t>,</m:t>
            </m:r>
            <m:r>
              <m:t>m</m:t>
            </m:r>
            <m:r>
              <m:t>a</m:t>
            </m:r>
            <m:r>
              <m:t>x</m:t>
            </m:r>
          </m:sub>
        </m:sSub>
        <m:r>
          <m:t>&lt;</m:t>
        </m:r>
        <m:sSub>
          <m:e>
            <m:r>
              <m:t>I</m:t>
            </m:r>
          </m:e>
          <m:sub>
            <m:r>
              <m:t>p</m:t>
            </m:r>
            <m:r>
              <m:t>i</m:t>
            </m:r>
            <m:r>
              <m:t>c</m:t>
            </m:r>
            <m:r>
              <m:t>k</m:t>
            </m:r>
            <m:r>
              <m:t>u</m:t>
            </m:r>
            <m:r>
              <m:t>p</m:t>
            </m:r>
          </m:sub>
        </m:sSub>
        <m:r>
          <m:t>&lt;</m:t>
        </m:r>
        <m:sSub>
          <m:e>
            <m:r>
              <m:t>I</m:t>
            </m:r>
          </m:e>
          <m:sub>
            <m:r>
              <m:t>d</m:t>
            </m:r>
            <m:r>
              <m:t>,</m:t>
            </m:r>
            <m:r>
              <m:t>f</m:t>
            </m:r>
            <m:r>
              <m:t>a</m:t>
            </m:r>
            <m:r>
              <m:t>u</m:t>
            </m:r>
            <m:r>
              <m:t>l</m:t>
            </m:r>
            <m:r>
              <m:t>t</m:t>
            </m:r>
            <m:r>
              <m:t>,</m:t>
            </m:r>
            <m:r>
              <m:t>m</m:t>
            </m:r>
            <m:r>
              <m:t>i</m:t>
            </m:r>
            <m:r>
              <m:t>n</m:t>
            </m:r>
          </m:sub>
        </m:sSub>
      </m:oMath>
      <w:r>
        <w:t xml:space="preserve">, typically 0.2–0.5 pu, with minimum detectable SLG fault current</w:t>
      </w:r>
      <w:r>
        <w:t xml:space="preserve"> </w:t>
      </w:r>
      <m:oMath>
        <m:sSub>
          <m:e>
            <m:r>
              <m:t>I</m:t>
            </m:r>
          </m:e>
          <m:sub>
            <m:r>
              <m:t>f</m:t>
            </m:r>
            <m:r>
              <m:t>,</m:t>
            </m:r>
            <m:r>
              <m:t>m</m:t>
            </m:r>
            <m:r>
              <m:t>i</m:t>
            </m:r>
            <m:r>
              <m:t>n</m:t>
            </m:r>
          </m:sub>
        </m:sSub>
        <m:r>
          <m:t>=</m:t>
        </m:r>
        <m:sSub>
          <m:e>
            <m:r>
              <m:t>I</m:t>
            </m:r>
          </m:e>
          <m:sub>
            <m:r>
              <m:t>p</m:t>
            </m:r>
            <m:r>
              <m:t>i</m:t>
            </m:r>
            <m:r>
              <m:t>c</m:t>
            </m:r>
            <m:r>
              <m:t>k</m:t>
            </m:r>
            <m:r>
              <m:t>u</m:t>
            </m:r>
            <m:r>
              <m:t>p</m:t>
            </m:r>
          </m:sub>
        </m:sSub>
        <m:r>
          <m:t>/</m:t>
        </m:r>
        <m:r>
          <m:t>[</m:t>
        </m:r>
        <m:r>
          <m:t>1</m:t>
        </m:r>
        <m:r>
          <m:t>−</m:t>
        </m:r>
        <m:sSub>
          <m:e>
            <m:r>
              <m:t>R</m:t>
            </m:r>
          </m:e>
          <m:sub>
            <m:r>
              <m:t>f</m:t>
            </m:r>
          </m:sub>
        </m:sSub>
        <m:r>
          <m:t>/</m:t>
        </m:r>
        <m:r>
          <m:t>(</m:t>
        </m:r>
        <m:sSub>
          <m:e>
            <m:r>
              <m:t>Z</m:t>
            </m:r>
          </m:e>
          <m:sub>
            <m:r>
              <m:t>s</m:t>
            </m:r>
          </m:sub>
        </m:sSub>
        <m:r>
          <m:t>+</m:t>
        </m:r>
        <m:sSub>
          <m:e>
            <m:r>
              <m:t>Z</m:t>
            </m:r>
          </m:e>
          <m:sub>
            <m:r>
              <m:t>t</m:t>
            </m:r>
          </m:sub>
        </m:sSub>
        <m:r>
          <m:t>)</m:t>
        </m:r>
        <m:r>
          <m:t>]</m:t>
        </m:r>
      </m:oMath>
      <w:r>
        <w:t xml:space="preserve">.</w:t>
      </w:r>
    </w:p>
    <w:p>
      <w:pPr>
        <w:pStyle w:val="Heading2"/>
      </w:pPr>
      <w:bookmarkStart w:id="54" w:name="magnetizing-inrush-current"/>
      <w:r>
        <w:t xml:space="preserve">Magnetizing Inrush Current</w:t>
      </w:r>
      <w:bookmarkEnd w:id="54"/>
    </w:p>
    <w:p>
      <w:pPr>
        <w:pStyle w:val="Heading3"/>
      </w:pPr>
      <w:bookmarkStart w:id="55" w:name="core-saturation-theory"/>
      <w:r>
        <w:t xml:space="preserve">Core Saturation Theory</w:t>
      </w:r>
      <w:bookmarkEnd w:id="55"/>
    </w:p>
    <w:p>
      <w:pPr>
        <w:pStyle w:val="FirstParagraph"/>
      </w:pPr>
      <w:r>
        <w:t xml:space="preserve">Faraday’s law gives</w:t>
      </w:r>
      <w:r>
        <w:t xml:space="preserve"> </w:t>
      </w:r>
      <m:oMath>
        <m:r>
          <m:t>v</m:t>
        </m:r>
        <m:r>
          <m:t>(</m:t>
        </m:r>
        <m:r>
          <m:t>t</m:t>
        </m:r>
        <m:r>
          <m:t>)</m:t>
        </m:r>
        <m:r>
          <m:t>=</m:t>
        </m:r>
        <m:r>
          <m:t>N</m:t>
        </m:r>
        <m:r>
          <m:t> </m:t>
        </m:r>
        <m:r>
          <m:t>d</m:t>
        </m:r>
        <m:r>
          <m:t>ϕ</m:t>
        </m:r>
        <m:r>
          <m:t>/</m:t>
        </m:r>
        <m:r>
          <m:t>d</m:t>
        </m:r>
        <m:r>
          <m:t>t</m:t>
        </m:r>
        <m:r>
          <m:t>=</m:t>
        </m:r>
        <m:r>
          <m:t>N</m:t>
        </m:r>
        <m:r>
          <m:t>A</m:t>
        </m:r>
        <m:r>
          <m:t> </m:t>
        </m:r>
        <m:r>
          <m:t>d</m:t>
        </m:r>
        <m:r>
          <m:t>B</m:t>
        </m:r>
        <m:r>
          <m:t>/</m:t>
        </m:r>
        <m:r>
          <m:t>d</m:t>
        </m:r>
        <m:r>
          <m:t>t</m:t>
        </m:r>
      </m:oMath>
      <w:r>
        <w:t xml:space="preserve">. For</w:t>
      </w:r>
      <w:r>
        <w:t xml:space="preserve"> </w:t>
      </w:r>
      <m:oMath>
        <m:r>
          <m:t>v</m:t>
        </m:r>
        <m:r>
          <m:t>(</m:t>
        </m:r>
        <m:r>
          <m:t>t</m:t>
        </m:r>
        <m:r>
          <m:t>)</m:t>
        </m:r>
        <m:r>
          <m:t>=</m:t>
        </m:r>
        <m:sSub>
          <m:e>
            <m:r>
              <m:t>V</m:t>
            </m:r>
          </m:e>
          <m:sub>
            <m:r>
              <m:t>m</m:t>
            </m:r>
          </m:sub>
        </m:sSub>
        <m:r>
          <m:rPr>
            <m:nor/>
            <m:sty m:val="p"/>
          </m:rPr>
          <m:t>sin</m:t>
        </m:r>
        <m:r>
          <m:t>(</m:t>
        </m:r>
        <m:r>
          <m:t>ω</m:t>
        </m:r>
        <m:r>
          <m:t>t</m:t>
        </m:r>
        <m:r>
          <m:t>+</m:t>
        </m:r>
        <m:r>
          <m:t>α</m:t>
        </m:r>
        <m:r>
          <m:t>)</m:t>
        </m:r>
      </m:oMath>
      <w:r>
        <w:t xml:space="preserve">, including the DC transient,</w:t>
      </w:r>
    </w:p>
    <w:p>
      <w:pPr>
        <w:pStyle w:val="BodyText"/>
      </w:pPr>
      <m:oMathPara>
        <m:oMathParaPr>
          <m:jc m:val="center"/>
        </m:oMathParaPr>
        <m:oMath>
          <m:r>
            <m:t>ϕ</m:t>
          </m:r>
          <m:r>
            <m:t>(</m:t>
          </m:r>
          <m:r>
            <m:t>t</m:t>
          </m:r>
          <m:r>
            <m:t>)</m:t>
          </m:r>
          <m:r>
            <m:t>=</m:t>
          </m:r>
          <m:r>
            <m:t>−</m:t>
          </m:r>
          <m:sSub>
            <m:e>
              <m:r>
                <m:t>Φ</m:t>
              </m:r>
            </m:e>
            <m:sub>
              <m:r>
                <m:t>m</m:t>
              </m:r>
            </m:sub>
          </m:sSub>
          <m:r>
            <m:rPr>
              <m:nor/>
              <m:sty m:val="p"/>
            </m:rPr>
            <m:t>cos</m:t>
          </m:r>
          <m:r>
            <m:t>(</m:t>
          </m:r>
          <m:r>
            <m:t>ω</m:t>
          </m:r>
          <m:r>
            <m:t>t</m:t>
          </m:r>
          <m:r>
            <m:t>+</m:t>
          </m:r>
          <m:r>
            <m:t>α</m:t>
          </m:r>
          <m:r>
            <m:t>)</m:t>
          </m:r>
          <m:r>
            <m:t>+</m:t>
          </m:r>
          <m:sSub>
            <m:e>
              <m:r>
                <m:t>Φ</m:t>
              </m:r>
            </m:e>
            <m:sub>
              <m:r>
                <m:t>m</m:t>
              </m:r>
            </m:sub>
          </m:sSub>
          <m:r>
            <m:rPr>
              <m:nor/>
              <m:sty m:val="p"/>
            </m:rPr>
            <m:t>cos</m:t>
          </m:r>
          <m:r>
            <m:t>(</m:t>
          </m:r>
          <m:r>
            <m:t>α</m:t>
          </m:r>
          <m:r>
            <m:t>)</m:t>
          </m:r>
          <m:sSup>
            <m:e>
              <m:r>
                <m:t>e</m:t>
              </m:r>
            </m:e>
            <m:sup>
              <m:r>
                <m:t>−</m:t>
              </m:r>
              <m:r>
                <m:t>t</m:t>
              </m:r>
              <m:r>
                <m:t>/</m:t>
              </m:r>
              <m:r>
                <m:t>τ</m:t>
              </m:r>
            </m:sup>
          </m:sSup>
          <m:r>
            <m:t>+</m:t>
          </m:r>
          <m:sSub>
            <m:e>
              <m:r>
                <m:t>Φ</m:t>
              </m:r>
            </m:e>
            <m:sub>
              <m:r>
                <m:t>r</m:t>
              </m:r>
            </m:sub>
          </m:sSub>
          <m:sSup>
            <m:e>
              <m:r>
                <m:t>e</m:t>
              </m:r>
            </m:e>
            <m:sup>
              <m:r>
                <m:t>−</m:t>
              </m:r>
              <m:r>
                <m:t>t</m:t>
              </m:r>
              <m:r>
                <m:t>/</m:t>
              </m:r>
              <m:r>
                <m:t>τ</m:t>
              </m:r>
            </m:sup>
          </m:sSup>
          <m:r>
            <m:t>.</m:t>
          </m:r>
        </m:oMath>
      </m:oMathPara>
    </w:p>
    <w:p>
      <w:pPr>
        <w:pStyle w:val="FirstParagraph"/>
      </w:pPr>
      <w:r>
        <w:t xml:space="preserve">At worst-case energization (</w:t>
      </w:r>
      <m:oMath>
        <m:r>
          <m:t>α</m:t>
        </m:r>
        <m:r>
          <m:t>=</m:t>
        </m:r>
        <m:r>
          <m:t>0</m:t>
        </m:r>
        <m:r>
          <m:t>,</m:t>
        </m:r>
        <m:r>
          <m:t> </m:t>
        </m:r>
        <m:sSub>
          <m:e>
            <m:r>
              <m:t>Φ</m:t>
            </m:r>
          </m:e>
          <m:sub>
            <m:r>
              <m:t>r</m:t>
            </m:r>
          </m:sub>
        </m:sSub>
        <m:r>
          <m:t>=</m:t>
        </m:r>
        <m:sSub>
          <m:e>
            <m:r>
              <m:t>Φ</m:t>
            </m:r>
          </m:e>
          <m:sub>
            <m:r>
              <m:t>m</m:t>
            </m:r>
          </m:sub>
        </m:sSub>
      </m:oMath>
      <w:r>
        <w:t xml:space="preserve">),</w:t>
      </w:r>
      <w:r>
        <w:t xml:space="preserve"> </w:t>
      </w:r>
      <m:oMath>
        <m:sSub>
          <m:e>
            <m:r>
              <m:t>Φ</m:t>
            </m:r>
          </m:e>
          <m:sub>
            <m:r>
              <m:t>p</m:t>
            </m:r>
            <m:r>
              <m:t>e</m:t>
            </m:r>
            <m:r>
              <m:t>a</m:t>
            </m:r>
            <m:r>
              <m:t>k</m:t>
            </m:r>
          </m:sub>
        </m:sSub>
        <m:r>
          <m:t>=</m:t>
        </m:r>
        <m:r>
          <m:t>2</m:t>
        </m:r>
        <m:sSub>
          <m:e>
            <m:r>
              <m:t>Φ</m:t>
            </m:r>
          </m:e>
          <m:sub>
            <m:r>
              <m:t>m</m:t>
            </m:r>
          </m:sub>
        </m:sSub>
        <m:r>
          <m:t>+</m:t>
        </m:r>
        <m:sSub>
          <m:e>
            <m:r>
              <m:t>Φ</m:t>
            </m:r>
          </m:e>
          <m:sub>
            <m:r>
              <m:t>r</m:t>
            </m:r>
          </m:sub>
        </m:sSub>
        <m:r>
          <m:t>=</m:t>
        </m:r>
        <m:r>
          <m:t>3</m:t>
        </m:r>
        <m:sSub>
          <m:e>
            <m:r>
              <m:t>Φ</m:t>
            </m:r>
          </m:e>
          <m:sub>
            <m:r>
              <m:t>m</m:t>
            </m:r>
          </m:sub>
        </m:sSub>
      </m:oMath>
      <w:r>
        <w:t xml:space="preserve">, exceeding</w:t>
      </w:r>
      <w:r>
        <w:t xml:space="preserve"> </w:t>
      </w:r>
      <m:oMath>
        <m:sSub>
          <m:e>
            <m:r>
              <m:t>B</m:t>
            </m:r>
          </m:e>
          <m:sub>
            <m:r>
              <m:t>s</m:t>
            </m:r>
            <m:r>
              <m:t>a</m:t>
            </m:r>
            <m:r>
              <m:t>t</m:t>
            </m:r>
          </m:sub>
        </m:sSub>
      </m:oMath>
      <w:r>
        <w:t xml:space="preserve"> </w:t>
      </w:r>
      <w:r>
        <w:t xml:space="preserve">and causing severe saturation.</w:t>
      </w:r>
    </w:p>
    <w:p>
      <w:pPr>
        <w:pStyle w:val="CaptionedFigure"/>
      </w:pPr>
      <w:bookmarkStart w:id="57" w:name="fig:3.2"/>
      <w:r>
        <w:drawing>
          <wp:inline>
            <wp:extent cx="5334000" cy="2684798"/>
            <wp:effectExtent b="0" l="0" r="0" t="0"/>
            <wp:docPr descr="Core B–H saturation curve and the resulting magnetizing inrush waveform." title="" id="1" name="Picture"/>
            <a:graphic>
              <a:graphicData uri="http://schemas.openxmlformats.org/drawingml/2006/picture">
                <pic:pic>
                  <pic:nvPicPr>
                    <pic:cNvPr descr="fig_3_2.png" id="0" name="Picture"/>
                    <pic:cNvPicPr>
                      <a:picLocks noChangeArrowheads="1" noChangeAspect="1"/>
                    </pic:cNvPicPr>
                  </pic:nvPicPr>
                  <pic:blipFill>
                    <a:blip r:embed="rId56"/>
                    <a:stretch>
                      <a:fillRect/>
                    </a:stretch>
                  </pic:blipFill>
                  <pic:spPr bwMode="auto">
                    <a:xfrm>
                      <a:off x="0" y="0"/>
                      <a:ext cx="5334000" cy="2684798"/>
                    </a:xfrm>
                    <a:prstGeom prst="rect">
                      <a:avLst/>
                    </a:prstGeom>
                    <a:noFill/>
                    <a:ln w="9525">
                      <a:noFill/>
                      <a:headEnd/>
                      <a:tailEnd/>
                    </a:ln>
                  </pic:spPr>
                </pic:pic>
              </a:graphicData>
            </a:graphic>
          </wp:inline>
        </w:drawing>
      </w:r>
      <w:bookmarkEnd w:id="57"/>
    </w:p>
    <w:p>
      <w:pPr>
        <w:pStyle w:val="ImageCaption"/>
      </w:pPr>
      <w:r>
        <w:t xml:space="preserve">Core</w:t>
      </w:r>
      <w:r>
        <w:t xml:space="preserve"> </w:t>
      </w:r>
      <m:oMath>
        <m:r>
          <m:t>B</m:t>
        </m:r>
      </m:oMath>
      <w:r>
        <w:t xml:space="preserve">–</w:t>
      </w:r>
      <m:oMath>
        <m:r>
          <m:t>H</m:t>
        </m:r>
      </m:oMath>
      <w:r>
        <w:t xml:space="preserve"> </w:t>
      </w:r>
      <w:r>
        <w:t xml:space="preserve">saturation curve and the resulting magnetizing inrush waveform.</w:t>
      </w:r>
    </w:p>
    <w:p>
      <w:pPr>
        <w:pStyle w:val="Heading3"/>
      </w:pPr>
      <w:bookmarkStart w:id="58" w:name="factors-and-harmonics"/>
      <w:r>
        <w:t xml:space="preserve">Factors and Harmonics</w:t>
      </w:r>
      <w:bookmarkEnd w:id="58"/>
    </w:p>
    <w:p>
      <w:pPr>
        <w:pStyle w:val="FirstParagraph"/>
      </w:pPr>
      <w:r>
        <w:t xml:space="preserve">Inrush magnitude depends on switching angle</w:t>
      </w:r>
      <w:r>
        <w:t xml:space="preserve"> </w:t>
      </w:r>
      <m:oMath>
        <m:r>
          <m:t>α</m:t>
        </m:r>
      </m:oMath>
      <w:r>
        <w:t xml:space="preserve">, residual flux</w:t>
      </w:r>
      <w:r>
        <w:t xml:space="preserve"> </w:t>
      </w:r>
      <m:oMath>
        <m:sSub>
          <m:e>
            <m:r>
              <m:t>Φ</m:t>
            </m:r>
          </m:e>
          <m:sub>
            <m:r>
              <m:t>r</m:t>
            </m:r>
          </m:sub>
        </m:sSub>
      </m:oMath>
      <w:r>
        <w:t xml:space="preserve"> </w:t>
      </w:r>
      <w:r>
        <w:t xml:space="preserve">(0–80% of</w:t>
      </w:r>
      <w:r>
        <w:t xml:space="preserve"> </w:t>
      </w:r>
      <m:oMath>
        <m:sSub>
          <m:e>
            <m:r>
              <m:t>Φ</m:t>
            </m:r>
          </m:e>
          <m:sub>
            <m:r>
              <m:t>m</m:t>
            </m:r>
          </m:sub>
        </m:sSub>
      </m:oMath>
      <w:r>
        <w:t xml:space="preserve">), source impedance, and core material, ranging 3–15</w:t>
      </w:r>
      <m:oMath>
        <m:r>
          <m:t>×</m:t>
        </m:r>
      </m:oMath>
      <w:r>
        <w:t xml:space="preserve"> </w:t>
      </w:r>
      <w:r>
        <w:t xml:space="preserve">rated current. The asymmetric waveform contains both odd and even harmonics; the second harmonic dominates the even spectrum (15–60% for silicon steel; 7–12% for amorphous alloys), with</w:t>
      </w:r>
      <w:r>
        <w:t xml:space="preserve"> </w:t>
      </w:r>
      <m:oMath>
        <m:sSub>
          <m:e>
            <m:r>
              <m:t>k</m:t>
            </m:r>
          </m:e>
          <m:sub>
            <m:r>
              <m:t>2</m:t>
            </m:r>
          </m:sub>
        </m:sSub>
        <m:r>
          <m:t>=</m:t>
        </m:r>
        <m:r>
          <m:t>(</m:t>
        </m:r>
        <m:sSub>
          <m:e>
            <m:r>
              <m:t>I</m:t>
            </m:r>
          </m:e>
          <m:sub>
            <m:r>
              <m:t>2</m:t>
            </m:r>
          </m:sub>
        </m:sSub>
        <m:r>
          <m:t>/</m:t>
        </m:r>
        <m:sSub>
          <m:e>
            <m:r>
              <m:t>I</m:t>
            </m:r>
          </m:e>
          <m:sub>
            <m:r>
              <m:t>1</m:t>
            </m:r>
          </m:sub>
        </m:sSub>
        <m:r>
          <m:t>)</m:t>
        </m:r>
        <m:r>
          <m:t>×</m:t>
        </m:r>
        <m:r>
          <m:t>100</m:t>
        </m:r>
        <m:r>
          <m:t>%</m:t>
        </m:r>
      </m:oMath>
      <w:r>
        <w:t xml:space="preserve"> </w:t>
      </w:r>
      <w:r>
        <w:t xml:space="preserve">and</w:t>
      </w:r>
      <w:r>
        <w:t xml:space="preserve"> </w:t>
      </w:r>
      <m:oMath>
        <m:sSub>
          <m:e>
            <m:r>
              <m:t>k</m:t>
            </m:r>
          </m:e>
          <m:sub>
            <m:r>
              <m:t>5</m:t>
            </m:r>
          </m:sub>
        </m:sSub>
        <m:r>
          <m:t>=</m:t>
        </m:r>
        <m:r>
          <m:t>(</m:t>
        </m:r>
        <m:sSub>
          <m:e>
            <m:r>
              <m:t>I</m:t>
            </m:r>
          </m:e>
          <m:sub>
            <m:r>
              <m:t>5</m:t>
            </m:r>
          </m:sub>
        </m:sSub>
        <m:r>
          <m:t>/</m:t>
        </m:r>
        <m:sSub>
          <m:e>
            <m:r>
              <m:t>I</m:t>
            </m:r>
          </m:e>
          <m:sub>
            <m:r>
              <m:t>1</m:t>
            </m:r>
          </m:sub>
        </m:sSub>
        <m:r>
          <m:t>)</m:t>
        </m:r>
        <m:r>
          <m:t>×</m:t>
        </m:r>
        <m:r>
          <m:t>100</m:t>
        </m:r>
        <m:r>
          <m:t>%</m:t>
        </m:r>
      </m:oMath>
      <w:r>
        <w:t xml:space="preserve">.</w:t>
      </w:r>
    </w:p>
    <w:p>
      <w:pPr>
        <w:pStyle w:val="Heading3"/>
      </w:pPr>
      <w:bookmarkStart w:id="59" w:name="sympathetic-inrush"/>
      <w:r>
        <w:t xml:space="preserve">Sympathetic Inrush</w:t>
      </w:r>
      <w:bookmarkEnd w:id="59"/>
    </w:p>
    <w:p>
      <w:pPr>
        <w:pStyle w:val="FirstParagraph"/>
      </w:pPr>
      <w:r>
        <w:t xml:space="preserve">Sympathetic inrush occurs when an energizing transformer’s DC inrush, flowing through the common source impedance, drives an already-energized parallel transformer into opposite-polarity saturation, producing a slowly decaying differential current that can persist for tens of seconds [4].</w:t>
      </w:r>
    </w:p>
    <w:p>
      <w:pPr>
        <w:pStyle w:val="Heading2"/>
      </w:pPr>
      <w:bookmarkStart w:id="60" w:name="current-transformer-saturation"/>
      <w:r>
        <w:t xml:space="preserve">Current Transformer Saturation</w:t>
      </w:r>
      <w:bookmarkEnd w:id="60"/>
    </w:p>
    <w:p>
      <w:pPr>
        <w:pStyle w:val="FirstParagraph"/>
      </w:pPr>
      <w:r>
        <w:t xml:space="preserve">The CT secondary current equals the referred primary minus the excitation current,</w:t>
      </w:r>
      <w:r>
        <w:t xml:space="preserve"> </w:t>
      </w:r>
      <m:oMath>
        <m:sSub>
          <m:e>
            <m:r>
              <m:t>I</m:t>
            </m:r>
          </m:e>
          <m:sub>
            <m:r>
              <m:t>s</m:t>
            </m:r>
          </m:sub>
        </m:sSub>
        <m:r>
          <m:t>=</m:t>
        </m:r>
        <m:sSub>
          <m:e>
            <m:r>
              <m:t>I</m:t>
            </m:r>
          </m:e>
          <m:sub>
            <m:r>
              <m:t>p</m:t>
            </m:r>
          </m:sub>
        </m:sSub>
        <m:r>
          <m:t>′</m:t>
        </m:r>
        <m:r>
          <m:t>−</m:t>
        </m:r>
        <m:sSub>
          <m:e>
            <m:r>
              <m:t>I</m:t>
            </m:r>
          </m:e>
          <m:sub>
            <m:r>
              <m:t>e</m:t>
            </m:r>
          </m:sub>
        </m:sSub>
      </m:oMath>
      <w:r>
        <w:t xml:space="preserve">, with</w:t>
      </w:r>
      <w:r>
        <w:t xml:space="preserve"> </w:t>
      </w:r>
      <m:oMath>
        <m:sSub>
          <m:e>
            <m:r>
              <m:t>I</m:t>
            </m:r>
          </m:e>
          <m:sub>
            <m:r>
              <m:t>e</m:t>
            </m:r>
          </m:sub>
        </m:sSub>
        <m:r>
          <m:t>=</m:t>
        </m:r>
        <m:sSub>
          <m:e>
            <m:r>
              <m:t>V</m:t>
            </m:r>
          </m:e>
          <m:sub>
            <m:r>
              <m:t>s</m:t>
            </m:r>
          </m:sub>
        </m:sSub>
        <m:r>
          <m:t>/</m:t>
        </m:r>
        <m:r>
          <m:t>(</m:t>
        </m:r>
        <m:sSub>
          <m:e>
            <m:r>
              <m:t>R</m:t>
            </m:r>
          </m:e>
          <m:sub>
            <m:r>
              <m:t>m</m:t>
            </m:r>
          </m:sub>
        </m:sSub>
        <m:r>
          <m:t>+</m:t>
        </m:r>
        <m:r>
          <m:t>j</m:t>
        </m:r>
        <m:sSub>
          <m:e>
            <m:r>
              <m:t>X</m:t>
            </m:r>
          </m:e>
          <m:sub>
            <m:r>
              <m:t>m</m:t>
            </m:r>
          </m:sub>
        </m:sSub>
        <m:r>
          <m:t>)</m:t>
        </m:r>
      </m:oMath>
      <w:r>
        <w:t xml:space="preserve">. The nonlinear magnetization curve uses</w:t>
      </w:r>
      <w:r>
        <w:t xml:space="preserve"> </w:t>
      </w:r>
      <m:oMath>
        <m:sSub>
          <m:e>
            <m:r>
              <m:t>i</m:t>
            </m:r>
          </m:e>
          <m:sub>
            <m:r>
              <m:t>e</m:t>
            </m:r>
          </m:sub>
        </m:sSub>
        <m:r>
          <m:t>(</m:t>
        </m:r>
        <m:r>
          <m:t>λ</m:t>
        </m:r>
        <m:r>
          <m:t>)</m:t>
        </m:r>
        <m:r>
          <m:t>=</m:t>
        </m:r>
        <m:r>
          <m:t>A</m:t>
        </m:r>
        <m:sSup>
          <m:e>
            <m:r>
              <m:t>e</m:t>
            </m:r>
          </m:e>
          <m:sup>
            <m:r>
              <m:t>B</m:t>
            </m:r>
            <m:r>
              <m:t>|</m:t>
            </m:r>
            <m:r>
              <m:t>λ</m:t>
            </m:r>
            <m:r>
              <m:t>|</m:t>
            </m:r>
          </m:sup>
        </m:sSup>
        <m:r>
          <m:rPr>
            <m:nor/>
            <m:sty m:val="p"/>
          </m:rPr>
          <m:t>sign</m:t>
        </m:r>
        <m:r>
          <m:t>(</m:t>
        </m:r>
        <m:r>
          <m:t>λ</m:t>
        </m:r>
        <m:r>
          <m:t>)</m:t>
        </m:r>
        <m:r>
          <m:t>+</m:t>
        </m:r>
        <m:r>
          <m:t>C</m:t>
        </m:r>
        <m:r>
          <m:t>λ</m:t>
        </m:r>
      </m:oMath>
      <w:r>
        <w:t xml:space="preserve">, with</w:t>
      </w:r>
      <w:r>
        <w:t xml:space="preserve"> </w:t>
      </w:r>
      <m:oMath>
        <m:r>
          <m:t>λ</m:t>
        </m:r>
        <m:r>
          <m:t>=</m:t>
        </m:r>
        <m:sSub>
          <m:e>
            <m:r>
              <m:t>N</m:t>
            </m:r>
          </m:e>
          <m:sub>
            <m:r>
              <m:t>2</m:t>
            </m:r>
          </m:sub>
        </m:sSub>
        <m:r>
          <m:t>ϕ</m:t>
        </m:r>
      </m:oMath>
      <w:r>
        <w:t xml:space="preserve">. CT saturation is driven by DC offset in fault currents,</w:t>
      </w:r>
      <w:r>
        <w:t xml:space="preserve"> </w:t>
      </w:r>
      <m:oMath>
        <m:sSub>
          <m:e>
            <m:r>
              <m:t>i</m:t>
            </m:r>
          </m:e>
          <m:sub>
            <m:r>
              <m:t>p</m:t>
            </m:r>
          </m:sub>
        </m:sSub>
        <m:r>
          <m:t>(</m:t>
        </m:r>
        <m:r>
          <m:t>t</m:t>
        </m:r>
        <m:r>
          <m:t>)</m:t>
        </m:r>
        <m:r>
          <m:t>=</m:t>
        </m:r>
        <m:sSub>
          <m:e>
            <m:r>
              <m:t>I</m:t>
            </m:r>
          </m:e>
          <m:sub>
            <m:r>
              <m:t>m</m:t>
            </m:r>
          </m:sub>
        </m:sSub>
        <m:r>
          <m:t>[</m:t>
        </m:r>
        <m:r>
          <m:rPr>
            <m:nor/>
            <m:sty m:val="p"/>
          </m:rPr>
          <m:t>sin</m:t>
        </m:r>
        <m:r>
          <m:t>(</m:t>
        </m:r>
        <m:r>
          <m:t>ω</m:t>
        </m:r>
        <m:r>
          <m:t>t</m:t>
        </m:r>
        <m:r>
          <m:t>+</m:t>
        </m:r>
        <m:r>
          <m:t>α</m:t>
        </m:r>
        <m:r>
          <m:t>−</m:t>
        </m:r>
        <m:r>
          <m:t>φ</m:t>
        </m:r>
        <m:r>
          <m:t>)</m:t>
        </m:r>
        <m:r>
          <m:t>−</m:t>
        </m:r>
        <m:r>
          <m:rPr>
            <m:nor/>
            <m:sty m:val="p"/>
          </m:rPr>
          <m:t>sin</m:t>
        </m:r>
        <m:r>
          <m:t>(</m:t>
        </m:r>
        <m:r>
          <m:t>α</m:t>
        </m:r>
        <m:r>
          <m:t>−</m:t>
        </m:r>
        <m:r>
          <m:t>φ</m:t>
        </m:r>
        <m:r>
          <m:t>)</m:t>
        </m:r>
        <m:sSup>
          <m:e>
            <m:r>
              <m:t>e</m:t>
            </m:r>
          </m:e>
          <m:sup>
            <m:r>
              <m:t>−</m:t>
            </m:r>
            <m:r>
              <m:t>t</m:t>
            </m:r>
            <m:r>
              <m:t>/</m:t>
            </m:r>
            <m:sSub>
              <m:e>
                <m:r>
                  <m:t>τ</m:t>
                </m:r>
              </m:e>
              <m:sub>
                <m:r>
                  <m:t>f</m:t>
                </m:r>
              </m:sub>
            </m:sSub>
          </m:sup>
        </m:sSup>
        <m:r>
          <m:t>]</m:t>
        </m:r>
      </m:oMath>
      <w:r>
        <w:t xml:space="preserve">; saturation occurs when</w:t>
      </w:r>
      <w:r>
        <w:t xml:space="preserve"> </w:t>
      </w:r>
      <m:oMath>
        <m:r>
          <m:t>λ</m:t>
        </m:r>
        <m:r>
          <m:t>&gt;</m:t>
        </m:r>
        <m:sSub>
          <m:e>
            <m:r>
              <m:t>λ</m:t>
            </m:r>
          </m:e>
          <m:sub>
            <m:r>
              <m:t>s</m:t>
            </m:r>
            <m:r>
              <m:t>a</m:t>
            </m:r>
            <m:r>
              <m:t>t</m:t>
            </m:r>
          </m:sub>
        </m:sSub>
      </m:oMath>
      <w:r>
        <w:t xml:space="preserve">. Asymmetric saturation during external faults produces spurious differential current</w:t>
      </w:r>
      <w:r>
        <w:t xml:space="preserve"> </w:t>
      </w:r>
      <m:oMath>
        <m:sSub>
          <m:e>
            <m:r>
              <m:t>I</m:t>
            </m:r>
          </m:e>
          <m:sub>
            <m:r>
              <m:t>d</m:t>
            </m:r>
          </m:sub>
        </m:sSub>
        <m:r>
          <m:t>=</m:t>
        </m:r>
        <m:r>
          <m:t>|</m:t>
        </m:r>
        <m:sSub>
          <m:e>
            <m:r>
              <m:t>I</m:t>
            </m:r>
          </m:e>
          <m:sub>
            <m:r>
              <m:t>e</m:t>
            </m:r>
            <m:r>
              <m:t>1</m:t>
            </m:r>
          </m:sub>
        </m:sSub>
        <m:r>
          <m:t>−</m:t>
        </m:r>
        <m:sSub>
          <m:e>
            <m:r>
              <m:t>I</m:t>
            </m:r>
          </m:e>
          <m:sub>
            <m:r>
              <m:t>e</m:t>
            </m:r>
            <m:r>
              <m:t>2</m:t>
            </m:r>
          </m:sub>
        </m:sSub>
        <m:r>
          <m:t>|</m:t>
        </m:r>
        <m:r>
          <m:t>≠</m:t>
        </m:r>
        <m:r>
          <m:t>0</m:t>
        </m:r>
      </m:oMath>
      <w:r>
        <w:t xml:space="preserve">; the second slope</w:t>
      </w:r>
      <w:r>
        <w:t xml:space="preserve"> </w:t>
      </w:r>
      <m:oMath>
        <m:sSub>
          <m:e>
            <m:r>
              <m:t>S</m:t>
            </m:r>
          </m:e>
          <m:sub>
            <m:r>
              <m:t>2</m:t>
            </m:r>
          </m:sub>
        </m:sSub>
      </m:oMath>
      <w:r>
        <w:t xml:space="preserve"> </w:t>
      </w:r>
      <w:r>
        <w:t xml:space="preserve">provides the necessary restraint.</w:t>
      </w:r>
    </w:p>
    <w:p>
      <w:pPr>
        <w:pStyle w:val="CaptionedFigure"/>
      </w:pPr>
      <w:bookmarkStart w:id="62" w:name="fig:3.3"/>
      <w:r>
        <w:drawing>
          <wp:inline>
            <wp:extent cx="5334000" cy="2832020"/>
            <wp:effectExtent b="0" l="0" r="0" t="0"/>
            <wp:docPr descr="Current transformer equivalent circuit and saturation-induced secondary distortion." title="" id="1" name="Picture"/>
            <a:graphic>
              <a:graphicData uri="http://schemas.openxmlformats.org/drawingml/2006/picture">
                <pic:pic>
                  <pic:nvPicPr>
                    <pic:cNvPr descr="fig_3_3.png" id="0" name="Picture"/>
                    <pic:cNvPicPr>
                      <a:picLocks noChangeArrowheads="1" noChangeAspect="1"/>
                    </pic:cNvPicPr>
                  </pic:nvPicPr>
                  <pic:blipFill>
                    <a:blip r:embed="rId61"/>
                    <a:stretch>
                      <a:fillRect/>
                    </a:stretch>
                  </pic:blipFill>
                  <pic:spPr bwMode="auto">
                    <a:xfrm>
                      <a:off x="0" y="0"/>
                      <a:ext cx="5334000" cy="2832020"/>
                    </a:xfrm>
                    <a:prstGeom prst="rect">
                      <a:avLst/>
                    </a:prstGeom>
                    <a:noFill/>
                    <a:ln w="9525">
                      <a:noFill/>
                      <a:headEnd/>
                      <a:tailEnd/>
                    </a:ln>
                  </pic:spPr>
                </pic:pic>
              </a:graphicData>
            </a:graphic>
          </wp:inline>
        </w:drawing>
      </w:r>
      <w:bookmarkEnd w:id="62"/>
    </w:p>
    <w:p>
      <w:pPr>
        <w:pStyle w:val="ImageCaption"/>
      </w:pPr>
      <w:r>
        <w:t xml:space="preserve">Current transformer equivalent circuit and saturation-induced secondary distortion.</w:t>
      </w:r>
    </w:p>
    <w:p>
      <w:pPr>
        <w:pStyle w:val="Heading2"/>
      </w:pPr>
      <w:bookmarkStart w:id="63" w:name="internal-fault-characteristics"/>
      <w:r>
        <w:t xml:space="preserve">Internal Fault Characteristics</w:t>
      </w:r>
      <w:bookmarkEnd w:id="63"/>
    </w:p>
    <w:p>
      <w:pPr>
        <w:pStyle w:val="FirstParagraph"/>
      </w:pPr>
      <w:r>
        <w:t xml:space="preserve">Internal faults include SLG (most common), LL, LLL/LLLG, and inter-turn faults. Inter-turn faults are hardest to detect since shorted turns partially cancel the affected MMF,</w:t>
      </w:r>
      <w:r>
        <w:t xml:space="preserve"> </w:t>
      </w:r>
      <m:oMath>
        <m:sSub>
          <m:e>
            <m:r>
              <m:t>I</m:t>
            </m:r>
          </m:e>
          <m:sub>
            <m:r>
              <m:t>d</m:t>
            </m:r>
          </m:sub>
        </m:sSub>
        <m:r>
          <m:t>≈</m:t>
        </m:r>
        <m:r>
          <m:t>(</m:t>
        </m:r>
        <m:sSub>
          <m:e>
            <m:r>
              <m:t>N</m:t>
            </m:r>
          </m:e>
          <m:sub>
            <m:r>
              <m:t>s</m:t>
            </m:r>
          </m:sub>
        </m:sSub>
        <m:r>
          <m:t>/</m:t>
        </m:r>
        <m:r>
          <m:t>N</m:t>
        </m:r>
        <m:r>
          <m:t>)</m:t>
        </m:r>
        <m:sSub>
          <m:e>
            <m:r>
              <m:t>I</m:t>
            </m:r>
          </m:e>
          <m:sub>
            <m:r>
              <m:t>l</m:t>
            </m:r>
            <m:r>
              <m:t>o</m:t>
            </m:r>
            <m:r>
              <m:t>a</m:t>
            </m:r>
            <m:r>
              <m:t>d</m:t>
            </m:r>
          </m:sub>
        </m:sSub>
      </m:oMath>
      <w:r>
        <w:t xml:space="preserve">; for 1–5% turn faults</w:t>
      </w:r>
      <w:r>
        <w:t xml:space="preserve"> </w:t>
      </w:r>
      <m:oMath>
        <m:sSub>
          <m:e>
            <m:r>
              <m:t>I</m:t>
            </m:r>
          </m:e>
          <m:sub>
            <m:r>
              <m:t>d</m:t>
            </m:r>
          </m:sub>
        </m:sSub>
      </m:oMath>
      <w:r>
        <w:t xml:space="preserve"> </w:t>
      </w:r>
      <w:r>
        <w:t xml:space="preserve">may fall below load level. Using symmetrical components, an SLG fault yields</w:t>
      </w:r>
      <w:r>
        <w:t xml:space="preserve"> </w:t>
      </w:r>
      <m:oMath>
        <m:sSub>
          <m:e>
            <m:r>
              <m:t>I</m:t>
            </m:r>
          </m:e>
          <m:sub>
            <m:r>
              <m:t>a</m:t>
            </m:r>
            <m:r>
              <m:t>1</m:t>
            </m:r>
          </m:sub>
        </m:sSub>
        <m:r>
          <m:t>=</m:t>
        </m:r>
        <m:sSub>
          <m:e>
            <m:r>
              <m:t>I</m:t>
            </m:r>
          </m:e>
          <m:sub>
            <m:r>
              <m:t>a</m:t>
            </m:r>
            <m:r>
              <m:t>2</m:t>
            </m:r>
          </m:sub>
        </m:sSub>
        <m:r>
          <m:t>=</m:t>
        </m:r>
        <m:sSub>
          <m:e>
            <m:r>
              <m:t>I</m:t>
            </m:r>
          </m:e>
          <m:sub>
            <m:r>
              <m:t>a</m:t>
            </m:r>
            <m:r>
              <m:t>0</m:t>
            </m:r>
          </m:sub>
        </m:sSub>
        <m:r>
          <m:t>=</m:t>
        </m:r>
        <m:sSub>
          <m:e>
            <m:r>
              <m:t>V</m:t>
            </m:r>
          </m:e>
          <m:sub>
            <m:r>
              <m:t>f</m:t>
            </m:r>
          </m:sub>
        </m:sSub>
        <m:r>
          <m:t>/</m:t>
        </m:r>
        <m:r>
          <m:t>(</m:t>
        </m:r>
        <m:sSub>
          <m:e>
            <m:r>
              <m:t>Z</m:t>
            </m:r>
          </m:e>
          <m:sub>
            <m:r>
              <m:t>1</m:t>
            </m:r>
          </m:sub>
        </m:sSub>
        <m:r>
          <m:t>+</m:t>
        </m:r>
        <m:sSub>
          <m:e>
            <m:r>
              <m:t>Z</m:t>
            </m:r>
          </m:e>
          <m:sub>
            <m:r>
              <m:t>2</m:t>
            </m:r>
          </m:sub>
        </m:sSub>
        <m:r>
          <m:t>+</m:t>
        </m:r>
        <m:sSub>
          <m:e>
            <m:r>
              <m:t>Z</m:t>
            </m:r>
          </m:e>
          <m:sub>
            <m:r>
              <m:t>0</m:t>
            </m:r>
          </m:sub>
        </m:sSub>
        <m:r>
          <m:t>+</m:t>
        </m:r>
        <m:r>
          <m:t>3</m:t>
        </m:r>
        <m:sSub>
          <m:e>
            <m:r>
              <m:t>Z</m:t>
            </m:r>
          </m:e>
          <m:sub>
            <m:r>
              <m:t>f</m:t>
            </m:r>
          </m:sub>
        </m:sSub>
        <m:r>
          <m:t>)</m:t>
        </m:r>
      </m:oMath>
      <w:r>
        <w:t xml:space="preserve">. Fault time constants (0.02–0.05 s) are shorter than inrush (0.1–0.5 s), with lower even-harmonic content.</w:t>
      </w:r>
    </w:p>
    <w:p>
      <w:pPr>
        <w:pStyle w:val="Heading2"/>
      </w:pPr>
      <w:bookmarkStart w:id="64" w:name="X5a194a227260423436e6b23d522d83462668fe2"/>
      <w:r>
        <w:t xml:space="preserve">Mathematical Framework for Classification</w:t>
      </w:r>
      <w:bookmarkEnd w:id="64"/>
    </w:p>
    <w:p>
      <w:pPr>
        <w:pStyle w:val="Heading3"/>
      </w:pPr>
      <w:bookmarkStart w:id="65" w:name="feature-space-and-bayes-optimal-decision"/>
      <w:r>
        <w:t xml:space="preserve">Feature Space and Bayes-Optimal Decision</w:t>
      </w:r>
      <w:bookmarkEnd w:id="65"/>
    </w:p>
    <w:p>
      <w:pPr>
        <w:pStyle w:val="FirstParagraph"/>
      </w:pPr>
      <w:r>
        <w:t xml:space="preserve">The wavelet energy at level</w:t>
      </w:r>
      <w:r>
        <w:t xml:space="preserve"> </w:t>
      </w:r>
      <m:oMath>
        <m:r>
          <m:t>k</m:t>
        </m:r>
      </m:oMath>
      <w:r>
        <w:t xml:space="preserve"> </w:t>
      </w:r>
      <w:r>
        <w:t xml:space="preserve">is</w:t>
      </w:r>
      <w:r>
        <w:t xml:space="preserve"> </w:t>
      </w:r>
      <m:oMath>
        <m:sSub>
          <m:e>
            <m:r>
              <m:t>E</m:t>
            </m:r>
          </m:e>
          <m:sub>
            <m:r>
              <m:t>D</m:t>
            </m:r>
            <m:r>
              <m:t>k</m:t>
            </m:r>
          </m:sub>
        </m:sSub>
        <m:r>
          <m:t>=</m:t>
        </m:r>
        <m:nary>
          <m:naryPr>
            <m:chr m:val="∑"/>
            <m:limLoc m:val="undOvr"/>
            <m:subHide m:val="0"/>
            <m:supHide m:val="1"/>
          </m:naryPr>
          <m:sub>
            <m:r>
              <m:t>n</m:t>
            </m:r>
          </m:sub>
          <m:sup>
            <m:r>
              <m:t>​</m:t>
            </m:r>
          </m:sup>
          <m:e>
            <m:r>
              <m:t>|</m:t>
            </m:r>
          </m:e>
        </m:nary>
        <m:sSub>
          <m:e>
            <m:r>
              <m:t>d</m:t>
            </m:r>
          </m:e>
          <m:sub>
            <m:r>
              <m:t>k</m:t>
            </m:r>
          </m:sub>
        </m:sSub>
        <m:r>
          <m:t>[</m:t>
        </m:r>
        <m:r>
          <m:t>n</m:t>
        </m:r>
        <m:r>
          <m:t>]</m:t>
        </m:r>
        <m:sSup>
          <m:e>
            <m:r>
              <m:t>|</m:t>
            </m:r>
          </m:e>
          <m:sup>
            <m:r>
              <m:t>2</m:t>
            </m:r>
          </m:sup>
        </m:sSup>
      </m:oMath>
      <w:r>
        <w:t xml:space="preserve">. The optimal classifier maximizes the posterior probability,</w:t>
      </w:r>
      <w:r>
        <w:t xml:space="preserve"> </w:t>
      </w:r>
      <m:oMath>
        <m:acc>
          <m:accPr>
            <m:chr m:val="̂"/>
          </m:accPr>
          <m:e>
            <m:r>
              <m:t>c</m:t>
            </m:r>
          </m:e>
        </m:acc>
        <m:r>
          <m:t>=</m:t>
        </m:r>
        <m:r>
          <m:rPr>
            <m:nor/>
            <m:sty m:val="p"/>
          </m:rPr>
          <m:t>arg</m:t>
        </m:r>
        <m:sSub>
          <m:e>
            <m:r>
              <m:rPr>
                <m:nor/>
                <m:sty m:val="p"/>
              </m:rPr>
              <m:t>max</m:t>
            </m:r>
          </m:e>
          <m:sub>
            <m:r>
              <m:t>c</m:t>
            </m:r>
          </m:sub>
        </m:sSub>
        <m:r>
          <m:t>P</m:t>
        </m:r>
        <m:r>
          <m:t>(</m:t>
        </m:r>
        <m:sSub>
          <m:e>
            <m:r>
              <m:t>ω</m:t>
            </m:r>
          </m:e>
          <m:sub>
            <m:r>
              <m:t>c</m:t>
            </m:r>
          </m:sub>
        </m:sSub>
        <m:r>
          <m:t>∣</m:t>
        </m:r>
        <m:r>
          <m:t>x</m:t>
        </m:r>
        <m:r>
          <m:t>)</m:t>
        </m:r>
        <m:r>
          <m:t>=</m:t>
        </m:r>
        <m:r>
          <m:rPr>
            <m:nor/>
            <m:sty m:val="p"/>
          </m:rPr>
          <m:t>arg</m:t>
        </m:r>
        <m:sSub>
          <m:e>
            <m:r>
              <m:rPr>
                <m:nor/>
                <m:sty m:val="p"/>
              </m:rPr>
              <m:t>max</m:t>
            </m:r>
          </m:e>
          <m:sub>
            <m:r>
              <m:t>c</m:t>
            </m:r>
          </m:sub>
        </m:sSub>
        <m:r>
          <m:t>p</m:t>
        </m:r>
        <m:r>
          <m:t>(</m:t>
        </m:r>
        <m:r>
          <m:t>x</m:t>
        </m:r>
        <m:r>
          <m:t>∣</m:t>
        </m:r>
        <m:sSub>
          <m:e>
            <m:r>
              <m:t>ω</m:t>
            </m:r>
          </m:e>
          <m:sub>
            <m:r>
              <m:t>c</m:t>
            </m:r>
          </m:sub>
        </m:sSub>
        <m:r>
          <m:t>)</m:t>
        </m:r>
        <m:r>
          <m:t>P</m:t>
        </m:r>
        <m:r>
          <m:t>(</m:t>
        </m:r>
        <m:sSub>
          <m:e>
            <m:r>
              <m:t>ω</m:t>
            </m:r>
          </m:e>
          <m:sub>
            <m:r>
              <m:t>c</m:t>
            </m:r>
          </m:sub>
        </m:sSub>
        <m:r>
          <m:t>)</m:t>
        </m:r>
      </m:oMath>
      <w:r>
        <w:t xml:space="preserve">. For protection, the loss of a missed internal fault</w:t>
      </w:r>
      <w:r>
        <w:t xml:space="preserve"> </w:t>
      </w:r>
      <m:oMath>
        <m:sSub>
          <m:e>
            <m:r>
              <m:t>L</m:t>
            </m:r>
          </m:e>
          <m:sub>
            <m:r>
              <m:t>F</m:t>
            </m:r>
            <m:r>
              <m:t>N</m:t>
            </m:r>
          </m:sub>
        </m:sSub>
      </m:oMath>
      <w:r>
        <w:t xml:space="preserve"> </w:t>
      </w:r>
      <w:r>
        <w:t xml:space="preserve">greatly exceeds that of a false trip</w:t>
      </w:r>
      <w:r>
        <w:t xml:space="preserve"> </w:t>
      </w:r>
      <m:oMath>
        <m:sSub>
          <m:e>
            <m:r>
              <m:t>L</m:t>
            </m:r>
          </m:e>
          <m:sub>
            <m:r>
              <m:t>F</m:t>
            </m:r>
            <m:r>
              <m:t>P</m:t>
            </m:r>
          </m:sub>
        </m:sSub>
      </m:oMath>
      <w:r>
        <w:t xml:space="preserve">, biasing the decision toward dependability; the hybrid architecture realizes this asymmetry structurally. The LSTM learns the mapping through a softmax output and cross-entropy loss:</w:t>
      </w:r>
    </w:p>
    <w:p>
      <w:pPr>
        <w:pStyle w:val="BodyText"/>
      </w:pPr>
      <m:oMathPara>
        <m:oMathParaPr>
          <m:jc m:val="center"/>
        </m:oMathParaPr>
        <m:oMath>
          <m:r>
            <m:t>P</m:t>
          </m:r>
          <m:r>
            <m:t>(</m:t>
          </m:r>
          <m:sSub>
            <m:e>
              <m:r>
                <m:t>ω</m:t>
              </m:r>
            </m:e>
            <m:sub>
              <m:r>
                <m:t>c</m:t>
              </m:r>
            </m:sub>
          </m:sSub>
          <m:r>
            <m:t>∣</m:t>
          </m:r>
          <m:sSub>
            <m:e>
              <m:r>
                <m:t>x</m:t>
              </m:r>
            </m:e>
            <m:sub>
              <m:r>
                <m:t>1</m:t>
              </m:r>
              <m:r>
                <m:t>:</m:t>
              </m:r>
              <m:r>
                <m:t>T</m:t>
              </m:r>
            </m:sub>
          </m:sSub>
          <m:r>
            <m:t>)</m:t>
          </m:r>
          <m:r>
            <m:t>=</m:t>
          </m:r>
          <m:f>
            <m:fPr>
              <m:type m:val="bar"/>
            </m:fPr>
            <m:num>
              <m:sSup>
                <m:e>
                  <m:r>
                    <m:t>e</m:t>
                  </m:r>
                </m:e>
                <m:sup>
                  <m:sSub>
                    <m:e>
                      <m:r>
                        <m:t>z</m:t>
                      </m:r>
                    </m:e>
                    <m:sub>
                      <m:r>
                        <m:t>c</m:t>
                      </m:r>
                    </m:sub>
                  </m:sSub>
                </m:sup>
              </m:sSup>
            </m:num>
            <m:den>
              <m:nary>
                <m:naryPr>
                  <m:chr m:val="∑"/>
                  <m:limLoc m:val="undOvr"/>
                  <m:subHide m:val="0"/>
                  <m:supHide m:val="1"/>
                </m:naryPr>
                <m:sub>
                  <m:r>
                    <m:t>k</m:t>
                  </m:r>
                </m:sub>
                <m:sup>
                  <m:r>
                    <m:t>​</m:t>
                  </m:r>
                </m:sup>
                <m:e>
                  <m:sSup>
                    <m:e>
                      <m:r>
                        <m:t>e</m:t>
                      </m:r>
                    </m:e>
                    <m:sup>
                      <m:sSub>
                        <m:e>
                          <m:r>
                            <m:t>z</m:t>
                          </m:r>
                        </m:e>
                        <m:sub>
                          <m:r>
                            <m:t>k</m:t>
                          </m:r>
                        </m:sub>
                      </m:sSub>
                    </m:sup>
                  </m:sSup>
                </m:e>
              </m:nary>
            </m:den>
          </m:f>
          <m:r>
            <m:t>,</m:t>
          </m:r>
          <m:r>
            <m:t>  </m:t>
          </m:r>
          <m:r>
            <m:rPr>
              <m:sty m:val="p"/>
              <m:scr m:val="script"/>
            </m:rPr>
            <m:t>L</m:t>
          </m:r>
          <m:r>
            <m:t>=</m:t>
          </m:r>
          <m:r>
            <m:t>−</m:t>
          </m:r>
          <m:f>
            <m:fPr>
              <m:type m:val="bar"/>
            </m:fPr>
            <m:num>
              <m:r>
                <m:t>1</m:t>
              </m:r>
            </m:num>
            <m:den>
              <m:r>
                <m:t>N</m:t>
              </m:r>
            </m:den>
          </m:f>
          <m:nary>
            <m:naryPr>
              <m:chr m:val="∑"/>
              <m:limLoc m:val="undOvr"/>
              <m:subHide m:val="0"/>
              <m:supHide m:val="1"/>
            </m:naryPr>
            <m:sub>
              <m:r>
                <m:t>n</m:t>
              </m:r>
            </m:sub>
            <m:sup>
              <m:r>
                <m:t>​</m:t>
              </m:r>
            </m:sup>
            <m:e>
              <m:nary>
                <m:naryPr>
                  <m:chr m:val="∑"/>
                  <m:limLoc m:val="undOvr"/>
                  <m:subHide m:val="0"/>
                  <m:supHide m:val="1"/>
                </m:naryPr>
                <m:sub>
                  <m:r>
                    <m:t>c</m:t>
                  </m:r>
                </m:sub>
                <m:sup>
                  <m:r>
                    <m:t>​</m:t>
                  </m:r>
                </m:sup>
                <m:e>
                  <m:sSub>
                    <m:e>
                      <m:r>
                        <m:t>y</m:t>
                      </m:r>
                    </m:e>
                    <m:sub>
                      <m:r>
                        <m:t>n</m:t>
                      </m:r>
                      <m:r>
                        <m:t>,</m:t>
                      </m:r>
                      <m:r>
                        <m:t>c</m:t>
                      </m:r>
                    </m:sub>
                  </m:sSub>
                </m:e>
              </m:nary>
            </m:e>
          </m:nary>
          <m:r>
            <m:rPr>
              <m:nor/>
              <m:sty m:val="p"/>
            </m:rPr>
            <m:t>ln</m:t>
          </m:r>
          <m:r>
            <m:t>P</m:t>
          </m:r>
          <m:r>
            <m:t>(</m:t>
          </m:r>
          <m:sSub>
            <m:e>
              <m:r>
                <m:t>ω</m:t>
              </m:r>
            </m:e>
            <m:sub>
              <m:r>
                <m:t>c</m:t>
              </m:r>
            </m:sub>
          </m:sSub>
          <m:r>
            <m:t>∣</m:t>
          </m:r>
          <m:sSubSup>
            <m:e>
              <m:r>
                <m:t>x</m:t>
              </m:r>
            </m:e>
            <m:sub>
              <m:r>
                <m:t>1</m:t>
              </m:r>
              <m:r>
                <m:t>:</m:t>
              </m:r>
              <m:r>
                <m:t>T</m:t>
              </m:r>
            </m:sub>
            <m:sup>
              <m:r>
                <m:t>(</m:t>
              </m:r>
              <m:r>
                <m:t>n</m:t>
              </m:r>
              <m:r>
                <m:t>)</m:t>
              </m:r>
            </m:sup>
          </m:sSubSup>
          <m:r>
            <m:t>)</m:t>
          </m:r>
          <m:r>
            <m:t>.</m:t>
          </m:r>
        </m:oMath>
      </m:oMathPara>
    </w:p>
    <w:p>
      <w:pPr>
        <w:pStyle w:val="FirstParagraph"/>
      </w:pPr>
      <w:r>
        <w:t xml:space="preserve">Feature separability is guided by the Fisher discriminant ratio</w:t>
      </w:r>
      <w:r>
        <w:t xml:space="preserve"> </w:t>
      </w:r>
      <m:oMath>
        <m:r>
          <m:rPr>
            <m:nor/>
            <m:sty m:val="p"/>
          </m:rPr>
          <m:t>FDR</m:t>
        </m:r>
        <m:r>
          <m:t>=</m:t>
        </m:r>
        <m:r>
          <m:t>(</m:t>
        </m:r>
        <m:sSub>
          <m:e>
            <m:r>
              <m:t>μ</m:t>
            </m:r>
          </m:e>
          <m:sub>
            <m:r>
              <m:t>c</m:t>
            </m:r>
            <m:r>
              <m:t>1</m:t>
            </m:r>
          </m:sub>
        </m:sSub>
        <m:r>
          <m:t>−</m:t>
        </m:r>
        <m:sSub>
          <m:e>
            <m:r>
              <m:t>μ</m:t>
            </m:r>
          </m:e>
          <m:sub>
            <m:r>
              <m:t>c</m:t>
            </m:r>
            <m:r>
              <m:t>2</m:t>
            </m:r>
          </m:sub>
        </m:sSub>
        <m:sSup>
          <m:e>
            <m:r>
              <m:t>)</m:t>
            </m:r>
          </m:e>
          <m:sup>
            <m:r>
              <m:t>2</m:t>
            </m:r>
          </m:sup>
        </m:sSup>
        <m:r>
          <m:t>/</m:t>
        </m:r>
        <m:r>
          <m:t>(</m:t>
        </m:r>
        <m:sSubSup>
          <m:e>
            <m:r>
              <m:t>σ</m:t>
            </m:r>
          </m:e>
          <m:sub>
            <m:r>
              <m:t>c</m:t>
            </m:r>
            <m:r>
              <m:t>1</m:t>
            </m:r>
          </m:sub>
          <m:sup>
            <m:r>
              <m:t>2</m:t>
            </m:r>
          </m:sup>
        </m:sSubSup>
        <m:r>
          <m:t>+</m:t>
        </m:r>
        <m:sSubSup>
          <m:e>
            <m:r>
              <m:t>σ</m:t>
            </m:r>
          </m:e>
          <m:sub>
            <m:r>
              <m:t>c</m:t>
            </m:r>
            <m:r>
              <m:t>2</m:t>
            </m:r>
          </m:sub>
          <m:sup>
            <m:r>
              <m:t>2</m:t>
            </m:r>
          </m:sup>
        </m:sSubSup>
        <m:r>
          <m:t>)</m:t>
        </m:r>
      </m:oMath>
      <w:r>
        <w:t xml:space="preserve"> </w:t>
      </w:r>
      <w:r>
        <w:t xml:space="preserve">and by the mutual information</w:t>
      </w:r>
      <w:r>
        <w:t xml:space="preserve"> </w:t>
      </w:r>
      <m:oMath>
        <m:r>
          <m:t>I</m:t>
        </m:r>
        <m:r>
          <m:t>(</m:t>
        </m:r>
        <m:r>
          <m:t>X</m:t>
        </m:r>
        <m:r>
          <m:t>;</m:t>
        </m:r>
        <m:r>
          <m:t>Y</m:t>
        </m:r>
        <m:r>
          <m:t>)</m:t>
        </m:r>
        <m:r>
          <m:t>=</m:t>
        </m:r>
        <m:r>
          <m:t>H</m:t>
        </m:r>
        <m:r>
          <m:t>(</m:t>
        </m:r>
        <m:r>
          <m:t>Y</m:t>
        </m:r>
        <m:r>
          <m:t>)</m:t>
        </m:r>
        <m:r>
          <m:t>−</m:t>
        </m:r>
        <m:r>
          <m:t>H</m:t>
        </m:r>
        <m:r>
          <m:t>(</m:t>
        </m:r>
        <m:r>
          <m:t>Y</m:t>
        </m:r>
        <m:r>
          <m:t>∣</m:t>
        </m:r>
        <m:r>
          <m:t>X</m:t>
        </m:r>
        <m:r>
          <m:t>)</m:t>
        </m:r>
      </m:oMath>
      <w:r>
        <w:t xml:space="preserve">.</w:t>
      </w:r>
    </w:p>
    <w:p>
      <w:pPr>
        <w:pStyle w:val="CaptionedFigure"/>
      </w:pPr>
      <w:bookmarkStart w:id="67" w:name="fig:3.4"/>
      <w:r>
        <w:drawing>
          <wp:inline>
            <wp:extent cx="5334000" cy="4348703"/>
            <wp:effectExtent b="0" l="0" r="0" t="0"/>
            <wp:docPr descr="Conceptual feature-space separation of the event classes with cost-asymmetric decision boundaries." title="" id="1" name="Picture"/>
            <a:graphic>
              <a:graphicData uri="http://schemas.openxmlformats.org/drawingml/2006/picture">
                <pic:pic>
                  <pic:nvPicPr>
                    <pic:cNvPr descr="fig_3_4.png" id="0" name="Picture"/>
                    <pic:cNvPicPr>
                      <a:picLocks noChangeArrowheads="1" noChangeAspect="1"/>
                    </pic:cNvPicPr>
                  </pic:nvPicPr>
                  <pic:blipFill>
                    <a:blip r:embed="rId66"/>
                    <a:stretch>
                      <a:fillRect/>
                    </a:stretch>
                  </pic:blipFill>
                  <pic:spPr bwMode="auto">
                    <a:xfrm>
                      <a:off x="0" y="0"/>
                      <a:ext cx="5334000" cy="4348703"/>
                    </a:xfrm>
                    <a:prstGeom prst="rect">
                      <a:avLst/>
                    </a:prstGeom>
                    <a:noFill/>
                    <a:ln w="9525">
                      <a:noFill/>
                      <a:headEnd/>
                      <a:tailEnd/>
                    </a:ln>
                  </pic:spPr>
                </pic:pic>
              </a:graphicData>
            </a:graphic>
          </wp:inline>
        </w:drawing>
      </w:r>
      <w:bookmarkEnd w:id="67"/>
    </w:p>
    <w:p>
      <w:pPr>
        <w:pStyle w:val="ImageCaption"/>
      </w:pPr>
      <w:r>
        <w:t xml:space="preserve">Conceptual feature-space separation of the event classes with cost-asymmetric decision boundaries.</w:t>
      </w:r>
    </w:p>
    <w:p>
      <w:pPr>
        <w:pStyle w:val="Heading3"/>
      </w:pPr>
      <w:bookmarkStart w:id="68" w:name="performance-metrics"/>
      <w:r>
        <w:t xml:space="preserve">Performance Metrics</w:t>
      </w:r>
      <w:bookmarkEnd w:id="68"/>
    </w:p>
    <w:p>
      <w:pPr>
        <w:pStyle w:val="FirstParagraph"/>
      </w:pPr>
      <w:r>
        <w:t xml:space="preserve">Performance is evaluated by accuracy, precision</w:t>
      </w:r>
      <w:r>
        <w:t xml:space="preserve"> </w:t>
      </w:r>
      <m:oMath>
        <m:r>
          <m:t>=</m:t>
        </m:r>
        <m:r>
          <m:t>T</m:t>
        </m:r>
        <m:r>
          <m:t>P</m:t>
        </m:r>
        <m:r>
          <m:t>/</m:t>
        </m:r>
        <m:r>
          <m:t>(</m:t>
        </m:r>
        <m:r>
          <m:t>T</m:t>
        </m:r>
        <m:r>
          <m:t>P</m:t>
        </m:r>
        <m:r>
          <m:t>+</m:t>
        </m:r>
        <m:r>
          <m:t>F</m:t>
        </m:r>
        <m:r>
          <m:t>P</m:t>
        </m:r>
        <m:r>
          <m:t>)</m:t>
        </m:r>
      </m:oMath>
      <w:r>
        <w:t xml:space="preserve">, recall</w:t>
      </w:r>
      <w:r>
        <w:t xml:space="preserve"> </w:t>
      </w:r>
      <m:oMath>
        <m:r>
          <m:t>=</m:t>
        </m:r>
        <m:r>
          <m:t>T</m:t>
        </m:r>
        <m:r>
          <m:t>P</m:t>
        </m:r>
        <m:r>
          <m:t>/</m:t>
        </m:r>
        <m:r>
          <m:t>(</m:t>
        </m:r>
        <m:r>
          <m:t>T</m:t>
        </m:r>
        <m:r>
          <m:t>P</m:t>
        </m:r>
        <m:r>
          <m:t>+</m:t>
        </m:r>
        <m:r>
          <m:t>F</m:t>
        </m:r>
        <m:r>
          <m:t>N</m:t>
        </m:r>
        <m:r>
          <m:t>)</m:t>
        </m:r>
      </m:oMath>
      <w:r>
        <w:t xml:space="preserve">, and</w:t>
      </w:r>
      <w:r>
        <w:t xml:space="preserve"> </w:t>
      </w:r>
      <m:oMath>
        <m:r>
          <m:t>F</m:t>
        </m:r>
        <m:r>
          <m:t>1</m:t>
        </m:r>
        <m:r>
          <m:t>=</m:t>
        </m:r>
        <m:r>
          <m:t>2</m:t>
        </m:r>
        <m:r>
          <m:t> </m:t>
        </m:r>
        <m:r>
          <m:t>P</m:t>
        </m:r>
        <m:r>
          <m:t> </m:t>
        </m:r>
        <m:r>
          <m:t>R</m:t>
        </m:r>
        <m:r>
          <m:t>/</m:t>
        </m:r>
        <m:r>
          <m:t>(</m:t>
        </m:r>
        <m:r>
          <m:t>P</m:t>
        </m:r>
        <m:r>
          <m:t>+</m:t>
        </m:r>
        <m:r>
          <m:t>R</m:t>
        </m:r>
        <m:r>
          <m:t>)</m:t>
        </m:r>
      </m:oMath>
      <w:r>
        <w:t xml:space="preserve">. For protection, dependability</w:t>
      </w:r>
      <w:r>
        <w:t xml:space="preserve"> </w:t>
      </w:r>
      <m:oMath>
        <m:r>
          <m:t>=</m:t>
        </m:r>
        <m:r>
          <m:t>T</m:t>
        </m:r>
        <m:sSub>
          <m:e>
            <m:r>
              <m:t>P</m:t>
            </m:r>
          </m:e>
          <m:sub>
            <m:r>
              <m:t>f</m:t>
            </m:r>
            <m:r>
              <m:t>a</m:t>
            </m:r>
            <m:r>
              <m:t>u</m:t>
            </m:r>
            <m:r>
              <m:t>l</m:t>
            </m:r>
            <m:r>
              <m:t>t</m:t>
            </m:r>
          </m:sub>
        </m:sSub>
        <m:r>
          <m:t>/</m:t>
        </m:r>
        <m:r>
          <m:t>(</m:t>
        </m:r>
        <m:r>
          <m:t>T</m:t>
        </m:r>
        <m:sSub>
          <m:e>
            <m:r>
              <m:t>P</m:t>
            </m:r>
          </m:e>
          <m:sub>
            <m:r>
              <m:t>f</m:t>
            </m:r>
            <m:r>
              <m:t>a</m:t>
            </m:r>
            <m:r>
              <m:t>u</m:t>
            </m:r>
            <m:r>
              <m:t>l</m:t>
            </m:r>
            <m:r>
              <m:t>t</m:t>
            </m:r>
          </m:sub>
        </m:sSub>
        <m:r>
          <m:t>+</m:t>
        </m:r>
        <m:r>
          <m:t>F</m:t>
        </m:r>
        <m:sSub>
          <m:e>
            <m:r>
              <m:t>N</m:t>
            </m:r>
          </m:e>
          <m:sub>
            <m:r>
              <m:t>f</m:t>
            </m:r>
            <m:r>
              <m:t>a</m:t>
            </m:r>
            <m:r>
              <m:t>u</m:t>
            </m:r>
            <m:r>
              <m:t>l</m:t>
            </m:r>
            <m:r>
              <m:t>t</m:t>
            </m:r>
          </m:sub>
        </m:sSub>
        <m:r>
          <m:t>)</m:t>
        </m:r>
      </m:oMath>
      <w:r>
        <w:t xml:space="preserve"> </w:t>
      </w:r>
      <w:r>
        <w:t xml:space="preserve">and security</w:t>
      </w:r>
      <w:r>
        <w:t xml:space="preserve"> </w:t>
      </w:r>
      <m:oMath>
        <m:r>
          <m:t>=</m:t>
        </m:r>
        <m:r>
          <m:t>T</m:t>
        </m:r>
        <m:sSub>
          <m:e>
            <m:r>
              <m:t>N</m:t>
            </m:r>
          </m:e>
          <m:sub>
            <m:r>
              <m:t>f</m:t>
            </m:r>
            <m:r>
              <m:t>a</m:t>
            </m:r>
            <m:r>
              <m:t>u</m:t>
            </m:r>
            <m:r>
              <m:t>l</m:t>
            </m:r>
            <m:r>
              <m:t>t</m:t>
            </m:r>
          </m:sub>
        </m:sSub>
        <m:r>
          <m:t>/</m:t>
        </m:r>
        <m:r>
          <m:t>(</m:t>
        </m:r>
        <m:r>
          <m:t>F</m:t>
        </m:r>
        <m:sSub>
          <m:e>
            <m:r>
              <m:t>P</m:t>
            </m:r>
          </m:e>
          <m:sub>
            <m:r>
              <m:t>f</m:t>
            </m:r>
            <m:r>
              <m:t>a</m:t>
            </m:r>
            <m:r>
              <m:t>u</m:t>
            </m:r>
            <m:r>
              <m:t>l</m:t>
            </m:r>
            <m:r>
              <m:t>t</m:t>
            </m:r>
          </m:sub>
        </m:sSub>
        <m:r>
          <m:t>+</m:t>
        </m:r>
        <m:r>
          <m:t>T</m:t>
        </m:r>
        <m:sSub>
          <m:e>
            <m:r>
              <m:t>N</m:t>
            </m:r>
          </m:e>
          <m:sub>
            <m:r>
              <m:t>f</m:t>
            </m:r>
            <m:r>
              <m:t>a</m:t>
            </m:r>
            <m:r>
              <m:t>u</m:t>
            </m:r>
            <m:r>
              <m:t>l</m:t>
            </m:r>
            <m:r>
              <m:t>t</m:t>
            </m:r>
          </m:sub>
        </m:sSub>
        <m:r>
          <m:t>)</m:t>
        </m:r>
      </m:oMath>
      <w:r>
        <w:t xml:space="preserve"> </w:t>
      </w:r>
      <w:r>
        <w:t xml:space="preserve">are paramount, together with operating time</w:t>
      </w:r>
      <w:r>
        <w:t xml:space="preserve"> </w:t>
      </w:r>
      <m:oMath>
        <m:sSub>
          <m:e>
            <m:r>
              <m:t>T</m:t>
            </m:r>
          </m:e>
          <m:sub>
            <m:r>
              <m:t>o</m:t>
            </m:r>
            <m:r>
              <m:t>p</m:t>
            </m:r>
          </m:sub>
        </m:sSub>
        <m:r>
          <m:t>=</m:t>
        </m:r>
        <m:sSub>
          <m:e>
            <m:r>
              <m:t>t</m:t>
            </m:r>
          </m:e>
          <m:sub>
            <m:r>
              <m:t>t</m:t>
            </m:r>
            <m:r>
              <m:t>r</m:t>
            </m:r>
            <m:r>
              <m:t>i</m:t>
            </m:r>
            <m:r>
              <m:t>p</m:t>
            </m:r>
          </m:sub>
        </m:sSub>
        <m:r>
          <m:t>−</m:t>
        </m:r>
        <m:sSub>
          <m:e>
            <m:r>
              <m:t>t</m:t>
            </m:r>
          </m:e>
          <m:sub>
            <m:r>
              <m:t>e</m:t>
            </m:r>
            <m:r>
              <m:t>v</m:t>
            </m:r>
            <m:r>
              <m:t>e</m:t>
            </m:r>
            <m:r>
              <m:t>n</m:t>
            </m:r>
            <m:r>
              <m:t>t</m:t>
            </m:r>
          </m:sub>
        </m:sSub>
      </m:oMath>
      <w:r>
        <w:t xml:space="preserve"> </w:t>
      </w:r>
      <w:r>
        <w:t xml:space="preserve">and the AUC–ROC.</w:t>
      </w:r>
    </w:p>
    <w:p>
      <w:pPr>
        <w:pStyle w:val="Heading3"/>
      </w:pPr>
      <w:bookmarkStart w:id="69" w:name="bayes-risk-and-cost-asymmetric-decision"/>
      <w:r>
        <w:t xml:space="preserve">Bayes Risk and Cost-Asymmetric Decision</w:t>
      </w:r>
      <w:bookmarkEnd w:id="69"/>
    </w:p>
    <w:p>
      <w:pPr>
        <w:pStyle w:val="FirstParagraph"/>
      </w:pPr>
      <w:r>
        <w:t xml:space="preserve">The four-condition discrimination can be cast in a decision-theoretic framework that makes explicit the cost asymmetry inherent to protection. With class-conditional densities</w:t>
      </w:r>
      <w:r>
        <w:t xml:space="preserve"> </w:t>
      </w:r>
      <m:oMath>
        <m:r>
          <m:t>p</m:t>
        </m:r>
        <m:r>
          <m:t>(</m:t>
        </m:r>
        <m:r>
          <m:t>x</m:t>
        </m:r>
        <m:r>
          <m:t>∣</m:t>
        </m:r>
        <m:sSub>
          <m:e>
            <m:r>
              <m:t>ω</m:t>
            </m:r>
          </m:e>
          <m:sub>
            <m:r>
              <m:t>c</m:t>
            </m:r>
          </m:sub>
        </m:sSub>
        <m:r>
          <m:t>)</m:t>
        </m:r>
      </m:oMath>
      <w:r>
        <w:t xml:space="preserve"> </w:t>
      </w:r>
      <w:r>
        <w:t xml:space="preserve">and priors</w:t>
      </w:r>
      <w:r>
        <w:t xml:space="preserve"> </w:t>
      </w:r>
      <m:oMath>
        <m:r>
          <m:t>P</m:t>
        </m:r>
        <m:r>
          <m:t>(</m:t>
        </m:r>
        <m:sSub>
          <m:e>
            <m:r>
              <m:t>ω</m:t>
            </m:r>
          </m:e>
          <m:sub>
            <m:r>
              <m:t>c</m:t>
            </m:r>
          </m:sub>
        </m:sSub>
        <m:r>
          <m:t>)</m:t>
        </m:r>
      </m:oMath>
      <w:r>
        <w:t xml:space="preserve">, and a loss matrix</w:t>
      </w:r>
      <w:r>
        <w:t xml:space="preserve"> </w:t>
      </w:r>
      <m:oMath>
        <m:sSub>
          <m:e>
            <m:r>
              <m:t>L</m:t>
            </m:r>
          </m:e>
          <m:sub>
            <m:r>
              <m:t>i</m:t>
            </m:r>
            <m:r>
              <m:t>j</m:t>
            </m:r>
          </m:sub>
        </m:sSub>
      </m:oMath>
      <w:r>
        <w:t xml:space="preserve"> </w:t>
      </w:r>
      <w:r>
        <w:t xml:space="preserve">encoding the cost of deciding class</w:t>
      </w:r>
      <w:r>
        <w:t xml:space="preserve"> </w:t>
      </w:r>
      <m:oMath>
        <m:r>
          <m:t>i</m:t>
        </m:r>
      </m:oMath>
      <w:r>
        <w:t xml:space="preserve"> </w:t>
      </w:r>
      <w:r>
        <w:t xml:space="preserve">when the truth is</w:t>
      </w:r>
      <w:r>
        <w:t xml:space="preserve"> </w:t>
      </w:r>
      <m:oMath>
        <m:r>
          <m:t>j</m:t>
        </m:r>
      </m:oMath>
      <w:r>
        <w:t xml:space="preserve">, the optimal decision minimises the conditional risk</w:t>
      </w:r>
      <w:r>
        <w:t xml:space="preserve"> </w:t>
      </w:r>
      <m:oMath>
        <m:r>
          <m:t>R</m:t>
        </m:r>
        <m:r>
          <m:t>(</m:t>
        </m:r>
        <m:sSub>
          <m:e>
            <m:r>
              <m:t>α</m:t>
            </m:r>
          </m:e>
          <m:sub>
            <m:r>
              <m:t>i</m:t>
            </m:r>
          </m:sub>
        </m:sSub>
        <m:r>
          <m:t>∣</m:t>
        </m:r>
        <m:r>
          <m:t>x</m:t>
        </m:r>
        <m:r>
          <m:t>)</m:t>
        </m:r>
        <m:r>
          <m:t>=</m:t>
        </m:r>
        <m:nary>
          <m:naryPr>
            <m:chr m:val="∑"/>
            <m:limLoc m:val="undOvr"/>
            <m:subHide m:val="0"/>
            <m:supHide m:val="1"/>
          </m:naryPr>
          <m:sub>
            <m:r>
              <m:t>j</m:t>
            </m:r>
          </m:sub>
          <m:sup>
            <m:r>
              <m:t>​</m:t>
            </m:r>
          </m:sup>
          <m:e>
            <m:sSub>
              <m:e>
                <m:r>
                  <m:t>L</m:t>
                </m:r>
              </m:e>
              <m:sub>
                <m:r>
                  <m:t>i</m:t>
                </m:r>
                <m:r>
                  <m:t>j</m:t>
                </m:r>
              </m:sub>
            </m:sSub>
          </m:e>
        </m:nary>
        <m:r>
          <m:t>P</m:t>
        </m:r>
        <m:r>
          <m:t>(</m:t>
        </m:r>
        <m:sSub>
          <m:e>
            <m:r>
              <m:t>ω</m:t>
            </m:r>
          </m:e>
          <m:sub>
            <m:r>
              <m:t>j</m:t>
            </m:r>
          </m:sub>
        </m:sSub>
        <m:r>
          <m:t>∣</m:t>
        </m:r>
        <m:r>
          <m:t>x</m:t>
        </m:r>
        <m:r>
          <m:t>)</m:t>
        </m:r>
      </m:oMath>
      <w:r>
        <w:t xml:space="preserve">. For protection, the loss of a missed internal fault vastly exceeds that of a spurious trip,</w:t>
      </w:r>
      <w:r>
        <w:t xml:space="preserve"> </w:t>
      </w:r>
      <m:oMath>
        <m:sSub>
          <m:e>
            <m:r>
              <m:t>L</m:t>
            </m:r>
          </m:e>
          <m:sub>
            <m:r>
              <m:t>F</m:t>
            </m:r>
            <m:r>
              <m:t>N</m:t>
            </m:r>
          </m:sub>
        </m:sSub>
        <m:r>
          <m:t>≫</m:t>
        </m:r>
        <m:sSub>
          <m:e>
            <m:r>
              <m:t>L</m:t>
            </m:r>
          </m:e>
          <m:sub>
            <m:r>
              <m:t>F</m:t>
            </m:r>
            <m:r>
              <m:t>P</m:t>
            </m:r>
          </m:sub>
        </m:sSub>
      </m:oMath>
      <w:r>
        <w:t xml:space="preserve">, biasing the boundary toward dependability. The hybrid architecture realises this asymmetry structurally: the LSTM may raise security (veto) only after the certified 87T element has asserted a fault, so the dependability floor is set by the classical relay rather than by the learned model.</w:t>
      </w:r>
    </w:p>
    <w:p>
      <w:pPr>
        <w:pStyle w:val="Heading3"/>
      </w:pPr>
      <w:bookmarkStart w:id="70" w:name="Xbc973e10fc6d8bc195a88b1975ccec573dd6fc8"/>
      <w:r>
        <w:t xml:space="preserve">Information-Theoretic Feature Separability</w:t>
      </w:r>
      <w:bookmarkEnd w:id="70"/>
    </w:p>
    <w:p>
      <w:pPr>
        <w:pStyle w:val="FirstParagraph"/>
      </w:pPr>
      <w:r>
        <w:t xml:space="preserve">Beyond the Fisher ratio, the discriminative value of a feature is quantified by the mutual information</w:t>
      </w:r>
      <w:r>
        <w:t xml:space="preserve"> </w:t>
      </w:r>
      <m:oMath>
        <m:r>
          <m:t>I</m:t>
        </m:r>
        <m:r>
          <m:t>(</m:t>
        </m:r>
        <m:r>
          <m:t>X</m:t>
        </m:r>
        <m:r>
          <m:t>;</m:t>
        </m:r>
        <m:r>
          <m:t>Y</m:t>
        </m:r>
        <m:r>
          <m:t>)</m:t>
        </m:r>
        <m:r>
          <m:t>=</m:t>
        </m:r>
        <m:r>
          <m:t>H</m:t>
        </m:r>
        <m:r>
          <m:t>(</m:t>
        </m:r>
        <m:r>
          <m:t>Y</m:t>
        </m:r>
        <m:r>
          <m:t>)</m:t>
        </m:r>
        <m:r>
          <m:t>−</m:t>
        </m:r>
        <m:r>
          <m:t>H</m:t>
        </m:r>
        <m:r>
          <m:t>(</m:t>
        </m:r>
        <m:r>
          <m:t>Y</m:t>
        </m:r>
        <m:r>
          <m:t>∣</m:t>
        </m:r>
        <m:r>
          <m:t>X</m:t>
        </m:r>
        <m:r>
          <m:t>)</m:t>
        </m:r>
      </m:oMath>
      <w:r>
        <w:t xml:space="preserve">. The wavelet detail energies are expected to exhibit the highest mutual information because fault inception injects broadband high-frequency content that the detail sub-bands localise efficiently, whereas inrush concentrates energy near the second harmonic and steady-state operation produces negligible detail energy. This expectation is confirmed empirically in Chapter 6, where the three detail-energy features account for 72.3% of the total mutual information.</w:t>
      </w:r>
    </w:p>
    <w:p>
      <w:pPr>
        <w:pStyle w:val="Heading3"/>
      </w:pPr>
      <w:bookmarkStart w:id="71" w:name="operating-time-bound"/>
      <w:r>
        <w:t xml:space="preserve">Operating-Time Bound</w:t>
      </w:r>
      <w:bookmarkEnd w:id="71"/>
    </w:p>
    <w:p>
      <w:pPr>
        <w:pStyle w:val="FirstParagraph"/>
      </w:pPr>
      <w:r>
        <w:t xml:space="preserve">The maximum permissible operating time is dictated by transformer through-fault withstand and downstream coordination; for a 50 Hz system, sub-cycle clearing (</w:t>
      </w:r>
      <m:oMath>
        <m:sSub>
          <m:e>
            <m:r>
              <m:t>T</m:t>
            </m:r>
          </m:e>
          <m:sub>
            <m:r>
              <m:t>o</m:t>
            </m:r>
            <m:r>
              <m:t>p</m:t>
            </m:r>
          </m:sub>
        </m:sSub>
        <m:r>
          <m:t>&lt;</m:t>
        </m:r>
        <m:r>
          <m:t>20</m:t>
        </m:r>
      </m:oMath>
      <w:r>
        <w:t xml:space="preserve"> ms) is the design target. The thermal stress on the winding during an internal fault scales with</w:t>
      </w:r>
      <w:r>
        <w:t xml:space="preserve"> </w:t>
      </w:r>
      <m:oMath>
        <m:r>
          <m:t>∫</m:t>
        </m:r>
        <m:sSup>
          <m:e>
            <m:r>
              <m:t>i</m:t>
            </m:r>
          </m:e>
          <m:sup>
            <m:r>
              <m:t>2</m:t>
            </m:r>
          </m:sup>
        </m:sSup>
        <m:r>
          <m:t>(</m:t>
        </m:r>
        <m:r>
          <m:t>t</m:t>
        </m:r>
        <m:r>
          <m:t>)</m:t>
        </m:r>
        <m:r>
          <m:t> </m:t>
        </m:r>
        <m:r>
          <m:t>d</m:t>
        </m:r>
        <m:r>
          <m:t>t</m:t>
        </m:r>
      </m:oMath>
      <w:r>
        <w:t xml:space="preserve"> </w:t>
      </w:r>
      <w:r>
        <w:t xml:space="preserve">over the fault duration, so every millisecond of reduced clearing time lowers insulation degradation and the mechanical forces on the windings, motivating the fast hybrid pipeline validated in Chapter 6.</w:t>
      </w:r>
    </w:p>
    <w:p>
      <w:pPr>
        <w:pStyle w:val="Heading3"/>
      </w:pPr>
      <w:bookmarkStart w:id="72" w:name="adaptive-pickup"/>
      <w:r>
        <w:t xml:space="preserve">Adaptive Pickup</w:t>
      </w:r>
      <w:bookmarkEnd w:id="72"/>
    </w:p>
    <w:p>
      <w:pPr>
        <w:pStyle w:val="FirstParagraph"/>
      </w:pPr>
      <w:r>
        <w:t xml:space="preserve">An adaptive pickup tracks the operating state,</w:t>
      </w:r>
      <w:r>
        <w:t xml:space="preserve"> </w:t>
      </w:r>
      <m:oMath>
        <m:sSub>
          <m:e>
            <m:r>
              <m:t>I</m:t>
            </m:r>
          </m:e>
          <m:sub>
            <m:r>
              <m:t>p</m:t>
            </m:r>
            <m:r>
              <m:t>i</m:t>
            </m:r>
            <m:r>
              <m:t>c</m:t>
            </m:r>
            <m:r>
              <m:t>k</m:t>
            </m:r>
            <m:r>
              <m:t>u</m:t>
            </m:r>
            <m:r>
              <m:t>p</m:t>
            </m:r>
          </m:sub>
        </m:sSub>
        <m:r>
          <m:t>(</m:t>
        </m:r>
        <m:r>
          <m:t>t</m:t>
        </m:r>
        <m:r>
          <m:t>)</m:t>
        </m:r>
        <m:r>
          <m:t>=</m:t>
        </m:r>
        <m:sSub>
          <m:e>
            <m:r>
              <m:t>I</m:t>
            </m:r>
          </m:e>
          <m:sub>
            <m:r>
              <m:t>p</m:t>
            </m:r>
            <m:r>
              <m:t>0</m:t>
            </m:r>
          </m:sub>
        </m:sSub>
        <m:r>
          <m:t>+</m:t>
        </m:r>
        <m:sSub>
          <m:e>
            <m:r>
              <m:t>k</m:t>
            </m:r>
          </m:e>
          <m:sub>
            <m:r>
              <m:t>1</m:t>
            </m:r>
          </m:sub>
        </m:sSub>
        <m:sSub>
          <m:e>
            <m:r>
              <m:t>I</m:t>
            </m:r>
          </m:e>
          <m:sub>
            <m:r>
              <m:t>r</m:t>
            </m:r>
          </m:sub>
        </m:sSub>
        <m:r>
          <m:t>(</m:t>
        </m:r>
        <m:r>
          <m:t>t</m:t>
        </m:r>
        <m:r>
          <m:t>)</m:t>
        </m:r>
        <m:r>
          <m:t>+</m:t>
        </m:r>
        <m:sSub>
          <m:e>
            <m:r>
              <m:t>k</m:t>
            </m:r>
          </m:e>
          <m:sub>
            <m:r>
              <m:t>2</m:t>
            </m:r>
          </m:sub>
        </m:sSub>
        <m:sSub>
          <m:e>
            <m:acc>
              <m:accPr>
                <m:chr m:val="̂"/>
              </m:accPr>
              <m:e>
                <m:r>
                  <m:t>σ</m:t>
                </m:r>
              </m:e>
            </m:acc>
          </m:e>
          <m:sub>
            <m:r>
              <m:t>d</m:t>
            </m:r>
          </m:sub>
        </m:sSub>
        <m:r>
          <m:t>(</m:t>
        </m:r>
        <m:r>
          <m:t>t</m:t>
        </m:r>
        <m:r>
          <m:t>)</m:t>
        </m:r>
      </m:oMath>
      <w:r>
        <w:t xml:space="preserve">, where</w:t>
      </w:r>
      <w:r>
        <w:t xml:space="preserve"> </w:t>
      </w:r>
      <m:oMath>
        <m:sSub>
          <m:e>
            <m:r>
              <m:t>k</m:t>
            </m:r>
          </m:e>
          <m:sub>
            <m:r>
              <m:t>1</m:t>
            </m:r>
          </m:sub>
        </m:sSub>
        <m:sSub>
          <m:e>
            <m:r>
              <m:t>I</m:t>
            </m:r>
          </m:e>
          <m:sub>
            <m:r>
              <m:t>r</m:t>
            </m:r>
          </m:sub>
        </m:sSub>
      </m:oMath>
      <w:r>
        <w:t xml:space="preserve"> </w:t>
      </w:r>
      <w:r>
        <w:t xml:space="preserve">reproduces the percentage slope and</w:t>
      </w:r>
      <w:r>
        <w:t xml:space="preserve"> </w:t>
      </w:r>
      <m:oMath>
        <m:sSub>
          <m:e>
            <m:r>
              <m:t>k</m:t>
            </m:r>
          </m:e>
          <m:sub>
            <m:r>
              <m:t>2</m:t>
            </m:r>
          </m:sub>
        </m:sSub>
        <m:sSub>
          <m:e>
            <m:acc>
              <m:accPr>
                <m:chr m:val="̂"/>
              </m:accPr>
              <m:e>
                <m:r>
                  <m:t>σ</m:t>
                </m:r>
              </m:e>
            </m:acc>
          </m:e>
          <m:sub>
            <m:r>
              <m:t>d</m:t>
            </m:r>
          </m:sub>
        </m:sSub>
      </m:oMath>
      <w:r>
        <w:t xml:space="preserve"> </w:t>
      </w:r>
      <w:r>
        <w:t xml:space="preserve">inflates the threshold transiently when CT saturation or noise elevates the differential-current variance.</w:t>
      </w:r>
    </w:p>
    <w:p>
      <w:pPr>
        <w:pStyle w:val="Heading1"/>
      </w:pPr>
      <w:bookmarkStart w:id="73" w:name="X16bc8828be9735927e457529c11a6196b7ac6d9"/>
      <w:r>
        <w:t xml:space="preserve">Power System Simulation Model Using MATLAB/Simulink</w:t>
      </w:r>
      <w:bookmarkEnd w:id="73"/>
    </w:p>
    <w:p>
      <w:pPr>
        <w:pStyle w:val="Heading2"/>
      </w:pPr>
      <w:bookmarkStart w:id="74" w:name="introduction-3"/>
      <w:r>
        <w:t xml:space="preserve">Introduction</w:t>
      </w:r>
      <w:bookmarkEnd w:id="74"/>
    </w:p>
    <w:p>
      <w:pPr>
        <w:pStyle w:val="FirstParagraph"/>
      </w:pPr>
      <w:r>
        <w:t xml:space="preserve">MATLAB/Simulink was selected for its integrated environment combining high-fidelity electromagnetic-transient (EMT) modeling via Simscape Electrical with native machine-learning support and ONNX runtime, enabling a seamless workflow from data generation to DWT–LSTM training, validation, and deployment [1,2].</w:t>
      </w:r>
    </w:p>
    <w:p>
      <w:pPr>
        <w:pStyle w:val="CaptionedFigure"/>
      </w:pPr>
      <w:bookmarkStart w:id="76" w:name="fig:4.1"/>
      <w:r>
        <w:drawing>
          <wp:inline>
            <wp:extent cx="5334000" cy="2346252"/>
            <wp:effectExtent b="0" l="0" r="0" t="0"/>
            <wp:docPr descr="Overview of the MATLAB/Simulink power-system simulation model (Simulink main panel)." title="" id="1" name="Picture"/>
            <a:graphic>
              <a:graphicData uri="http://schemas.openxmlformats.org/drawingml/2006/picture">
                <pic:pic>
                  <pic:nvPicPr>
                    <pic:cNvPr descr="fig_4_1.png" id="0" name="Picture"/>
                    <pic:cNvPicPr>
                      <a:picLocks noChangeArrowheads="1" noChangeAspect="1"/>
                    </pic:cNvPicPr>
                  </pic:nvPicPr>
                  <pic:blipFill>
                    <a:blip r:embed="rId75"/>
                    <a:stretch>
                      <a:fillRect/>
                    </a:stretch>
                  </pic:blipFill>
                  <pic:spPr bwMode="auto">
                    <a:xfrm>
                      <a:off x="0" y="0"/>
                      <a:ext cx="5334000" cy="2346252"/>
                    </a:xfrm>
                    <a:prstGeom prst="rect">
                      <a:avLst/>
                    </a:prstGeom>
                    <a:noFill/>
                    <a:ln w="9525">
                      <a:noFill/>
                      <a:headEnd/>
                      <a:tailEnd/>
                    </a:ln>
                  </pic:spPr>
                </pic:pic>
              </a:graphicData>
            </a:graphic>
          </wp:inline>
        </w:drawing>
      </w:r>
      <w:bookmarkEnd w:id="76"/>
    </w:p>
    <w:p>
      <w:pPr>
        <w:pStyle w:val="ImageCaption"/>
      </w:pPr>
      <w:r>
        <w:t xml:space="preserve">Overview of the MATLAB/Simulink power-system simulation model (Simulink main panel).</w:t>
      </w:r>
    </w:p>
    <w:p>
      <w:pPr>
        <w:pStyle w:val="CaptionedFigure"/>
      </w:pPr>
      <w:bookmarkStart w:id="78" w:name="fig:4.1b"/>
      <w:r>
        <w:drawing>
          <wp:inline>
            <wp:extent cx="5334000" cy="3550100"/>
            <wp:effectExtent b="0" l="0" r="0" t="0"/>
            <wp:docPr descr="Current-transformer primary (HV-side) subsystem implementing core saturation and remanence." title="" id="1" name="Picture"/>
            <a:graphic>
              <a:graphicData uri="http://schemas.openxmlformats.org/drawingml/2006/picture">
                <pic:pic>
                  <pic:nvPicPr>
                    <pic:cNvPr descr="ct_primary.png" id="0" name="Picture"/>
                    <pic:cNvPicPr>
                      <a:picLocks noChangeArrowheads="1" noChangeAspect="1"/>
                    </pic:cNvPicPr>
                  </pic:nvPicPr>
                  <pic:blipFill>
                    <a:blip r:embed="rId77"/>
                    <a:stretch>
                      <a:fillRect/>
                    </a:stretch>
                  </pic:blipFill>
                  <pic:spPr bwMode="auto">
                    <a:xfrm>
                      <a:off x="0" y="0"/>
                      <a:ext cx="5334000" cy="3550100"/>
                    </a:xfrm>
                    <a:prstGeom prst="rect">
                      <a:avLst/>
                    </a:prstGeom>
                    <a:noFill/>
                    <a:ln w="9525">
                      <a:noFill/>
                      <a:headEnd/>
                      <a:tailEnd/>
                    </a:ln>
                  </pic:spPr>
                </pic:pic>
              </a:graphicData>
            </a:graphic>
          </wp:inline>
        </w:drawing>
      </w:r>
      <w:bookmarkEnd w:id="78"/>
    </w:p>
    <w:p>
      <w:pPr>
        <w:pStyle w:val="ImageCaption"/>
      </w:pPr>
      <w:r>
        <w:t xml:space="preserve">Current-transformer primary (HV-side) subsystem implementing core saturation and remanence.</w:t>
      </w:r>
    </w:p>
    <w:p>
      <w:pPr>
        <w:pStyle w:val="CaptionedFigure"/>
      </w:pPr>
      <w:bookmarkStart w:id="80" w:name="fig:4.1c"/>
      <w:r>
        <w:drawing>
          <wp:inline>
            <wp:extent cx="5334000" cy="2235144"/>
            <wp:effectExtent b="0" l="0" r="0" t="0"/>
            <wp:docPr descr="Current-transformer secondary subsystem implementing core saturation and remanence." title="" id="1" name="Picture"/>
            <a:graphic>
              <a:graphicData uri="http://schemas.openxmlformats.org/drawingml/2006/picture">
                <pic:pic>
                  <pic:nvPicPr>
                    <pic:cNvPr descr="ct_secondary.png" id="0" name="Picture"/>
                    <pic:cNvPicPr>
                      <a:picLocks noChangeArrowheads="1" noChangeAspect="1"/>
                    </pic:cNvPicPr>
                  </pic:nvPicPr>
                  <pic:blipFill>
                    <a:blip r:embed="rId79"/>
                    <a:stretch>
                      <a:fillRect/>
                    </a:stretch>
                  </pic:blipFill>
                  <pic:spPr bwMode="auto">
                    <a:xfrm>
                      <a:off x="0" y="0"/>
                      <a:ext cx="5334000" cy="2235144"/>
                    </a:xfrm>
                    <a:prstGeom prst="rect">
                      <a:avLst/>
                    </a:prstGeom>
                    <a:noFill/>
                    <a:ln w="9525">
                      <a:noFill/>
                      <a:headEnd/>
                      <a:tailEnd/>
                    </a:ln>
                  </pic:spPr>
                </pic:pic>
              </a:graphicData>
            </a:graphic>
          </wp:inline>
        </w:drawing>
      </w:r>
      <w:bookmarkEnd w:id="80"/>
    </w:p>
    <w:p>
      <w:pPr>
        <w:pStyle w:val="ImageCaption"/>
      </w:pPr>
      <w:r>
        <w:t xml:space="preserve">Current-transformer secondary subsystem implementing core saturation and remanence.</w:t>
      </w:r>
    </w:p>
    <w:p>
      <w:pPr>
        <w:pStyle w:val="Heading2"/>
      </w:pPr>
      <w:bookmarkStart w:id="81" w:name="simulation-environment"/>
      <w:r>
        <w:t xml:space="preserve">Simulation Environment</w:t>
      </w:r>
      <w:bookmarkEnd w:id="81"/>
    </w:p>
    <w:p>
      <w:pPr>
        <w:pStyle w:val="FirstParagraph"/>
      </w:pPr>
      <w:r>
        <w:t xml:space="preserve">The platform comprises MATLAB R2023a with Simulink, Simscape Electrical, the Deep Learning Toolbox, the Signal Processing Toolbox, and the ONNX converter. A discrete-time solver with fixed step</w:t>
      </w:r>
      <w:r>
        <w:t xml:space="preserve"> </w:t>
      </w:r>
      <m:oMath>
        <m:r>
          <m:t>Δ</m:t>
        </m:r>
        <m:r>
          <m:t>t</m:t>
        </m:r>
        <m:r>
          <m:t>=</m:t>
        </m:r>
        <m:r>
          <m:t>1</m:t>
        </m:r>
        <m:r>
          <m:t>×</m:t>
        </m:r>
        <m:sSup>
          <m:e>
            <m:r>
              <m:t>10</m:t>
            </m:r>
          </m:e>
          <m:sup>
            <m:r>
              <m:t>−</m:t>
            </m:r>
            <m:r>
              <m:t>5</m:t>
            </m:r>
          </m:sup>
        </m:sSup>
      </m:oMath>
      <w:r>
        <w:t xml:space="preserve"> s (10 s) is used, giving a Nyquist frequency</w:t>
      </w:r>
      <w:r>
        <w:t xml:space="preserve"> </w:t>
      </w:r>
      <m:oMath>
        <m:sSub>
          <m:e>
            <m:r>
              <m:t>f</m:t>
            </m:r>
          </m:e>
          <m:sub>
            <m:r>
              <m:t>N</m:t>
            </m:r>
            <m:r>
              <m:t>y</m:t>
            </m:r>
            <m:r>
              <m:t>q</m:t>
            </m:r>
            <m:r>
              <m:t>u</m:t>
            </m:r>
            <m:r>
              <m:t>i</m:t>
            </m:r>
            <m:r>
              <m:t>s</m:t>
            </m:r>
            <m:r>
              <m:t>t</m:t>
            </m:r>
          </m:sub>
        </m:sSub>
        <m:r>
          <m:t>=</m:t>
        </m:r>
        <m:r>
          <m:t>1</m:t>
        </m:r>
        <m:r>
          <m:t>/</m:t>
        </m:r>
        <m:r>
          <m:t>(</m:t>
        </m:r>
        <m:r>
          <m:t>2</m:t>
        </m:r>
        <m:r>
          <m:t>Δ</m:t>
        </m:r>
        <m:r>
          <m:t>t</m:t>
        </m:r>
        <m:r>
          <m:t>)</m:t>
        </m:r>
        <m:r>
          <m:t>=</m:t>
        </m:r>
        <m:r>
          <m:t>50</m:t>
        </m:r>
      </m:oMath>
      <w:r>
        <w:t xml:space="preserve"> kHz—a 50</w:t>
      </w:r>
      <m:oMath>
        <m:r>
          <m:t>×</m:t>
        </m:r>
      </m:oMath>
      <w:r>
        <w:t xml:space="preserve"> </w:t>
      </w:r>
      <w:r>
        <w:t xml:space="preserve">oversampling margin over the 1.6 kHz relay rate. Each simulation runs for</w:t>
      </w:r>
      <w:r>
        <w:t xml:space="preserve"> </w:t>
      </w:r>
      <m:oMath>
        <m:sSub>
          <m:e>
            <m:r>
              <m:t>T</m:t>
            </m:r>
          </m:e>
          <m:sub>
            <m:r>
              <m:t>s</m:t>
            </m:r>
            <m:r>
              <m:t>i</m:t>
            </m:r>
            <m:r>
              <m:t>m</m:t>
            </m:r>
          </m:sub>
        </m:sSub>
        <m:r>
          <m:t>=</m:t>
        </m:r>
        <m:r>
          <m:t>1.0</m:t>
        </m:r>
      </m:oMath>
      <w:r>
        <w:t xml:space="preserve"> s with the event injected at</w:t>
      </w:r>
      <w:r>
        <w:t xml:space="preserve"> </w:t>
      </w:r>
      <m:oMath>
        <m:sSub>
          <m:e>
            <m:r>
              <m:t>t</m:t>
            </m:r>
          </m:e>
          <m:sub>
            <m:r>
              <m:t>e</m:t>
            </m:r>
            <m:r>
              <m:t>v</m:t>
            </m:r>
            <m:r>
              <m:t>e</m:t>
            </m:r>
            <m:r>
              <m:t>n</m:t>
            </m:r>
            <m:r>
              <m:t>t</m:t>
            </m:r>
          </m:sub>
        </m:sSub>
        <m:r>
          <m:t>=</m:t>
        </m:r>
        <m:r>
          <m:t>0.2</m:t>
        </m:r>
      </m:oMath>
      <w:r>
        <w:t xml:space="preserve"> s, yielding 1601 samples per record at the relay rate and</w:t>
      </w:r>
      <w:r>
        <w:t xml:space="preserve"> </w:t>
      </w:r>
      <m:oMath>
        <m:r>
          <m:t>1601</m:t>
        </m:r>
        <m:r>
          <m:t>−</m:t>
        </m:r>
        <m:r>
          <m:t>32</m:t>
        </m:r>
        <m:r>
          <m:t>+</m:t>
        </m:r>
        <m:r>
          <m:t>1</m:t>
        </m:r>
        <m:r>
          <m:t>=</m:t>
        </m:r>
        <m:r>
          <m:t>1570</m:t>
        </m:r>
      </m:oMath>
      <w:r>
        <w:t xml:space="preserve"> </w:t>
      </w:r>
      <w:r>
        <w:t xml:space="preserve">one-cycle sliding windows per case.</w:t>
      </w:r>
    </w:p>
    <w:p>
      <w:pPr>
        <w:pStyle w:val="Heading2"/>
      </w:pPr>
      <w:bookmarkStart w:id="82" w:name="transformer-model-parameters"/>
      <w:r>
        <w:t xml:space="preserve">Transformer Model Parameters</w:t>
      </w:r>
      <w:bookmarkEnd w:id="82"/>
    </w:p>
    <w:p>
      <w:pPr>
        <w:pStyle w:val="FirstParagraph"/>
      </w:pPr>
      <w:r>
        <w:t xml:space="preserve">The protected transformer is a three-phase 300 MVA, 230/11 kV unit with Yd1 vector group (grounded wye primary, delta secondary,</w:t>
      </w:r>
      <w:r>
        <w:t xml:space="preserve"> </w:t>
      </w:r>
      <m:oMath>
        <m:r>
          <m:t>−</m:t>
        </m:r>
        <m:sSup>
          <m:e>
            <m:r>
              <m:t>30</m:t>
            </m:r>
          </m:e>
          <m:sup>
            <m:r>
              <m:t>∘</m:t>
            </m:r>
          </m:sup>
        </m:sSup>
      </m:oMath>
      <w:r>
        <w:t xml:space="preserve"> </w:t>
      </w:r>
      <w:r>
        <w:t xml:space="preserve">displacement). Full-load currents are</w:t>
      </w:r>
      <w:r>
        <w:t xml:space="preserve"> </w:t>
      </w:r>
      <m:oMath>
        <m:sSub>
          <m:e>
            <m:r>
              <m:t>I</m:t>
            </m:r>
          </m:e>
          <m:sub>
            <m:r>
              <m:t>F</m:t>
            </m:r>
            <m:r>
              <m:t>L</m:t>
            </m:r>
            <m:r>
              <m:t>A</m:t>
            </m:r>
            <m:r>
              <m:t>,</m:t>
            </m:r>
            <m:r>
              <m:t>H</m:t>
            </m:r>
            <m:r>
              <m:t>V</m:t>
            </m:r>
          </m:sub>
        </m:sSub>
        <m:r>
          <m:t>=</m:t>
        </m:r>
        <m:r>
          <m:t>753.1</m:t>
        </m:r>
      </m:oMath>
      <w:r>
        <w:t xml:space="preserve"> A and</w:t>
      </w:r>
      <w:r>
        <w:t xml:space="preserve"> </w:t>
      </w:r>
      <m:oMath>
        <m:sSub>
          <m:e>
            <m:r>
              <m:t>I</m:t>
            </m:r>
          </m:e>
          <m:sub>
            <m:r>
              <m:t>F</m:t>
            </m:r>
            <m:r>
              <m:t>L</m:t>
            </m:r>
            <m:r>
              <m:t>A</m:t>
            </m:r>
            <m:r>
              <m:t>,</m:t>
            </m:r>
            <m:r>
              <m:t>L</m:t>
            </m:r>
            <m:r>
              <m:t>V</m:t>
            </m:r>
          </m:sub>
        </m:sSub>
        <m:r>
          <m:t>=</m:t>
        </m:r>
        <m:r>
          <m:t>15</m:t>
        </m:r>
        <m:r>
          <m:t>,</m:t>
        </m:r>
        <m:r>
          <m:t>746</m:t>
        </m:r>
      </m:oMath>
      <w:r>
        <w:t xml:space="preserve"> A; base impedances are</w:t>
      </w:r>
      <w:r>
        <w:t xml:space="preserve"> </w:t>
      </w:r>
      <m:oMath>
        <m:r>
          <m:t>176.33</m:t>
        </m:r>
        <m:r>
          <m:t> </m:t>
        </m:r>
        <m:r>
          <m:t>Ω</m:t>
        </m:r>
      </m:oMath>
      <w:r>
        <w:t xml:space="preserve"> </w:t>
      </w:r>
      <w:r>
        <w:t xml:space="preserve">(HV) and</w:t>
      </w:r>
      <w:r>
        <w:t xml:space="preserve"> </w:t>
      </w:r>
      <m:oMath>
        <m:r>
          <m:t>0.4033</m:t>
        </m:r>
        <m:r>
          <m:t> </m:t>
        </m:r>
        <m:r>
          <m:t>Ω</m:t>
        </m:r>
      </m:oMath>
      <w:r>
        <w:t xml:space="preserve"> </w:t>
      </w:r>
      <w:r>
        <w:t xml:space="preserve">(LV). The saturable core uses a piecewise-linear</w:t>
      </w:r>
      <w:r>
        <w:t xml:space="preserve"> </w:t>
      </w:r>
      <m:oMath>
        <m:r>
          <m:t>B</m:t>
        </m:r>
      </m:oMath>
      <w:r>
        <w:t xml:space="preserve">–</w:t>
      </w:r>
      <m:oMath>
        <m:r>
          <m:t>H</m:t>
        </m:r>
      </m:oMath>
      <w:r>
        <w:t xml:space="preserve"> </w:t>
      </w:r>
      <w:r>
        <w:t xml:space="preserve">curve (20 points, knee near 1.2 pu); worst-case inrush (</w:t>
      </w:r>
      <m:oMath>
        <m:r>
          <m:t>α</m:t>
        </m:r>
        <m:r>
          <m:t>=</m:t>
        </m:r>
        <m:sSup>
          <m:e>
            <m:r>
              <m:t>0</m:t>
            </m:r>
          </m:e>
          <m:sup>
            <m:r>
              <m:t>∘</m:t>
            </m:r>
          </m:sup>
        </m:sSup>
      </m:oMath>
      <w:r>
        <w:t xml:space="preserve">,</w:t>
      </w:r>
      <w:r>
        <w:t xml:space="preserve"> </w:t>
      </w:r>
      <m:oMath>
        <m:sSub>
          <m:e>
            <m:r>
              <m:t>ϕ</m:t>
            </m:r>
          </m:e>
          <m:sub>
            <m:r>
              <m:t>r</m:t>
            </m:r>
          </m:sub>
        </m:sSub>
        <m:r>
          <m:t>=</m:t>
        </m:r>
        <m:r>
          <m:t>+</m:t>
        </m:r>
        <m:sSub>
          <m:e>
            <m:r>
              <m:t>ϕ</m:t>
            </m:r>
          </m:e>
          <m:sub>
            <m:r>
              <m:t>m</m:t>
            </m:r>
          </m:sub>
        </m:sSub>
      </m:oMath>
      <w:r>
        <w:t xml:space="preserve">) yields</w:t>
      </w:r>
      <w:r>
        <w:t xml:space="preserve"> </w:t>
      </w:r>
      <m:oMath>
        <m:sSub>
          <m:e>
            <m:r>
              <m:t>ϕ</m:t>
            </m:r>
          </m:e>
          <m:sub>
            <m:r>
              <m:t>p</m:t>
            </m:r>
            <m:r>
              <m:t>e</m:t>
            </m:r>
            <m:r>
              <m:t>a</m:t>
            </m:r>
            <m:r>
              <m:t>k</m:t>
            </m:r>
          </m:sub>
        </m:sSub>
        <m:r>
          <m:t>=</m:t>
        </m:r>
        <m:r>
          <m:t>3</m:t>
        </m:r>
        <m:sSub>
          <m:e>
            <m:r>
              <m:t>ϕ</m:t>
            </m:r>
          </m:e>
          <m:sub>
            <m:r>
              <m:t>m</m:t>
            </m:r>
          </m:sub>
        </m:sSub>
      </m:oMath>
      <w:r>
        <w:t xml:space="preserve">. The</w:t>
      </w:r>
      <w:r>
        <w:t xml:space="preserve"> </w:t>
      </w:r>
      <m:oMath>
        <m:r>
          <m:t>−</m:t>
        </m:r>
        <m:sSup>
          <m:e>
            <m:r>
              <m:t>30</m:t>
            </m:r>
          </m:e>
          <m:sup>
            <m:r>
              <m:t>∘</m:t>
            </m:r>
          </m:sup>
        </m:sSup>
      </m:oMath>
      <w:r>
        <w:t xml:space="preserve"> </w:t>
      </w:r>
      <w:r>
        <w:t xml:space="preserve">displacement is compensated by a Clarke rotation of the LV-side CT currents.</w:t>
      </w:r>
    </w:p>
    <w:bookmarkStart w:id="83" w:name="tab:4.1"/>
    <w:p>
      <w:pPr>
        <w:pStyle w:val="TableCaption"/>
      </w:pPr>
      <w:r>
        <w:t xml:space="preserve">Transformer nameplate and equivalent-circuit parameters.</w:t>
      </w:r>
    </w:p>
    <w:tbl>
      <w:tblPr>
        <w:tblStyle w:val="Table"/>
        <w:tblW w:type="pct" w:w="0.0"/>
        <w:tblLook w:firstRow="1"/>
        <w:tblCaption w:val="Transformer nameplate and equivalent-circuit parameters."/>
      </w:tblPr>
      <w:tblGrid/>
      <w:tr>
        <w:trPr>
          <w:cnfStyle w:firstRow="1"/>
        </w:trPr>
        <w:tc>
          <w:tcPr>
            <w:tcBorders>
              <w:bottom w:val="single"/>
            </w:tcBorders>
            <w:vAlign w:val="bottom"/>
          </w:tcPr>
          <w:p>
            <w:pPr>
              <w:pStyle w:val="Compact"/>
              <w:jc w:val="left"/>
            </w:pPr>
            <w:r>
              <w:rPr>
                <w:b/>
              </w:rPr>
              <w:t xml:space="preserve">Parameter</w:t>
            </w:r>
          </w:p>
        </w:tc>
        <w:tc>
          <w:tcPr>
            <w:tcBorders>
              <w:bottom w:val="single"/>
            </w:tcBorders>
            <w:vAlign w:val="bottom"/>
          </w:tcPr>
          <w:p>
            <w:pPr>
              <w:pStyle w:val="Compact"/>
              <w:jc w:val="center"/>
            </w:pPr>
            <w:r>
              <w:rPr>
                <w:b/>
              </w:rPr>
              <w:t xml:space="preserve">Value</w:t>
            </w:r>
          </w:p>
        </w:tc>
      </w:tr>
      <w:tr>
        <w:tc>
          <w:p>
            <w:pPr>
              <w:pStyle w:val="Compact"/>
              <w:jc w:val="left"/>
            </w:pPr>
            <w:r>
              <w:t xml:space="preserve">Nominal power</w:t>
            </w:r>
            <w:r>
              <w:t xml:space="preserve"> </w:t>
            </w:r>
            <m:oMath>
              <m:sSub>
                <m:e>
                  <m:r>
                    <m:t>S</m:t>
                  </m:r>
                </m:e>
                <m:sub>
                  <m:r>
                    <m:t>n</m:t>
                  </m:r>
                  <m:r>
                    <m:t>o</m:t>
                  </m:r>
                  <m:r>
                    <m:t>m</m:t>
                  </m:r>
                </m:sub>
              </m:sSub>
            </m:oMath>
          </w:p>
        </w:tc>
        <w:tc>
          <w:p>
            <w:pPr>
              <w:pStyle w:val="Compact"/>
              <w:jc w:val="center"/>
            </w:pPr>
            <w:r>
              <w:t xml:space="preserve">300 MVA</w:t>
            </w:r>
          </w:p>
        </w:tc>
      </w:tr>
      <w:tr>
        <w:tc>
          <w:p>
            <w:pPr>
              <w:pStyle w:val="Compact"/>
              <w:jc w:val="left"/>
            </w:pPr>
            <w:r>
              <w:t xml:space="preserve">Primary / secondary voltage</w:t>
            </w:r>
          </w:p>
        </w:tc>
        <w:tc>
          <w:p>
            <w:pPr>
              <w:pStyle w:val="Compact"/>
              <w:jc w:val="center"/>
            </w:pPr>
            <w:r>
              <w:t xml:space="preserve">230 kV / 11 kV (L–L)</w:t>
            </w:r>
          </w:p>
        </w:tc>
      </w:tr>
      <w:tr>
        <w:tc>
          <w:p>
            <w:pPr>
              <w:pStyle w:val="Compact"/>
              <w:jc w:val="left"/>
            </w:pPr>
            <w:r>
              <w:t xml:space="preserve">Frequency</w:t>
            </w:r>
          </w:p>
        </w:tc>
        <w:tc>
          <w:p>
            <w:pPr>
              <w:pStyle w:val="Compact"/>
              <w:jc w:val="center"/>
            </w:pPr>
            <w:r>
              <w:t xml:space="preserve">50 Hz</w:t>
            </w:r>
          </w:p>
        </w:tc>
      </w:tr>
      <w:tr>
        <w:tc>
          <w:p>
            <w:pPr>
              <w:pStyle w:val="Compact"/>
              <w:jc w:val="left"/>
            </w:pPr>
            <w:r>
              <w:t xml:space="preserve">Vector group</w:t>
            </w:r>
          </w:p>
        </w:tc>
        <w:tc>
          <w:p>
            <w:pPr>
              <w:pStyle w:val="Compact"/>
              <w:jc w:val="center"/>
            </w:pPr>
            <w:r>
              <w:t xml:space="preserve">Yd1 (Wye/Delta,</w:t>
            </w:r>
            <w:r>
              <w:t xml:space="preserve"> </w:t>
            </w:r>
            <m:oMath>
              <m:sSup>
                <m:e>
                  <m:r>
                    <m:t>30</m:t>
                  </m:r>
                </m:e>
                <m:sup>
                  <m:r>
                    <m:t>∘</m:t>
                  </m:r>
                </m:sup>
              </m:sSup>
            </m:oMath>
            <w:r>
              <w:t xml:space="preserve"> </w:t>
            </w:r>
            <w:r>
              <w:t xml:space="preserve">lag)</w:t>
            </w:r>
          </w:p>
        </w:tc>
      </w:tr>
      <w:tr>
        <w:tc>
          <w:p>
            <w:pPr>
              <w:pStyle w:val="Compact"/>
              <w:jc w:val="left"/>
            </w:pPr>
            <w:r>
              <w:t xml:space="preserve">Winding 1 (HV)</w:t>
            </w:r>
            <w:r>
              <w:t xml:space="preserve"> </w:t>
            </w:r>
            <m:oMath>
              <m:sSub>
                <m:e>
                  <m:r>
                    <m:t>R</m:t>
                  </m:r>
                </m:e>
                <m:sub>
                  <m:r>
                    <m:t>1</m:t>
                  </m:r>
                </m:sub>
              </m:sSub>
            </m:oMath>
            <w:r>
              <w:t xml:space="preserve">,</w:t>
            </w:r>
            <w:r>
              <w:t xml:space="preserve"> </w:t>
            </w:r>
            <m:oMath>
              <m:sSub>
                <m:e>
                  <m:r>
                    <m:t>L</m:t>
                  </m:r>
                </m:e>
                <m:sub>
                  <m:r>
                    <m:t>1</m:t>
                  </m:r>
                </m:sub>
              </m:sSub>
            </m:oMath>
          </w:p>
        </w:tc>
        <w:tc>
          <w:p>
            <w:pPr>
              <w:pStyle w:val="Compact"/>
              <w:jc w:val="center"/>
            </w:pPr>
            <w:r>
              <w:t xml:space="preserve">0.0025 pu, 0.08 pu</w:t>
            </w:r>
          </w:p>
        </w:tc>
      </w:tr>
      <w:tr>
        <w:tc>
          <w:p>
            <w:pPr>
              <w:pStyle w:val="Compact"/>
              <w:jc w:val="left"/>
            </w:pPr>
            <w:r>
              <w:t xml:space="preserve">Winding 2 (LV)</w:t>
            </w:r>
            <w:r>
              <w:t xml:space="preserve"> </w:t>
            </w:r>
            <m:oMath>
              <m:sSub>
                <m:e>
                  <m:r>
                    <m:t>R</m:t>
                  </m:r>
                </m:e>
                <m:sub>
                  <m:r>
                    <m:t>2</m:t>
                  </m:r>
                </m:sub>
              </m:sSub>
            </m:oMath>
            <w:r>
              <w:t xml:space="preserve">,</w:t>
            </w:r>
            <w:r>
              <w:t xml:space="preserve"> </w:t>
            </w:r>
            <m:oMath>
              <m:sSub>
                <m:e>
                  <m:r>
                    <m:t>L</m:t>
                  </m:r>
                </m:e>
                <m:sub>
                  <m:r>
                    <m:t>2</m:t>
                  </m:r>
                </m:sub>
              </m:sSub>
            </m:oMath>
          </w:p>
        </w:tc>
        <w:tc>
          <w:p>
            <w:pPr>
              <w:pStyle w:val="Compact"/>
              <w:jc w:val="center"/>
            </w:pPr>
            <w:r>
              <w:t xml:space="preserve">0.003 pu, 0.08 pu</w:t>
            </w:r>
          </w:p>
        </w:tc>
      </w:tr>
      <w:tr>
        <w:tc>
          <w:p>
            <w:pPr>
              <w:pStyle w:val="Compact"/>
              <w:jc w:val="left"/>
            </w:pPr>
            <w:r>
              <w:t xml:space="preserve">Magnetizing branch</w:t>
            </w:r>
            <w:r>
              <w:t xml:space="preserve"> </w:t>
            </w:r>
            <m:oMath>
              <m:sSub>
                <m:e>
                  <m:r>
                    <m:t>R</m:t>
                  </m:r>
                </m:e>
                <m:sub>
                  <m:r>
                    <m:t>m</m:t>
                  </m:r>
                </m:sub>
              </m:sSub>
            </m:oMath>
            <w:r>
              <w:t xml:space="preserve">,</w:t>
            </w:r>
            <w:r>
              <w:t xml:space="preserve"> </w:t>
            </w:r>
            <m:oMath>
              <m:sSub>
                <m:e>
                  <m:r>
                    <m:t>L</m:t>
                  </m:r>
                </m:e>
                <m:sub>
                  <m:r>
                    <m:t>m</m:t>
                  </m:r>
                </m:sub>
              </m:sSub>
            </m:oMath>
          </w:p>
        </w:tc>
        <w:tc>
          <w:p>
            <w:pPr>
              <w:pStyle w:val="Compact"/>
              <w:jc w:val="center"/>
            </w:pPr>
            <w:r>
              <w:t xml:space="preserve">500 pu, 5 pu</w:t>
            </w:r>
          </w:p>
        </w:tc>
      </w:tr>
    </w:tbl>
    <w:bookmarkEnd w:id="83"/>
    <w:p>
      <w:pPr>
        <w:pStyle w:val="Heading2"/>
      </w:pPr>
      <w:bookmarkStart w:id="84" w:name="power-system-network-and-ct-model"/>
      <w:r>
        <w:t xml:space="preserve">Power System Network and CT Model</w:t>
      </w:r>
      <w:bookmarkEnd w:id="84"/>
    </w:p>
    <w:p>
      <w:pPr>
        <w:pStyle w:val="FirstParagraph"/>
      </w:pPr>
      <w:r>
        <w:t xml:space="preserve">The external system is represented by Thévenin equivalents:</w:t>
      </w:r>
      <w:r>
        <w:t xml:space="preserve"> </w:t>
      </w:r>
      <m:oMath>
        <m:sSub>
          <m:e>
            <m:r>
              <m:t>Z</m:t>
            </m:r>
          </m:e>
          <m:sub>
            <m:r>
              <m:t>t</m:t>
            </m:r>
            <m:r>
              <m:t>h</m:t>
            </m:r>
            <m:r>
              <m:t>,</m:t>
            </m:r>
            <m:r>
              <m:t>H</m:t>
            </m:r>
            <m:r>
              <m:t>V</m:t>
            </m:r>
          </m:sub>
        </m:sSub>
        <m:r>
          <m:t>=</m:t>
        </m:r>
        <m:r>
          <m:t>0.5</m:t>
        </m:r>
        <m:r>
          <m:t>+</m:t>
        </m:r>
        <m:r>
          <m:t>j</m:t>
        </m:r>
        <m:r>
          <m:t>15.0</m:t>
        </m:r>
        <m:r>
          <m:t> </m:t>
        </m:r>
        <m:r>
          <m:t>Ω</m:t>
        </m:r>
      </m:oMath>
      <w:r>
        <w:t xml:space="preserve"> </w:t>
      </w:r>
      <w:r>
        <w:t xml:space="preserve">(SCL 3524 MVA) and</w:t>
      </w:r>
      <w:r>
        <w:t xml:space="preserve"> </w:t>
      </w:r>
      <m:oMath>
        <m:sSub>
          <m:e>
            <m:r>
              <m:t>Z</m:t>
            </m:r>
          </m:e>
          <m:sub>
            <m:r>
              <m:t>t</m:t>
            </m:r>
            <m:r>
              <m:t>h</m:t>
            </m:r>
            <m:r>
              <m:t>,</m:t>
            </m:r>
            <m:r>
              <m:t>L</m:t>
            </m:r>
            <m:r>
              <m:t>V</m:t>
            </m:r>
          </m:sub>
        </m:sSub>
        <m:r>
          <m:t>=</m:t>
        </m:r>
        <m:r>
          <m:t>0.01</m:t>
        </m:r>
        <m:r>
          <m:t>+</m:t>
        </m:r>
        <m:r>
          <m:t>j</m:t>
        </m:r>
        <m:r>
          <m:t>0.10</m:t>
        </m:r>
        <m:r>
          <m:t> </m:t>
        </m:r>
        <m:r>
          <m:t>Ω</m:t>
        </m:r>
      </m:oMath>
      <w:r>
        <w:t xml:space="preserve"> </w:t>
      </w:r>
      <w:r>
        <w:t xml:space="preserve">(SCL 1204 MVA), giving available fault currents of 8.84 kA (HV) and 63.2 kA (LV). Breakers use</w:t>
      </w:r>
      <w:r>
        <w:t xml:space="preserve"> </w:t>
      </w:r>
      <m:oMath>
        <m:sSub>
          <m:e>
            <m:r>
              <m:t>R</m:t>
            </m:r>
          </m:e>
          <m:sub>
            <m:r>
              <m:t>o</m:t>
            </m:r>
            <m:r>
              <m:t>n</m:t>
            </m:r>
          </m:sub>
        </m:sSub>
        <m:r>
          <m:t>=</m:t>
        </m:r>
        <m:r>
          <m:t>0.001</m:t>
        </m:r>
        <m:r>
          <m:t> </m:t>
        </m:r>
        <m:r>
          <m:t>Ω</m:t>
        </m:r>
      </m:oMath>
      <w:r>
        <w:t xml:space="preserve"> </w:t>
      </w:r>
      <w:r>
        <w:t xml:space="preserve">with RC snubbers; the LV load is 240 MVA at 0.85 pf (80% loading). CTs on both sides use a saturable core (Table </w:t>
      </w:r>
      <w:hyperlink w:anchor="tab:4.2">
        <w:r>
          <w:rPr>
            <w:rStyle w:val="Hyperlink"/>
          </w:rPr>
          <w:t xml:space="preserve">4.2</w:t>
        </w:r>
      </w:hyperlink>
      <w:r>
        <w:t xml:space="preserve">).</w:t>
      </w:r>
    </w:p>
    <w:bookmarkStart w:id="85" w:name="tab:4.2"/>
    <w:p>
      <w:pPr>
        <w:pStyle w:val="TableCaption"/>
      </w:pPr>
      <w:r>
        <w:t xml:space="preserve">Current transformer parameters.</w:t>
      </w:r>
    </w:p>
    <w:tbl>
      <w:tblPr>
        <w:tblStyle w:val="Table"/>
        <w:tblW w:type="pct" w:w="0.0"/>
        <w:tblLook w:firstRow="1"/>
        <w:tblCaption w:val="Current transformer parameters."/>
      </w:tblPr>
      <w:tblGrid/>
      <w:tr>
        <w:trPr>
          <w:cnfStyle w:firstRow="1"/>
        </w:trPr>
        <w:tc>
          <w:tcPr>
            <w:tcBorders>
              <w:bottom w:val="single"/>
            </w:tcBorders>
            <w:vAlign w:val="bottom"/>
          </w:tcPr>
          <w:p>
            <w:pPr>
              <w:pStyle w:val="Compact"/>
              <w:jc w:val="left"/>
            </w:pPr>
            <w:r>
              <w:rPr>
                <w:b/>
              </w:rPr>
              <w:t xml:space="preserve">Parameter</w:t>
            </w:r>
          </w:p>
        </w:tc>
        <w:tc>
          <w:tcPr>
            <w:tcBorders>
              <w:bottom w:val="single"/>
            </w:tcBorders>
            <w:vAlign w:val="bottom"/>
          </w:tcPr>
          <w:p>
            <w:pPr>
              <w:pStyle w:val="Compact"/>
              <w:jc w:val="center"/>
            </w:pPr>
            <w:r>
              <w:rPr>
                <w:b/>
              </w:rPr>
              <w:t xml:space="preserve">HV Side</w:t>
            </w:r>
          </w:p>
        </w:tc>
        <w:tc>
          <w:tcPr>
            <w:tcBorders>
              <w:bottom w:val="single"/>
            </w:tcBorders>
            <w:vAlign w:val="bottom"/>
          </w:tcPr>
          <w:p>
            <w:pPr>
              <w:pStyle w:val="Compact"/>
              <w:jc w:val="center"/>
            </w:pPr>
            <w:r>
              <w:rPr>
                <w:b/>
              </w:rPr>
              <w:t xml:space="preserve">LV Side</w:t>
            </w:r>
          </w:p>
        </w:tc>
      </w:tr>
      <w:tr>
        <w:tc>
          <w:p>
            <w:pPr>
              <w:pStyle w:val="Compact"/>
              <w:jc w:val="left"/>
            </w:pPr>
            <w:r>
              <w:t xml:space="preserve">CT ratio</w:t>
            </w:r>
          </w:p>
        </w:tc>
        <w:tc>
          <w:p>
            <w:pPr>
              <w:pStyle w:val="Compact"/>
              <w:jc w:val="center"/>
            </w:pPr>
            <w:r>
              <w:t xml:space="preserve">20:1</w:t>
            </w:r>
          </w:p>
        </w:tc>
        <w:tc>
          <w:p>
            <w:pPr>
              <w:pStyle w:val="Compact"/>
              <w:jc w:val="center"/>
            </w:pPr>
            <w:r>
              <w:t xml:space="preserve">20:1</w:t>
            </w:r>
          </w:p>
        </w:tc>
      </w:tr>
      <w:tr>
        <w:tc>
          <w:p>
            <w:pPr>
              <w:pStyle w:val="Compact"/>
              <w:jc w:val="left"/>
            </w:pPr>
            <w:r>
              <w:t xml:space="preserve">Accuracy class</w:t>
            </w:r>
          </w:p>
        </w:tc>
        <w:tc>
          <w:p>
            <w:pPr>
              <w:pStyle w:val="Compact"/>
              <w:jc w:val="center"/>
            </w:pPr>
            <w:r>
              <w:t xml:space="preserve">5P20</w:t>
            </w:r>
          </w:p>
        </w:tc>
        <w:tc>
          <w:p>
            <w:pPr>
              <w:pStyle w:val="Compact"/>
              <w:jc w:val="center"/>
            </w:pPr>
            <w:r>
              <w:t xml:space="preserve">5P20</w:t>
            </w:r>
          </w:p>
        </w:tc>
      </w:tr>
      <w:tr>
        <w:tc>
          <w:p>
            <w:pPr>
              <w:pStyle w:val="Compact"/>
              <w:jc w:val="left"/>
            </w:pPr>
            <w:r>
              <w:t xml:space="preserve">Rated primary current</w:t>
            </w:r>
          </w:p>
        </w:tc>
        <w:tc>
          <w:p>
            <w:pPr>
              <w:pStyle w:val="Compact"/>
              <w:jc w:val="center"/>
            </w:pPr>
            <w:r>
              <w:t xml:space="preserve">753.1 A</w:t>
            </w:r>
          </w:p>
        </w:tc>
        <w:tc>
          <w:p>
            <w:pPr>
              <w:pStyle w:val="Compact"/>
              <w:jc w:val="center"/>
            </w:pPr>
            <w:r>
              <w:t xml:space="preserve">15</w:t>
            </w:r>
            <w:r>
              <w:t xml:space="preserve">,</w:t>
            </w:r>
            <w:r>
              <w:t xml:space="preserve">746 A</w:t>
            </w:r>
          </w:p>
        </w:tc>
      </w:tr>
      <w:tr>
        <w:tc>
          <w:p>
            <w:pPr>
              <w:pStyle w:val="Compact"/>
              <w:jc w:val="left"/>
            </w:pPr>
            <w:r>
              <w:t xml:space="preserve">Secondary resistance</w:t>
            </w:r>
            <w:r>
              <w:t xml:space="preserve"> </w:t>
            </w:r>
            <m:oMath>
              <m:sSub>
                <m:e>
                  <m:r>
                    <m:t>R</m:t>
                  </m:r>
                </m:e>
                <m:sub>
                  <m:r>
                    <m:t>s</m:t>
                  </m:r>
                </m:sub>
              </m:sSub>
            </m:oMath>
          </w:p>
        </w:tc>
        <w:tc>
          <w:p>
            <w:pPr>
              <w:pStyle w:val="Compact"/>
              <w:jc w:val="center"/>
            </w:pPr>
            <w:r>
              <w:t xml:space="preserve">0.5 </w:t>
            </w:r>
            <m:oMath>
              <m:r>
                <m:t>Ω</m:t>
              </m:r>
            </m:oMath>
          </w:p>
        </w:tc>
        <w:tc>
          <w:p>
            <w:pPr>
              <w:pStyle w:val="Compact"/>
              <w:jc w:val="center"/>
            </w:pPr>
            <w:r>
              <w:t xml:space="preserve">0.3 </w:t>
            </w:r>
            <m:oMath>
              <m:r>
                <m:t>Ω</m:t>
              </m:r>
            </m:oMath>
          </w:p>
        </w:tc>
      </w:tr>
      <w:tr>
        <w:tc>
          <w:p>
            <w:pPr>
              <w:pStyle w:val="Compact"/>
              <w:jc w:val="left"/>
            </w:pPr>
            <w:r>
              <w:t xml:space="preserve">Burden impedance</w:t>
            </w:r>
            <w:r>
              <w:t xml:space="preserve"> </w:t>
            </w:r>
            <m:oMath>
              <m:sSub>
                <m:e>
                  <m:r>
                    <m:t>Z</m:t>
                  </m:r>
                </m:e>
                <m:sub>
                  <m:r>
                    <m:t>b</m:t>
                  </m:r>
                </m:sub>
              </m:sSub>
            </m:oMath>
          </w:p>
        </w:tc>
        <w:tc>
          <w:p>
            <w:pPr>
              <w:pStyle w:val="Compact"/>
              <w:jc w:val="center"/>
            </w:pPr>
            <w:r>
              <w:t xml:space="preserve">1.5 </w:t>
            </w:r>
            <m:oMath>
              <m:r>
                <m:t>Ω</m:t>
              </m:r>
            </m:oMath>
          </w:p>
        </w:tc>
        <w:tc>
          <w:p>
            <w:pPr>
              <w:pStyle w:val="Compact"/>
              <w:jc w:val="center"/>
            </w:pPr>
            <w:r>
              <w:t xml:space="preserve">1.0 </w:t>
            </w:r>
            <m:oMath>
              <m:r>
                <m:t>Ω</m:t>
              </m:r>
            </m:oMath>
          </w:p>
        </w:tc>
      </w:tr>
      <w:tr>
        <w:tc>
          <w:p>
            <w:pPr>
              <w:pStyle w:val="Compact"/>
              <w:jc w:val="left"/>
            </w:pPr>
            <w:r>
              <w:t xml:space="preserve">Core relative permeability</w:t>
            </w:r>
          </w:p>
        </w:tc>
        <w:tc>
          <w:p>
            <w:pPr>
              <w:pStyle w:val="Compact"/>
              <w:jc w:val="center"/>
            </w:pPr>
            <w:r>
              <w:t xml:space="preserve">2000</w:t>
            </w:r>
          </w:p>
        </w:tc>
        <w:tc>
          <w:p>
            <w:pPr>
              <w:pStyle w:val="Compact"/>
              <w:jc w:val="center"/>
            </w:pPr>
            <w:r>
              <w:t xml:space="preserve">2000</w:t>
            </w:r>
          </w:p>
        </w:tc>
      </w:tr>
    </w:tbl>
    <w:bookmarkEnd w:id="85"/>
    <w:p>
      <w:pPr>
        <w:pStyle w:val="Heading2"/>
      </w:pPr>
      <w:bookmarkStart w:id="86" w:name="fault-and-event-scenarios"/>
      <w:r>
        <w:t xml:space="preserve">Fault and Event Scenarios</w:t>
      </w:r>
      <w:bookmarkEnd w:id="86"/>
    </w:p>
    <w:p>
      <w:pPr>
        <w:pStyle w:val="FirstParagraph"/>
      </w:pPr>
      <w:r>
        <w:t xml:space="preserve">Internal faults are simulated at five winding taps (5–95%) for four fault types (SLG, LL, LLG, 3LG) with three inception angles and three fault resistances (</w:t>
      </w:r>
      <m:oMath>
        <m:sSub>
          <m:e>
            <m:r>
              <m:t>Z</m:t>
            </m:r>
          </m:e>
          <m:sub>
            <m:r>
              <m:t>f</m:t>
            </m:r>
            <m:r>
              <m:t>a</m:t>
            </m:r>
            <m:r>
              <m:t>u</m:t>
            </m:r>
            <m:r>
              <m:t>l</m:t>
            </m:r>
            <m:r>
              <m:t>t</m:t>
            </m:r>
          </m:sub>
        </m:sSub>
        <m:r>
          <m:t>(</m:t>
        </m:r>
        <m:r>
          <m:t>p</m:t>
        </m:r>
        <m:r>
          <m:t>)</m:t>
        </m:r>
        <m:r>
          <m:t>=</m:t>
        </m:r>
        <m:sSup>
          <m:e>
            <m:r>
              <m:t>p</m:t>
            </m:r>
          </m:e>
          <m:sup>
            <m:r>
              <m:t>2</m:t>
            </m:r>
          </m:sup>
        </m:sSup>
        <m:sSub>
          <m:e>
            <m:r>
              <m:t>Z</m:t>
            </m:r>
          </m:e>
          <m:sub>
            <m:r>
              <m:t>k</m:t>
            </m:r>
          </m:sub>
        </m:sSub>
        <m:r>
          <m:t>+</m:t>
        </m:r>
        <m:sSub>
          <m:e>
            <m:r>
              <m:t>R</m:t>
            </m:r>
          </m:e>
          <m:sub>
            <m:r>
              <m:t>f</m:t>
            </m:r>
          </m:sub>
        </m:sSub>
      </m:oMath>
      <w:r>
        <w:t xml:space="preserve">), giving 720 deterministic cases. External faults on both buses, including evolving faults and asymmetric CT saturation, give 540 cases. Inrush is generated by sweeping switching angle (</w:t>
      </w:r>
      <m:oMath>
        <m:r>
          <m:t>0</m:t>
        </m:r>
      </m:oMath>
      <w:r>
        <w:t xml:space="preserve">–</w:t>
      </w:r>
      <m:oMath>
        <m:sSup>
          <m:e>
            <m:r>
              <m:t>180</m:t>
            </m:r>
          </m:e>
          <m:sup>
            <m:r>
              <m:t>∘</m:t>
            </m:r>
          </m:sup>
        </m:sSup>
      </m:oMath>
      <w:r>
        <w:t xml:space="preserve">) and residual flux (</w:t>
      </w:r>
      <m:oMath>
        <m:r>
          <m:t>−</m:t>
        </m:r>
        <m:r>
          <m:t>0.8</m:t>
        </m:r>
      </m:oMath>
      <w:r>
        <w:t xml:space="preserve"> </w:t>
      </w:r>
      <w:r>
        <w:t xml:space="preserve">to</w:t>
      </w:r>
      <w:r>
        <w:t xml:space="preserve"> </w:t>
      </w:r>
      <m:oMath>
        <m:r>
          <m:t>+</m:t>
        </m:r>
        <m:r>
          <m:t>0.8</m:t>
        </m:r>
      </m:oMath>
      <w:r>
        <w:t xml:space="preserve"> pu), with sympathetic inrush via two parallel transformers, giving 189 cases. CT-saturation stress cases (108) vary burden, fault current, and remanent flux. Normal operation (270 cases) covers six load levels, three taps, five voltages, and three power factors. Table </w:t>
      </w:r>
      <w:hyperlink w:anchor="tab:scen">
        <w:r>
          <w:rPr>
            <w:rStyle w:val="Hyperlink"/>
          </w:rPr>
          <w:t xml:space="preserve">4.3</w:t>
        </w:r>
      </w:hyperlink>
      <w:r>
        <w:t xml:space="preserve"> </w:t>
      </w:r>
      <w:r>
        <w:t xml:space="preserve">summarises the deterministic scenario counts that seed the augmented dataset.</w:t>
      </w:r>
    </w:p>
    <w:bookmarkStart w:id="87" w:name="tab:scen"/>
    <w:p>
      <w:pPr>
        <w:pStyle w:val="TableCaption"/>
      </w:pPr>
      <w:r>
        <w:t xml:space="preserve">Deterministic simulation scenarios seeding the augmented dataset.</w:t>
      </w:r>
    </w:p>
    <w:tbl>
      <w:tblPr>
        <w:tblStyle w:val="Table"/>
        <w:tblW w:type="pct" w:w="0.0"/>
        <w:tblLook w:firstRow="1"/>
        <w:tblCaption w:val="Deterministic simulation scenarios seeding the augmented dataset."/>
      </w:tblPr>
      <w:tblGrid/>
      <w:tr>
        <w:trPr>
          <w:cnfStyle w:firstRow="1"/>
        </w:trPr>
        <w:tc>
          <w:tcPr>
            <w:tcBorders>
              <w:bottom w:val="single"/>
            </w:tcBorders>
            <w:vAlign w:val="bottom"/>
          </w:tcPr>
          <w:p>
            <w:pPr>
              <w:pStyle w:val="Compact"/>
              <w:jc w:val="left"/>
            </w:pPr>
            <w:r>
              <w:rPr>
                <w:b/>
              </w:rPr>
              <w:t xml:space="preserve">Scenario class</w:t>
            </w:r>
          </w:p>
        </w:tc>
        <w:tc>
          <w:tcPr>
            <w:tcBorders>
              <w:bottom w:val="single"/>
            </w:tcBorders>
            <w:vAlign w:val="bottom"/>
          </w:tcPr>
          <w:p>
            <w:pPr>
              <w:pStyle w:val="Compact"/>
              <w:jc w:val="center"/>
            </w:pPr>
            <w:r>
              <w:rPr>
                <w:b/>
              </w:rPr>
              <w:t xml:space="preserve">Cases</w:t>
            </w:r>
          </w:p>
        </w:tc>
        <w:tc>
          <w:tcPr>
            <w:tcBorders>
              <w:bottom w:val="single"/>
            </w:tcBorders>
            <w:vAlign w:val="bottom"/>
          </w:tcPr>
          <w:p>
            <w:pPr>
              <w:pStyle w:val="Compact"/>
              <w:jc w:val="left"/>
            </w:pPr>
            <w:r>
              <w:rPr>
                <w:b/>
              </w:rPr>
              <w:t xml:space="preserve">Key swept parameters</w:t>
            </w:r>
          </w:p>
        </w:tc>
      </w:tr>
      <w:tr>
        <w:tc>
          <w:p>
            <w:pPr>
              <w:pStyle w:val="Compact"/>
              <w:jc w:val="left"/>
            </w:pPr>
            <w:r>
              <w:t xml:space="preserve">Internal fault</w:t>
            </w:r>
          </w:p>
        </w:tc>
        <w:tc>
          <w:p>
            <w:pPr>
              <w:pStyle w:val="Compact"/>
              <w:jc w:val="center"/>
            </w:pPr>
            <w:r>
              <w:t xml:space="preserve">720</w:t>
            </w:r>
          </w:p>
        </w:tc>
        <w:tc>
          <w:p>
            <w:pPr>
              <w:pStyle w:val="Compact"/>
              <w:jc w:val="left"/>
            </w:pPr>
            <w:r>
              <w:t xml:space="preserve">5 taps</w:t>
            </w:r>
            <w:r>
              <w:t xml:space="preserve"> </w:t>
            </w:r>
            <m:oMath>
              <m:r>
                <m:t>×</m:t>
              </m:r>
            </m:oMath>
            <w:r>
              <w:t xml:space="preserve"> </w:t>
            </w:r>
            <w:r>
              <w:t xml:space="preserve">4 types</w:t>
            </w:r>
            <w:r>
              <w:t xml:space="preserve"> </w:t>
            </w:r>
            <m:oMath>
              <m:r>
                <m:t>×</m:t>
              </m:r>
            </m:oMath>
            <w:r>
              <w:t xml:space="preserve"> </w:t>
            </w:r>
            <w:r>
              <w:t xml:space="preserve">3 angles</w:t>
            </w:r>
            <w:r>
              <w:t xml:space="preserve"> </w:t>
            </w:r>
            <m:oMath>
              <m:r>
                <m:t>×</m:t>
              </m:r>
            </m:oMath>
            <w:r>
              <w:t xml:space="preserve"> </w:t>
            </w:r>
            <w:r>
              <w:t xml:space="preserve">3 resistances</w:t>
            </w:r>
          </w:p>
        </w:tc>
      </w:tr>
      <w:tr>
        <w:tc>
          <w:p>
            <w:pPr>
              <w:pStyle w:val="Compact"/>
              <w:jc w:val="left"/>
            </w:pPr>
            <w:r>
              <w:t xml:space="preserve">External fault</w:t>
            </w:r>
          </w:p>
        </w:tc>
        <w:tc>
          <w:p>
            <w:pPr>
              <w:pStyle w:val="Compact"/>
              <w:jc w:val="center"/>
            </w:pPr>
            <w:r>
              <w:t xml:space="preserve">540</w:t>
            </w:r>
          </w:p>
        </w:tc>
        <w:tc>
          <w:p>
            <w:pPr>
              <w:pStyle w:val="Compact"/>
              <w:jc w:val="left"/>
            </w:pPr>
            <w:r>
              <w:t xml:space="preserve">both buses, evolving faults, CT saturation</w:t>
            </w:r>
          </w:p>
        </w:tc>
      </w:tr>
      <w:tr>
        <w:tc>
          <w:p>
            <w:pPr>
              <w:pStyle w:val="Compact"/>
              <w:jc w:val="left"/>
            </w:pPr>
            <w:r>
              <w:t xml:space="preserve">CT saturation stress</w:t>
            </w:r>
          </w:p>
        </w:tc>
        <w:tc>
          <w:p>
            <w:pPr>
              <w:pStyle w:val="Compact"/>
              <w:jc w:val="center"/>
            </w:pPr>
            <w:r>
              <w:t xml:space="preserve">108</w:t>
            </w:r>
          </w:p>
        </w:tc>
        <w:tc>
          <w:p>
            <w:pPr>
              <w:pStyle w:val="Compact"/>
              <w:jc w:val="left"/>
            </w:pPr>
            <w:r>
              <w:t xml:space="preserve">burden, fault current, remanent flux</w:t>
            </w:r>
          </w:p>
        </w:tc>
      </w:tr>
      <w:tr>
        <w:tc>
          <w:p>
            <w:pPr>
              <w:pStyle w:val="Compact"/>
              <w:jc w:val="left"/>
            </w:pPr>
            <w:r>
              <w:t xml:space="preserve">Magnetizing inrush</w:t>
            </w:r>
          </w:p>
        </w:tc>
        <w:tc>
          <w:p>
            <w:pPr>
              <w:pStyle w:val="Compact"/>
              <w:jc w:val="center"/>
            </w:pPr>
            <w:r>
              <w:t xml:space="preserve">189</w:t>
            </w:r>
          </w:p>
        </w:tc>
        <w:tc>
          <w:p>
            <w:pPr>
              <w:pStyle w:val="Compact"/>
              <w:jc w:val="left"/>
            </w:pPr>
            <w:r>
              <w:t xml:space="preserve">switching angle, residual flux, sympathetic</w:t>
            </w:r>
          </w:p>
        </w:tc>
      </w:tr>
      <w:tr>
        <w:tc>
          <w:p>
            <w:pPr>
              <w:pStyle w:val="Compact"/>
              <w:jc w:val="left"/>
            </w:pPr>
            <w:r>
              <w:t xml:space="preserve">Normal operation</w:t>
            </w:r>
          </w:p>
        </w:tc>
        <w:tc>
          <w:p>
            <w:pPr>
              <w:pStyle w:val="Compact"/>
              <w:jc w:val="center"/>
            </w:pPr>
            <w:r>
              <w:t xml:space="preserve">270</w:t>
            </w:r>
          </w:p>
        </w:tc>
        <w:tc>
          <w:p>
            <w:pPr>
              <w:pStyle w:val="Compact"/>
              <w:jc w:val="left"/>
            </w:pPr>
            <w:r>
              <w:t xml:space="preserve">load, tap, voltage, power factor</w:t>
            </w:r>
          </w:p>
        </w:tc>
      </w:tr>
      <w:tr>
        <w:tc>
          <w:p>
            <w:pPr>
              <w:pStyle w:val="Compact"/>
              <w:jc w:val="left"/>
            </w:pPr>
            <w:r>
              <w:t xml:space="preserve">Total (base)</w:t>
            </w:r>
          </w:p>
        </w:tc>
        <w:tc>
          <w:p>
            <w:pPr>
              <w:pStyle w:val="Compact"/>
              <w:jc w:val="center"/>
            </w:pPr>
            <w:r>
              <w:t xml:space="preserve">1</w:t>
            </w:r>
            <w:r>
              <w:t xml:space="preserve">,</w:t>
            </w:r>
            <w:r>
              <w:t xml:space="preserve">827</w:t>
            </w:r>
          </w:p>
        </w:tc>
        <w:tc>
          <w:p>
            <w:pPr>
              <w:pStyle w:val="Compact"/>
              <w:jc w:val="left"/>
            </w:pPr>
            <w:r>
              <w:t xml:space="preserve">augmented and balanced to the 2</w:t>
            </w:r>
            <w:r>
              <w:t xml:space="preserve">,</w:t>
            </w:r>
            <w:r>
              <w:t xml:space="preserve">500-case dataset (Table </w:t>
            </w:r>
            <w:hyperlink w:anchor="tab:4.3">
              <w:r>
                <w:rPr>
                  <w:rStyle w:val="Hyperlink"/>
                </w:rPr>
                <w:t xml:space="preserve">4.4</w:t>
              </w:r>
            </w:hyperlink>
            <w:r>
              <w:t xml:space="preserve">)</w:t>
            </w:r>
          </w:p>
        </w:tc>
      </w:tr>
    </w:tbl>
    <w:bookmarkEnd w:id="87"/>
    <w:p>
      <w:pPr>
        <w:pStyle w:val="Heading2"/>
      </w:pPr>
      <w:bookmarkStart w:id="88" w:name="signal-conditioning-and-dataset-summary"/>
      <w:r>
        <w:t xml:space="preserve">Signal Conditioning and Dataset Summary</w:t>
      </w:r>
      <w:bookmarkEnd w:id="88"/>
    </w:p>
    <w:p>
      <w:pPr>
        <w:pStyle w:val="FirstParagraph"/>
      </w:pPr>
      <w:r>
        <w:t xml:space="preserve">Each record passes through a merging-unit chain emulating IEC 61850-9-2: a 4th-order Butterworth anti-alias filter (800 Hz), 16-bit quantization, and AWGN at 20/30/40 dB SNR, decimated to 1.6 kHz. The base corpus comprises 2</w:t>
      </w:r>
      <w:r>
        <w:t xml:space="preserve">,</w:t>
      </w:r>
      <w:r>
        <w:t xml:space="preserve">500 simulated cases with 100% simulation success and an internal-fault (Trip) prevalence of 41.4%; a No-Trip positive-class weight of 1.4155 is used in the weighted loss. The fault-resistance range spans 0.001–99 </w:t>
      </w:r>
      <m:oMath>
        <m:r>
          <m:t>Ω</m:t>
        </m:r>
      </m:oMath>
      <w:r>
        <w:t xml:space="preserve">, inception angle 0–360</w:t>
      </w:r>
      <m:oMath>
        <m:sSup>
          <m:e>
            <m:r>
              <m:t>​</m:t>
            </m:r>
          </m:e>
          <m:sup>
            <m:r>
              <m:t>∘</m:t>
            </m:r>
          </m:sup>
        </m:sSup>
      </m:oMath>
      <w:r>
        <w:t xml:space="preserve">, and eleven fault types are represented.</w:t>
      </w:r>
    </w:p>
    <w:p>
      <w:pPr>
        <w:pStyle w:val="CaptionedFigure"/>
      </w:pPr>
      <w:bookmarkStart w:id="90" w:name="fig:4.2"/>
      <w:r>
        <w:drawing>
          <wp:inline>
            <wp:extent cx="5334000" cy="3449706"/>
            <wp:effectExtent b="0" l="0" r="0" t="0"/>
            <wp:docPr descr="Merging-unit signal-conditioning and noise-injection pipeline." title="" id="1" name="Picture"/>
            <a:graphic>
              <a:graphicData uri="http://schemas.openxmlformats.org/drawingml/2006/picture">
                <pic:pic>
                  <pic:nvPicPr>
                    <pic:cNvPr descr="fig_4_2.png" id="0" name="Picture"/>
                    <pic:cNvPicPr>
                      <a:picLocks noChangeArrowheads="1" noChangeAspect="1"/>
                    </pic:cNvPicPr>
                  </pic:nvPicPr>
                  <pic:blipFill>
                    <a:blip r:embed="rId89"/>
                    <a:stretch>
                      <a:fillRect/>
                    </a:stretch>
                  </pic:blipFill>
                  <pic:spPr bwMode="auto">
                    <a:xfrm>
                      <a:off x="0" y="0"/>
                      <a:ext cx="5334000" cy="3449706"/>
                    </a:xfrm>
                    <a:prstGeom prst="rect">
                      <a:avLst/>
                    </a:prstGeom>
                    <a:noFill/>
                    <a:ln w="9525">
                      <a:noFill/>
                      <a:headEnd/>
                      <a:tailEnd/>
                    </a:ln>
                  </pic:spPr>
                </pic:pic>
              </a:graphicData>
            </a:graphic>
          </wp:inline>
        </w:drawing>
      </w:r>
      <w:bookmarkEnd w:id="90"/>
    </w:p>
    <w:p>
      <w:pPr>
        <w:pStyle w:val="ImageCaption"/>
      </w:pPr>
      <w:r>
        <w:t xml:space="preserve">Merging-unit signal-conditioning and noise-injection pipeline.</w:t>
      </w:r>
    </w:p>
    <w:p>
      <w:pPr>
        <w:pStyle w:val="BodyText"/>
      </w:pPr>
      <w:r>
        <w:t xml:space="preserve">Table </w:t>
      </w:r>
      <w:hyperlink w:anchor="tab:4.3">
        <w:r>
          <w:rPr>
            <w:rStyle w:val="Hyperlink"/>
          </w:rPr>
          <w:t xml:space="preserve">4.4</w:t>
        </w:r>
      </w:hyperlink>
      <w:r>
        <w:t xml:space="preserve"> </w:t>
      </w:r>
      <w:r>
        <w:t xml:space="preserve">summarizes the dataset by event category; the four categories map to a binary protection label (internal</w:t>
      </w:r>
      <w:r>
        <w:t xml:space="preserve"> </w:t>
      </w:r>
      <m:oMath>
        <m:r>
          <m:t>→</m:t>
        </m:r>
      </m:oMath>
      <w:r>
        <w:t xml:space="preserve"> </w:t>
      </w:r>
      <w:r>
        <w:t xml:space="preserve">Trip; external, inrush, normal</w:t>
      </w:r>
      <w:r>
        <w:t xml:space="preserve"> </w:t>
      </w:r>
      <m:oMath>
        <m:r>
          <m:t>→</m:t>
        </m:r>
      </m:oMath>
      <w:r>
        <w:t xml:space="preserve"> </w:t>
      </w:r>
      <w:r>
        <w:t xml:space="preserve">No-Trip). After augmentation and stratified 70/15/15 splitting, the held-out test set comprises 1</w:t>
      </w:r>
      <w:r>
        <w:t xml:space="preserve">,</w:t>
      </w:r>
      <w:r>
        <w:t xml:space="preserve">800 cases.</w:t>
      </w:r>
    </w:p>
    <w:bookmarkStart w:id="91" w:name="tab:4.3"/>
    <w:p>
      <w:pPr>
        <w:pStyle w:val="TableCaption"/>
      </w:pPr>
      <w:r>
        <w:t xml:space="preserve">Composition of the 2</w:t>
      </w:r>
      <w:r>
        <w:t xml:space="preserve">,</w:t>
      </w:r>
      <w:r>
        <w:t xml:space="preserve">500-case base dataset by event category and protection label.</w:t>
      </w:r>
    </w:p>
    <w:tbl>
      <w:tblPr>
        <w:tblStyle w:val="Table"/>
        <w:tblW w:type="pct" w:w="0.0"/>
        <w:tblLook w:firstRow="1"/>
        <w:tblCaption w:val="Composition of the 2,500-case base dataset by event category and protection label."/>
      </w:tblPr>
      <w:tblGrid/>
      <w:tr>
        <w:trPr>
          <w:cnfStyle w:firstRow="1"/>
        </w:trPr>
        <w:tc>
          <w:tcPr>
            <w:tcBorders>
              <w:bottom w:val="single"/>
            </w:tcBorders>
            <w:vAlign w:val="bottom"/>
          </w:tcPr>
          <w:p>
            <w:pPr>
              <w:pStyle w:val="Compact"/>
              <w:jc w:val="left"/>
            </w:pPr>
            <w:r>
              <w:rPr>
                <w:b/>
              </w:rPr>
              <w:t xml:space="preserve">Event category</w:t>
            </w:r>
          </w:p>
        </w:tc>
        <w:tc>
          <w:tcPr>
            <w:tcBorders>
              <w:bottom w:val="single"/>
            </w:tcBorders>
            <w:vAlign w:val="bottom"/>
          </w:tcPr>
          <w:p>
            <w:pPr>
              <w:pStyle w:val="Compact"/>
              <w:jc w:val="center"/>
            </w:pPr>
            <w:r>
              <w:rPr>
                <w:b/>
              </w:rPr>
              <w:t xml:space="preserve">Count</w:t>
            </w:r>
          </w:p>
        </w:tc>
        <w:tc>
          <w:tcPr>
            <w:tcBorders>
              <w:bottom w:val="single"/>
            </w:tcBorders>
            <w:vAlign w:val="bottom"/>
          </w:tcPr>
          <w:p>
            <w:pPr>
              <w:pStyle w:val="Compact"/>
              <w:jc w:val="center"/>
            </w:pPr>
            <w:r>
              <w:rPr>
                <w:b/>
              </w:rPr>
              <w:t xml:space="preserve">Share (%)</w:t>
            </w:r>
          </w:p>
        </w:tc>
        <w:tc>
          <w:tcPr>
            <w:tcBorders>
              <w:bottom w:val="single"/>
            </w:tcBorders>
            <w:vAlign w:val="bottom"/>
          </w:tcPr>
          <w:p>
            <w:pPr>
              <w:pStyle w:val="Compact"/>
              <w:jc w:val="center"/>
            </w:pPr>
            <w:r>
              <w:rPr>
                <w:b/>
              </w:rPr>
              <w:t xml:space="preserve">Protection label</w:t>
            </w:r>
          </w:p>
        </w:tc>
      </w:tr>
      <w:tr>
        <w:tc>
          <w:p>
            <w:pPr>
              <w:pStyle w:val="Compact"/>
              <w:jc w:val="left"/>
            </w:pPr>
            <w:r>
              <w:t xml:space="preserve">Internal fault</w:t>
            </w:r>
          </w:p>
        </w:tc>
        <w:tc>
          <w:p>
            <w:pPr>
              <w:pStyle w:val="Compact"/>
              <w:jc w:val="center"/>
            </w:pPr>
            <w:r>
              <w:t xml:space="preserve">1</w:t>
            </w:r>
            <w:r>
              <w:t xml:space="preserve">,</w:t>
            </w:r>
            <w:r>
              <w:t xml:space="preserve">035</w:t>
            </w:r>
          </w:p>
        </w:tc>
        <w:tc>
          <w:p>
            <w:pPr>
              <w:pStyle w:val="Compact"/>
              <w:jc w:val="center"/>
            </w:pPr>
            <w:r>
              <w:t xml:space="preserve">41.4</w:t>
            </w:r>
          </w:p>
        </w:tc>
        <w:tc>
          <w:p>
            <w:pPr>
              <w:pStyle w:val="Compact"/>
              <w:jc w:val="center"/>
            </w:pPr>
            <w:r>
              <w:t xml:space="preserve">Trip</w:t>
            </w:r>
          </w:p>
        </w:tc>
      </w:tr>
      <w:tr>
        <w:tc>
          <w:p>
            <w:pPr>
              <w:pStyle w:val="Compact"/>
              <w:jc w:val="left"/>
            </w:pPr>
            <w:r>
              <w:t xml:space="preserve">External fault</w:t>
            </w:r>
          </w:p>
        </w:tc>
        <w:tc>
          <w:p>
            <w:pPr>
              <w:pStyle w:val="Compact"/>
              <w:jc w:val="center"/>
            </w:pPr>
            <w:r>
              <w:t xml:space="preserve">578</w:t>
            </w:r>
          </w:p>
        </w:tc>
        <w:tc>
          <w:p>
            <w:pPr>
              <w:pStyle w:val="Compact"/>
              <w:jc w:val="center"/>
            </w:pPr>
            <w:r>
              <w:t xml:space="preserve">23.1</w:t>
            </w:r>
          </w:p>
        </w:tc>
        <w:tc>
          <w:p>
            <w:pPr>
              <w:pStyle w:val="Compact"/>
              <w:jc w:val="center"/>
            </w:pPr>
            <w:r>
              <w:t xml:space="preserve">No-Trip</w:t>
            </w:r>
          </w:p>
        </w:tc>
      </w:tr>
      <w:tr>
        <w:tc>
          <w:p>
            <w:pPr>
              <w:pStyle w:val="Compact"/>
              <w:jc w:val="left"/>
            </w:pPr>
            <w:r>
              <w:t xml:space="preserve">Magnetizing inrush</w:t>
            </w:r>
          </w:p>
        </w:tc>
        <w:tc>
          <w:p>
            <w:pPr>
              <w:pStyle w:val="Compact"/>
              <w:jc w:val="center"/>
            </w:pPr>
            <w:r>
              <w:t xml:space="preserve">500</w:t>
            </w:r>
          </w:p>
        </w:tc>
        <w:tc>
          <w:p>
            <w:pPr>
              <w:pStyle w:val="Compact"/>
              <w:jc w:val="center"/>
            </w:pPr>
            <w:r>
              <w:t xml:space="preserve">20.0</w:t>
            </w:r>
          </w:p>
        </w:tc>
        <w:tc>
          <w:p>
            <w:pPr>
              <w:pStyle w:val="Compact"/>
              <w:jc w:val="center"/>
            </w:pPr>
            <w:r>
              <w:t xml:space="preserve">No-Trip</w:t>
            </w:r>
          </w:p>
        </w:tc>
      </w:tr>
      <w:tr>
        <w:tc>
          <w:p>
            <w:pPr>
              <w:pStyle w:val="Compact"/>
              <w:jc w:val="left"/>
            </w:pPr>
            <w:r>
              <w:t xml:space="preserve">Normal operation</w:t>
            </w:r>
          </w:p>
        </w:tc>
        <w:tc>
          <w:p>
            <w:pPr>
              <w:pStyle w:val="Compact"/>
              <w:jc w:val="center"/>
            </w:pPr>
            <w:r>
              <w:t xml:space="preserve">387</w:t>
            </w:r>
          </w:p>
        </w:tc>
        <w:tc>
          <w:p>
            <w:pPr>
              <w:pStyle w:val="Compact"/>
              <w:jc w:val="center"/>
            </w:pPr>
            <w:r>
              <w:t xml:space="preserve">15.5</w:t>
            </w:r>
          </w:p>
        </w:tc>
        <w:tc>
          <w:p>
            <w:pPr>
              <w:pStyle w:val="Compact"/>
              <w:jc w:val="center"/>
            </w:pPr>
            <w:r>
              <w:t xml:space="preserve">No-Trip</w:t>
            </w:r>
          </w:p>
        </w:tc>
      </w:tr>
      <w:tr>
        <w:tc>
          <w:p>
            <w:pPr>
              <w:pStyle w:val="Compact"/>
              <w:jc w:val="left"/>
            </w:pPr>
            <w:r>
              <w:t xml:space="preserve">Total</w:t>
            </w:r>
          </w:p>
        </w:tc>
        <w:tc>
          <w:p>
            <w:pPr>
              <w:pStyle w:val="Compact"/>
              <w:jc w:val="center"/>
            </w:pPr>
            <w:r>
              <w:t xml:space="preserve">2</w:t>
            </w:r>
            <w:r>
              <w:t xml:space="preserve">,</w:t>
            </w:r>
            <w:r>
              <w:t xml:space="preserve">500</w:t>
            </w:r>
          </w:p>
        </w:tc>
        <w:tc>
          <w:p>
            <w:pPr>
              <w:pStyle w:val="Compact"/>
              <w:jc w:val="center"/>
            </w:pPr>
            <w:r>
              <w:t xml:space="preserve">100.0</w:t>
            </w:r>
          </w:p>
        </w:tc>
        <w:tc>
          <w:p>
            <w:pPr>
              <w:pStyle w:val="Compact"/>
              <w:jc w:val="center"/>
            </w:pPr>
            <w:r>
              <w:t xml:space="preserve">1</w:t>
            </w:r>
            <w:r>
              <w:t xml:space="preserve">,</w:t>
            </w:r>
            <w:r>
              <w:t xml:space="preserve">035 Trip / 1</w:t>
            </w:r>
            <w:r>
              <w:t xml:space="preserve">,</w:t>
            </w:r>
            <w:r>
              <w:t xml:space="preserve">465 No-Trip</w:t>
            </w:r>
          </w:p>
        </w:tc>
      </w:tr>
    </w:tbl>
    <w:bookmarkEnd w:id="91"/>
    <w:bookmarkStart w:id="92" w:name="tab:4.5"/>
    <w:p>
      <w:pPr>
        <w:pStyle w:val="TableCaption"/>
      </w:pPr>
      <w:r>
        <w:t xml:space="preserve">Stochastic augmentation parameter ranges.</w:t>
      </w:r>
    </w:p>
    <w:tbl>
      <w:tblPr>
        <w:tblStyle w:val="Table"/>
        <w:tblW w:type="pct" w:w="0.0"/>
        <w:tblLook w:firstRow="1"/>
        <w:tblCaption w:val="Stochastic augmentation parameter ranges."/>
      </w:tblPr>
      <w:tblGrid/>
      <w:tr>
        <w:trPr>
          <w:cnfStyle w:firstRow="1"/>
        </w:trPr>
        <w:tc>
          <w:tcPr>
            <w:tcBorders>
              <w:bottom w:val="single"/>
            </w:tcBorders>
            <w:vAlign w:val="bottom"/>
          </w:tcPr>
          <w:p>
            <w:pPr>
              <w:pStyle w:val="Compact"/>
              <w:jc w:val="left"/>
            </w:pPr>
            <w:r>
              <w:rPr>
                <w:b/>
              </w:rPr>
              <w:t xml:space="preserve">Parameter</w:t>
            </w:r>
          </w:p>
        </w:tc>
        <w:tc>
          <w:tcPr>
            <w:tcBorders>
              <w:bottom w:val="single"/>
            </w:tcBorders>
            <w:vAlign w:val="bottom"/>
          </w:tcPr>
          <w:p>
            <w:pPr>
              <w:pStyle w:val="Compact"/>
              <w:jc w:val="left"/>
            </w:pPr>
            <w:r>
              <w:rPr>
                <w:b/>
              </w:rPr>
              <w:t xml:space="preserve">Distribution</w:t>
            </w:r>
          </w:p>
        </w:tc>
        <w:tc>
          <w:tcPr>
            <w:tcBorders>
              <w:bottom w:val="single"/>
            </w:tcBorders>
            <w:vAlign w:val="bottom"/>
          </w:tcPr>
          <w:p>
            <w:pPr>
              <w:pStyle w:val="Compact"/>
              <w:jc w:val="left"/>
            </w:pPr>
            <w:r>
              <w:rPr>
                <w:b/>
              </w:rPr>
              <w:t xml:space="preserve">Range</w:t>
            </w:r>
          </w:p>
        </w:tc>
      </w:tr>
      <w:tr>
        <w:tc>
          <w:p>
            <w:pPr>
              <w:pStyle w:val="Compact"/>
              <w:jc w:val="left"/>
            </w:pPr>
            <w:r>
              <w:t xml:space="preserve">Fault inception angle</w:t>
            </w:r>
          </w:p>
        </w:tc>
        <w:tc>
          <w:p>
            <w:pPr>
              <w:pStyle w:val="Compact"/>
              <w:jc w:val="left"/>
            </w:pPr>
            <w:r>
              <w:t xml:space="preserve">Uniform</w:t>
            </w:r>
          </w:p>
        </w:tc>
        <w:tc>
          <w:p>
            <w:pPr>
              <w:pStyle w:val="Compact"/>
              <w:jc w:val="left"/>
            </w:pPr>
            <w:r>
              <w:t xml:space="preserve">0–360</w:t>
            </w:r>
            <m:oMath>
              <m:sSup>
                <m:e>
                  <m:r>
                    <m:t>​</m:t>
                  </m:r>
                </m:e>
                <m:sup>
                  <m:r>
                    <m:t>∘</m:t>
                  </m:r>
                </m:sup>
              </m:sSup>
            </m:oMath>
          </w:p>
        </w:tc>
      </w:tr>
      <w:tr>
        <w:tc>
          <w:p>
            <w:pPr>
              <w:pStyle w:val="Compact"/>
              <w:jc w:val="left"/>
            </w:pPr>
            <w:r>
              <w:t xml:space="preserve">Fault resistance</w:t>
            </w:r>
          </w:p>
        </w:tc>
        <w:tc>
          <w:p>
            <w:pPr>
              <w:pStyle w:val="Compact"/>
              <w:jc w:val="left"/>
            </w:pPr>
            <w:r>
              <w:t xml:space="preserve">Log-uniform</w:t>
            </w:r>
          </w:p>
        </w:tc>
        <w:tc>
          <w:p>
            <w:pPr>
              <w:pStyle w:val="Compact"/>
              <w:jc w:val="left"/>
            </w:pPr>
            <w:r>
              <w:t xml:space="preserve">0.001–99 </w:t>
            </w:r>
            <m:oMath>
              <m:r>
                <m:t>Ω</m:t>
              </m:r>
            </m:oMath>
          </w:p>
        </w:tc>
      </w:tr>
      <w:tr>
        <w:tc>
          <w:p>
            <w:pPr>
              <w:pStyle w:val="Compact"/>
              <w:jc w:val="left"/>
            </w:pPr>
            <w:r>
              <w:t xml:space="preserve">Source impedance variation</w:t>
            </w:r>
          </w:p>
        </w:tc>
        <w:tc>
          <w:p>
            <w:pPr>
              <w:pStyle w:val="Compact"/>
              <w:jc w:val="left"/>
            </w:pPr>
            <w:r>
              <w:t xml:space="preserve">Uniform</w:t>
            </w:r>
          </w:p>
        </w:tc>
        <w:tc>
          <w:p>
            <w:pPr>
              <w:pStyle w:val="Compact"/>
              <w:jc w:val="left"/>
            </w:pPr>
            <m:oMath>
              <m:r>
                <m:t>±</m:t>
              </m:r>
              <m:r>
                <m:t>5</m:t>
              </m:r>
              <m:r>
                <m:t>%</m:t>
              </m:r>
            </m:oMath>
          </w:p>
        </w:tc>
      </w:tr>
      <w:tr>
        <w:tc>
          <w:p>
            <w:pPr>
              <w:pStyle w:val="Compact"/>
              <w:jc w:val="left"/>
            </w:pPr>
            <w:r>
              <w:t xml:space="preserve">Fault location (winding)</w:t>
            </w:r>
          </w:p>
        </w:tc>
        <w:tc>
          <w:p>
            <w:pPr>
              <w:pStyle w:val="Compact"/>
              <w:jc w:val="left"/>
            </w:pPr>
            <w:r>
              <w:t xml:space="preserve">Uniform</w:t>
            </w:r>
          </w:p>
        </w:tc>
        <w:tc>
          <w:p>
            <w:pPr>
              <w:pStyle w:val="Compact"/>
              <w:jc w:val="left"/>
            </w:pPr>
            <w:r>
              <w:t xml:space="preserve">2–98%</w:t>
            </w:r>
          </w:p>
        </w:tc>
      </w:tr>
      <w:tr>
        <w:tc>
          <w:p>
            <w:pPr>
              <w:pStyle w:val="Compact"/>
              <w:jc w:val="left"/>
            </w:pPr>
            <w:r>
              <w:t xml:space="preserve">Residual flux</w:t>
            </w:r>
          </w:p>
        </w:tc>
        <w:tc>
          <w:p>
            <w:pPr>
              <w:pStyle w:val="Compact"/>
              <w:jc w:val="left"/>
            </w:pPr>
            <w:r>
              <w:t xml:space="preserve">Uniform</w:t>
            </w:r>
          </w:p>
        </w:tc>
        <w:tc>
          <w:p>
            <w:pPr>
              <w:pStyle w:val="Compact"/>
              <w:jc w:val="left"/>
            </w:pPr>
            <m:oMath>
              <m:r>
                <m:t>−</m:t>
              </m:r>
              <m:r>
                <m:t>0.8</m:t>
              </m:r>
            </m:oMath>
            <w:r>
              <w:t xml:space="preserve"> </w:t>
            </w:r>
            <w:r>
              <w:t xml:space="preserve">to</w:t>
            </w:r>
            <w:r>
              <w:t xml:space="preserve"> </w:t>
            </w:r>
            <m:oMath>
              <m:r>
                <m:t>+</m:t>
              </m:r>
              <m:r>
                <m:t>0.8</m:t>
              </m:r>
            </m:oMath>
            <w:r>
              <w:t xml:space="preserve"> pu</w:t>
            </w:r>
          </w:p>
        </w:tc>
      </w:tr>
      <w:tr>
        <w:tc>
          <w:p>
            <w:pPr>
              <w:pStyle w:val="Compact"/>
              <w:jc w:val="left"/>
            </w:pPr>
            <w:r>
              <w:t xml:space="preserve">Loading level</w:t>
            </w:r>
          </w:p>
        </w:tc>
        <w:tc>
          <w:p>
            <w:pPr>
              <w:pStyle w:val="Compact"/>
              <w:jc w:val="left"/>
            </w:pPr>
            <w:r>
              <w:t xml:space="preserve">Uniform</w:t>
            </w:r>
          </w:p>
        </w:tc>
        <w:tc>
          <w:p>
            <w:pPr>
              <w:pStyle w:val="Compact"/>
              <w:jc w:val="left"/>
            </w:pPr>
            <w:r>
              <w:t xml:space="preserve">0–110% rated</w:t>
            </w:r>
          </w:p>
        </w:tc>
      </w:tr>
    </w:tbl>
    <w:bookmarkEnd w:id="92"/>
    <w:p>
      <w:pPr>
        <w:pStyle w:val="CaptionedFigure"/>
      </w:pPr>
      <w:bookmarkStart w:id="94" w:name="fig:4.3"/>
      <w:r>
        <w:drawing>
          <wp:inline>
            <wp:extent cx="5334000" cy="3666858"/>
            <wp:effectExtent b="0" l="0" r="0" t="0"/>
            <wp:docPr descr="Composition of the 2,500-case dataset across event categories and train/validation/test subsets." title="" id="1" name="Picture"/>
            <a:graphic>
              <a:graphicData uri="http://schemas.openxmlformats.org/drawingml/2006/picture">
                <pic:pic>
                  <pic:nvPicPr>
                    <pic:cNvPr descr="fig_4_3.png" id="0" name="Picture"/>
                    <pic:cNvPicPr>
                      <a:picLocks noChangeArrowheads="1" noChangeAspect="1"/>
                    </pic:cNvPicPr>
                  </pic:nvPicPr>
                  <pic:blipFill>
                    <a:blip r:embed="rId93"/>
                    <a:stretch>
                      <a:fillRect/>
                    </a:stretch>
                  </pic:blipFill>
                  <pic:spPr bwMode="auto">
                    <a:xfrm>
                      <a:off x="0" y="0"/>
                      <a:ext cx="5334000" cy="3666858"/>
                    </a:xfrm>
                    <a:prstGeom prst="rect">
                      <a:avLst/>
                    </a:prstGeom>
                    <a:noFill/>
                    <a:ln w="9525">
                      <a:noFill/>
                      <a:headEnd/>
                      <a:tailEnd/>
                    </a:ln>
                  </pic:spPr>
                </pic:pic>
              </a:graphicData>
            </a:graphic>
          </wp:inline>
        </w:drawing>
      </w:r>
      <w:bookmarkEnd w:id="94"/>
    </w:p>
    <w:p>
      <w:pPr>
        <w:pStyle w:val="ImageCaption"/>
      </w:pPr>
      <w:r>
        <w:t xml:space="preserve">Composition of the 2</w:t>
      </w:r>
      <w:r>
        <w:t xml:space="preserve">,</w:t>
      </w:r>
      <w:r>
        <w:t xml:space="preserve">500-case dataset across event categories and train/validation/test subsets.</w:t>
      </w:r>
    </w:p>
    <w:p>
      <w:pPr>
        <w:pStyle w:val="Heading1"/>
      </w:pPr>
      <w:bookmarkStart w:id="95" w:name="proposed-dwtlstm-methodology"/>
      <w:r>
        <w:t xml:space="preserve">Proposed DWT–LSTM Methodology</w:t>
      </w:r>
      <w:bookmarkEnd w:id="95"/>
    </w:p>
    <w:p>
      <w:pPr>
        <w:pStyle w:val="Heading2"/>
      </w:pPr>
      <w:bookmarkStart w:id="96" w:name="introduction-4"/>
      <w:r>
        <w:t xml:space="preserve">Introduction</w:t>
      </w:r>
      <w:bookmarkEnd w:id="96"/>
    </w:p>
    <w:p>
      <w:pPr>
        <w:pStyle w:val="FirstParagraph"/>
      </w:pPr>
      <w:r>
        <w:t xml:space="preserve">This chapter presents the hybrid adaptive DWT–LSTM framework, which combines MATLAB/Simulink physical modeling and real-time deployment with Python/PyTorch deep-learning training. Differential currents are decomposed by a three-level db4 DWT, yielding two energy features per phase (a compact six-dimensional vector) accumulated over a 32-sample full-cycle buffer. A two-layer LSTM with global temporal attention processes the resulting</w:t>
      </w:r>
      <w:r>
        <w:t xml:space="preserve"> </w:t>
      </w:r>
      <m:oMath>
        <m:r>
          <m:t>[</m:t>
        </m:r>
        <m:r>
          <m:t>1</m:t>
        </m:r>
        <m:r>
          <m:t>,</m:t>
        </m:r>
        <m:r>
          <m:t>32</m:t>
        </m:r>
        <m:r>
          <m:t>,</m:t>
        </m:r>
        <m:r>
          <m:t>6</m:t>
        </m:r>
        <m:r>
          <m:t>]</m:t>
        </m:r>
      </m:oMath>
      <w:r>
        <w:t xml:space="preserve"> </w:t>
      </w:r>
      <w:r>
        <w:t xml:space="preserve">tensor; the LSTM acts as a supervisory veto within a hybrid decision engine.</w:t>
      </w:r>
    </w:p>
    <w:p>
      <w:pPr>
        <w:pStyle w:val="Heading2"/>
      </w:pPr>
      <w:bookmarkStart w:id="97" w:name="framework-architecture"/>
      <w:r>
        <w:t xml:space="preserve">Framework Architecture</w:t>
      </w:r>
      <w:bookmarkEnd w:id="97"/>
    </w:p>
    <w:p>
      <w:pPr>
        <w:pStyle w:val="FirstParagraph"/>
      </w:pPr>
      <w:r>
        <w:rPr>
          <w:b/>
        </w:rPr>
        <w:t xml:space="preserve">Step 1 (MATLAB/Simulink).</w:t>
      </w:r>
      <w:r>
        <w:t xml:space="preserve"> </w:t>
      </w:r>
      <w:r>
        <w:t xml:space="preserve">A detailed EMT model generates labeled three-phase differential currents at 1.6 kHz (1601 steps per 1.0 s), exported to</w:t>
      </w:r>
      <w:r>
        <w:t xml:space="preserve"> </w:t>
      </w:r>
      <w:r>
        <w:rPr>
          <w:rStyle w:val="VerbatimChar"/>
        </w:rPr>
        <w:t xml:space="preserve">.mat</w:t>
      </w:r>
      <w:r>
        <w:t xml:space="preserve">.</w:t>
      </w:r>
      <w:r>
        <w:t xml:space="preserve"> </w:t>
      </w:r>
      <w:r>
        <w:rPr>
          <w:b/>
        </w:rPr>
        <w:t xml:space="preserve">Step 2 (Python/PyTorch).</w:t>
      </w:r>
      <w:r>
        <w:t xml:space="preserve"> </w:t>
      </w:r>
      <w:r>
        <w:t xml:space="preserve">A DWT engine (PyWavelets) computes approximation and detail energy from 16-sample half-cycle windows; the</w:t>
      </w:r>
      <w:r>
        <w:t xml:space="preserve"> </w:t>
      </w:r>
      <m:oMath>
        <m:r>
          <m:t>[</m:t>
        </m:r>
        <m:r>
          <m:t>1</m:t>
        </m:r>
        <m:r>
          <m:t>,</m:t>
        </m:r>
        <m:r>
          <m:t>32</m:t>
        </m:r>
        <m:r>
          <m:t>,</m:t>
        </m:r>
        <m:r>
          <m:t>6</m:t>
        </m:r>
        <m:r>
          <m:t>]</m:t>
        </m:r>
      </m:oMath>
      <w:r>
        <w:t xml:space="preserve"> </w:t>
      </w:r>
      <w:r>
        <w:t xml:space="preserve">tensors train a PyTorch LSTM with global temporal attention using the Adam optimizer and weighted categorical cross-entropy, exported to ONNX at Opset 14 via</w:t>
      </w:r>
      <w:r>
        <w:t xml:space="preserve"> </w:t>
      </w:r>
      <w:r>
        <w:rPr>
          <w:rStyle w:val="VerbatimChar"/>
        </w:rPr>
        <w:t xml:space="preserve">torch.onnx.export</w:t>
      </w:r>
      <w:r>
        <w:t xml:space="preserve">.</w:t>
      </w:r>
      <w:r>
        <w:t xml:space="preserve"> </w:t>
      </w:r>
      <w:r>
        <w:rPr>
          <w:b/>
        </w:rPr>
        <w:t xml:space="preserve">Step 2b (Simulink).</w:t>
      </w:r>
      <w:r>
        <w:t xml:space="preserve"> </w:t>
      </w:r>
      <w:r>
        <w:t xml:space="preserve">The ONNX model is loaded via the Deep Learning Toolbox Predict block for real-time inference feeding the hybrid decision engine.</w:t>
      </w:r>
    </w:p>
    <w:p>
      <w:pPr>
        <w:pStyle w:val="CaptionedFigure"/>
      </w:pPr>
      <w:bookmarkStart w:id="99" w:name="fig:5.1"/>
      <w:r>
        <w:drawing>
          <wp:inline>
            <wp:extent cx="5334000" cy="1396531"/>
            <wp:effectExtent b="0" l="0" r="0" t="0"/>
            <wp:docPr descr="Two-step development and deployment architecture (MATLAB/Simulink \leftrightarrow PyTorch \leftrightarrow ONNX)." title="" id="1" name="Picture"/>
            <a:graphic>
              <a:graphicData uri="http://schemas.openxmlformats.org/drawingml/2006/picture">
                <pic:pic>
                  <pic:nvPicPr>
                    <pic:cNvPr descr="fig_5_1.png" id="0" name="Picture"/>
                    <pic:cNvPicPr>
                      <a:picLocks noChangeArrowheads="1" noChangeAspect="1"/>
                    </pic:cNvPicPr>
                  </pic:nvPicPr>
                  <pic:blipFill>
                    <a:blip r:embed="rId98"/>
                    <a:stretch>
                      <a:fillRect/>
                    </a:stretch>
                  </pic:blipFill>
                  <pic:spPr bwMode="auto">
                    <a:xfrm>
                      <a:off x="0" y="0"/>
                      <a:ext cx="5334000" cy="1396531"/>
                    </a:xfrm>
                    <a:prstGeom prst="rect">
                      <a:avLst/>
                    </a:prstGeom>
                    <a:noFill/>
                    <a:ln w="9525">
                      <a:noFill/>
                      <a:headEnd/>
                      <a:tailEnd/>
                    </a:ln>
                  </pic:spPr>
                </pic:pic>
              </a:graphicData>
            </a:graphic>
          </wp:inline>
        </w:drawing>
      </w:r>
      <w:bookmarkEnd w:id="99"/>
    </w:p>
    <w:p>
      <w:pPr>
        <w:pStyle w:val="ImageCaption"/>
      </w:pPr>
      <w:r>
        <w:t xml:space="preserve">Two-step development and deployment architecture (MATLAB/Simulink</w:t>
      </w:r>
      <w:r>
        <w:t xml:space="preserve"> </w:t>
      </w:r>
      <m:oMath>
        <m:r>
          <m:t>↔</m:t>
        </m:r>
      </m:oMath>
      <w:r>
        <w:t xml:space="preserve"> </w:t>
      </w:r>
      <w:r>
        <w:t xml:space="preserve">PyTorch</w:t>
      </w:r>
      <w:r>
        <w:t xml:space="preserve"> </w:t>
      </w:r>
      <m:oMath>
        <m:r>
          <m:t>↔</m:t>
        </m:r>
      </m:oMath>
      <w:r>
        <w:t xml:space="preserve"> </w:t>
      </w:r>
      <w:r>
        <w:t xml:space="preserve">ONNX).</w:t>
      </w:r>
    </w:p>
    <w:p>
      <w:pPr>
        <w:pStyle w:val="Heading3"/>
      </w:pPr>
      <w:bookmarkStart w:id="100" w:name="the-hybrid-decision-handshake"/>
      <w:r>
        <w:t xml:space="preserve">The Hybrid Decision Handshake</w:t>
      </w:r>
      <w:bookmarkEnd w:id="100"/>
    </w:p>
    <w:p>
      <w:pPr>
        <w:pStyle w:val="FirstParagraph"/>
      </w:pPr>
      <w:r>
        <w:t xml:space="preserve">The LSTM operates as a supervisory veto rather than a replacement for the classical relay. The handshake implements a logical AND:</w:t>
      </w:r>
    </w:p>
    <w:p>
      <w:pPr>
        <w:pStyle w:val="BodyText"/>
      </w:pPr>
      <m:oMathPara>
        <m:oMathParaPr>
          <m:jc m:val="center"/>
        </m:oMathParaPr>
        <m:oMath>
          <m:r>
            <m:rPr>
              <m:nor/>
              <m:sty m:val="p"/>
            </m:rPr>
            <m:t>TRIP</m:t>
          </m:r>
          <m:r>
            <m:t>=</m:t>
          </m:r>
          <m:r>
            <m:rPr>
              <m:nor/>
              <m:sty m:val="p"/>
            </m:rPr>
            <m:t>Adaptive_87T</m:t>
          </m:r>
          <m:r>
            <m:t> </m:t>
          </m:r>
          <m:r>
            <m:t>∧</m:t>
          </m:r>
          <m:r>
            <m:t> </m:t>
          </m:r>
          <m:r>
            <m:t>(</m:t>
          </m:r>
          <m:acc>
            <m:accPr>
              <m:chr m:val="̂"/>
            </m:accPr>
            <m:e>
              <m:r>
                <m:t>c</m:t>
              </m:r>
            </m:e>
          </m:acc>
          <m:r>
            <m:t>=</m:t>
          </m:r>
          <m:r>
            <m:rPr>
              <m:nor/>
              <m:sty m:val="p"/>
            </m:rPr>
            <m:t>Internal Fault</m:t>
          </m:r>
          <m:r>
            <m:t>)</m:t>
          </m:r>
          <m:r>
            <m:t> </m:t>
          </m:r>
          <m:r>
            <m:t>∧</m:t>
          </m:r>
          <m:r>
            <m:t> </m:t>
          </m:r>
          <m:r>
            <m:t>(</m:t>
          </m:r>
          <m:r>
            <m:rPr>
              <m:nor/>
              <m:sty m:val="p"/>
            </m:rPr>
            <m:t>Conf</m:t>
          </m:r>
          <m:r>
            <m:t>≥</m:t>
          </m:r>
          <m:sSub>
            <m:e>
              <m:r>
                <m:t>θ</m:t>
              </m:r>
            </m:e>
            <m:sub>
              <m:r>
                <m:t>c</m:t>
              </m:r>
              <m:r>
                <m:t>o</m:t>
              </m:r>
              <m:r>
                <m:t>n</m:t>
              </m:r>
              <m:r>
                <m:t>f</m:t>
              </m:r>
            </m:sub>
          </m:sSub>
          <m:r>
            <m:t>)</m:t>
          </m:r>
          <m:r>
            <m:t>,</m:t>
          </m:r>
        </m:oMath>
      </m:oMathPara>
    </w:p>
    <w:p>
      <w:pPr>
        <w:pStyle w:val="FirstParagraph"/>
      </w:pPr>
      <w:r>
        <w:t xml:space="preserve">providing dependability preservation (the 87T retains primary detection), security enhancement (the LSTM vetoes false trips), and fail-safe operation (defaulting to the 87T on inference failure).</w:t>
      </w:r>
    </w:p>
    <w:p>
      <w:pPr>
        <w:pStyle w:val="CaptionedFigure"/>
      </w:pPr>
      <w:bookmarkStart w:id="102" w:name="fig:5.2"/>
      <w:r>
        <w:drawing>
          <wp:inline>
            <wp:extent cx="5334000" cy="2559857"/>
            <wp:effectExtent b="0" l="0" r="0" t="0"/>
            <wp:docPr descr="Hybrid veto/AND-gate decision logic combining the adaptive 87T element and the LSTM classifier." title="" id="1" name="Picture"/>
            <a:graphic>
              <a:graphicData uri="http://schemas.openxmlformats.org/drawingml/2006/picture">
                <pic:pic>
                  <pic:nvPicPr>
                    <pic:cNvPr descr="fig_5_2.png" id="0" name="Picture"/>
                    <pic:cNvPicPr>
                      <a:picLocks noChangeArrowheads="1" noChangeAspect="1"/>
                    </pic:cNvPicPr>
                  </pic:nvPicPr>
                  <pic:blipFill>
                    <a:blip r:embed="rId101"/>
                    <a:stretch>
                      <a:fillRect/>
                    </a:stretch>
                  </pic:blipFill>
                  <pic:spPr bwMode="auto">
                    <a:xfrm>
                      <a:off x="0" y="0"/>
                      <a:ext cx="5334000" cy="2559857"/>
                    </a:xfrm>
                    <a:prstGeom prst="rect">
                      <a:avLst/>
                    </a:prstGeom>
                    <a:noFill/>
                    <a:ln w="9525">
                      <a:noFill/>
                      <a:headEnd/>
                      <a:tailEnd/>
                    </a:ln>
                  </pic:spPr>
                </pic:pic>
              </a:graphicData>
            </a:graphic>
          </wp:inline>
        </w:drawing>
      </w:r>
      <w:bookmarkEnd w:id="102"/>
    </w:p>
    <w:p>
      <w:pPr>
        <w:pStyle w:val="ImageCaption"/>
      </w:pPr>
      <w:r>
        <w:t xml:space="preserve">Hybrid veto/AND-gate decision logic combining the adaptive 87T element and the LSTM classifier.</w:t>
      </w:r>
    </w:p>
    <w:p>
      <w:pPr>
        <w:pStyle w:val="Heading3"/>
      </w:pPr>
      <w:bookmarkStart w:id="103" w:name="signal-flow"/>
      <w:r>
        <w:t xml:space="preserve">Signal Flow</w:t>
      </w:r>
      <w:bookmarkEnd w:id="103"/>
    </w:p>
    <w:p>
      <w:pPr>
        <w:pStyle w:val="FirstParagraph"/>
      </w:pPr>
      <w:r>
        <w:t xml:space="preserve">The pipeline comprises seven stages: (1) CT secondary and merging unit at 1.6 kHz with Yd1 (</w:t>
      </w:r>
      <m:oMath>
        <m:r>
          <m:t>−</m:t>
        </m:r>
        <m:sSup>
          <m:e>
            <m:r>
              <m:t>30</m:t>
            </m:r>
          </m:e>
          <m:sup>
            <m:r>
              <m:t>∘</m:t>
            </m:r>
          </m:sup>
        </m:sSup>
      </m:oMath>
      <w:r>
        <w:t xml:space="preserve">) compensation; (2) 16-sample half-cycle window; (3) 3-level db4 DWT yielding the six-element energy vector; (4) 32-sample full-cycle buffer reshaped to</w:t>
      </w:r>
      <w:r>
        <w:t xml:space="preserve"> </w:t>
      </w:r>
      <m:oMath>
        <m:r>
          <m:t>[</m:t>
        </m:r>
        <m:r>
          <m:t>1</m:t>
        </m:r>
        <m:r>
          <m:t>,</m:t>
        </m:r>
        <m:r>
          <m:t>32</m:t>
        </m:r>
        <m:r>
          <m:t>,</m:t>
        </m:r>
        <m:r>
          <m:t>6</m:t>
        </m:r>
        <m:r>
          <m:t>]</m:t>
        </m:r>
      </m:oMath>
      <w:r>
        <w:t xml:space="preserve">; (5) ONNX LSTM classification; (6) hybrid decision engine; (7) latched breaker trip.</w:t>
      </w:r>
    </w:p>
    <w:p>
      <w:pPr>
        <w:pStyle w:val="CaptionedFigure"/>
      </w:pPr>
      <w:bookmarkStart w:id="105" w:name="fig:5.3"/>
      <w:r>
        <w:drawing>
          <wp:inline>
            <wp:extent cx="5334000" cy="1263015"/>
            <wp:effectExtent b="0" l="0" r="0" t="0"/>
            <wp:docPr descr="End-to-end seven-stage signal flow of the proposed protection scheme." title="" id="1" name="Picture"/>
            <a:graphic>
              <a:graphicData uri="http://schemas.openxmlformats.org/drawingml/2006/picture">
                <pic:pic>
                  <pic:nvPicPr>
                    <pic:cNvPr descr="fig_5_3.png" id="0" name="Picture"/>
                    <pic:cNvPicPr>
                      <a:picLocks noChangeArrowheads="1" noChangeAspect="1"/>
                    </pic:cNvPicPr>
                  </pic:nvPicPr>
                  <pic:blipFill>
                    <a:blip r:embed="rId104"/>
                    <a:stretch>
                      <a:fillRect/>
                    </a:stretch>
                  </pic:blipFill>
                  <pic:spPr bwMode="auto">
                    <a:xfrm>
                      <a:off x="0" y="0"/>
                      <a:ext cx="5334000" cy="1263015"/>
                    </a:xfrm>
                    <a:prstGeom prst="rect">
                      <a:avLst/>
                    </a:prstGeom>
                    <a:noFill/>
                    <a:ln w="9525">
                      <a:noFill/>
                      <a:headEnd/>
                      <a:tailEnd/>
                    </a:ln>
                  </pic:spPr>
                </pic:pic>
              </a:graphicData>
            </a:graphic>
          </wp:inline>
        </w:drawing>
      </w:r>
      <w:bookmarkEnd w:id="105"/>
    </w:p>
    <w:p>
      <w:pPr>
        <w:pStyle w:val="ImageCaption"/>
      </w:pPr>
      <w:r>
        <w:t xml:space="preserve">End-to-end seven-stage signal flow of the proposed protection scheme.</w:t>
      </w:r>
    </w:p>
    <w:p>
      <w:pPr>
        <w:pStyle w:val="Heading2"/>
      </w:pPr>
      <w:bookmarkStart w:id="106" w:name="data-preprocessing-and-sampling"/>
      <w:r>
        <w:t xml:space="preserve">Data Preprocessing and Sampling</w:t>
      </w:r>
      <w:bookmarkEnd w:id="106"/>
    </w:p>
    <w:p>
      <w:pPr>
        <w:pStyle w:val="FirstParagraph"/>
      </w:pPr>
      <w:r>
        <w:t xml:space="preserve">The framework adopts</w:t>
      </w:r>
      <w:r>
        <w:t xml:space="preserve"> </w:t>
      </w:r>
      <m:oMath>
        <m:sSub>
          <m:e>
            <m:r>
              <m:t>f</m:t>
            </m:r>
          </m:e>
          <m:sub>
            <m:r>
              <m:t>s</m:t>
            </m:r>
          </m:sub>
        </m:sSub>
        <m:r>
          <m:t>=</m:t>
        </m:r>
        <m:r>
          <m:t>N</m:t>
        </m:r>
        <m:r>
          <m:t>​</m:t>
        </m:r>
        <m:r>
          <m:t>×</m:t>
        </m:r>
        <m:r>
          <m:t>​</m:t>
        </m:r>
        <m:sSub>
          <m:e>
            <m:r>
              <m:t>f</m:t>
            </m:r>
          </m:e>
          <m:sub>
            <m:r>
              <m:t>0</m:t>
            </m:r>
          </m:sub>
        </m:sSub>
        <m:r>
          <m:t>=</m:t>
        </m:r>
        <m:r>
          <m:t>32</m:t>
        </m:r>
        <m:r>
          <m:t>×</m:t>
        </m:r>
        <m:r>
          <m:t>50</m:t>
        </m:r>
        <m:r>
          <m:t>=</m:t>
        </m:r>
        <m:r>
          <m:t>1600</m:t>
        </m:r>
      </m:oMath>
      <w:r>
        <w:t xml:space="preserve"> Hz (</w:t>
      </w:r>
      <m:oMath>
        <m:r>
          <m:t>Δ</m:t>
        </m:r>
        <m:r>
          <m:t>t</m:t>
        </m:r>
        <m:r>
          <m:t>=</m:t>
        </m:r>
        <m:r>
          <m:t>0.625</m:t>
        </m:r>
      </m:oMath>
      <w:r>
        <w:t xml:space="preserve"> ms), satisfying Nyquist for components up to the 10th harmonic and enabling clean dyadic decomposition of the 16-sample window (</w:t>
      </w:r>
      <m:oMath>
        <m:r>
          <m:t>16</m:t>
        </m:r>
        <m:r>
          <m:t>​</m:t>
        </m:r>
        <m:r>
          <m:t>→</m:t>
        </m:r>
        <m:r>
          <m:t>​</m:t>
        </m:r>
        <m:r>
          <m:t>8</m:t>
        </m:r>
        <m:r>
          <m:t>​</m:t>
        </m:r>
        <m:r>
          <m:t>→</m:t>
        </m:r>
        <m:r>
          <m:t>​</m:t>
        </m:r>
        <m:r>
          <m:t>4</m:t>
        </m:r>
        <m:r>
          <m:t>​</m:t>
        </m:r>
        <m:r>
          <m:t>→</m:t>
        </m:r>
        <m:r>
          <m:t>​</m:t>
        </m:r>
        <m:r>
          <m:t>2</m:t>
        </m:r>
      </m:oMath>
      <w:r>
        <w:t xml:space="preserve">). Two sliding windows operate at different scales: a 16-sample (10 ms) half-cycle DWT window and a 32-sample (20 ms) full-cycle LSTM buffer.</w:t>
      </w:r>
    </w:p>
    <w:p>
      <w:pPr>
        <w:pStyle w:val="CaptionedFigure"/>
      </w:pPr>
      <w:bookmarkStart w:id="108" w:name="fig:5.4"/>
      <w:r>
        <w:drawing>
          <wp:inline>
            <wp:extent cx="5334000" cy="3200399"/>
            <wp:effectExtent b="0" l="0" r="0" t="0"/>
            <wp:docPr descr="Dual sliding-window timing: half-cycle DWT window and full-cycle LSTM buffer." title="" id="1" name="Picture"/>
            <a:graphic>
              <a:graphicData uri="http://schemas.openxmlformats.org/drawingml/2006/picture">
                <pic:pic>
                  <pic:nvPicPr>
                    <pic:cNvPr descr="fig_5_4.png" id="0" name="Picture"/>
                    <pic:cNvPicPr>
                      <a:picLocks noChangeArrowheads="1" noChangeAspect="1"/>
                    </pic:cNvPicPr>
                  </pic:nvPicPr>
                  <pic:blipFill>
                    <a:blip r:embed="rId107"/>
                    <a:stretch>
                      <a:fillRect/>
                    </a:stretch>
                  </pic:blipFill>
                  <pic:spPr bwMode="auto">
                    <a:xfrm>
                      <a:off x="0" y="0"/>
                      <a:ext cx="5334000" cy="3200399"/>
                    </a:xfrm>
                    <a:prstGeom prst="rect">
                      <a:avLst/>
                    </a:prstGeom>
                    <a:noFill/>
                    <a:ln w="9525">
                      <a:noFill/>
                      <a:headEnd/>
                      <a:tailEnd/>
                    </a:ln>
                  </pic:spPr>
                </pic:pic>
              </a:graphicData>
            </a:graphic>
          </wp:inline>
        </w:drawing>
      </w:r>
      <w:bookmarkEnd w:id="108"/>
    </w:p>
    <w:p>
      <w:pPr>
        <w:pStyle w:val="ImageCaption"/>
      </w:pPr>
      <w:r>
        <w:t xml:space="preserve">Dual sliding-window timing: half-cycle DWT window and full-cycle LSTM buffer.</w:t>
      </w:r>
    </w:p>
    <w:p>
      <w:pPr>
        <w:pStyle w:val="Heading2"/>
      </w:pPr>
      <w:bookmarkStart w:id="109" w:name="dwt-engine-and-feature-extraction"/>
      <w:r>
        <w:t xml:space="preserve">DWT Engine and Feature Extraction</w:t>
      </w:r>
      <w:bookmarkEnd w:id="109"/>
    </w:p>
    <w:p>
      <w:pPr>
        <w:pStyle w:val="FirstParagraph"/>
      </w:pPr>
      <w:r>
        <w:t xml:space="preserve">The db4 wavelet (compact support</w:t>
      </w:r>
      <w:r>
        <w:t xml:space="preserve"> </w:t>
      </w:r>
      <m:oMath>
        <m:r>
          <m:t>L</m:t>
        </m:r>
        <m:r>
          <m:t>=</m:t>
        </m:r>
        <m:r>
          <m:t>8</m:t>
        </m:r>
      </m:oMath>
      <w:r>
        <w:t xml:space="preserve">, four vanishing moments, orthogonal) matches fault-inception transients. The 3-level decomposition follows the Mallat algorithm with quadrature mirror filters</w:t>
      </w:r>
      <w:r>
        <w:t xml:space="preserve"> </w:t>
      </w:r>
      <m:oMath>
        <m:r>
          <m:t>h</m:t>
        </m:r>
        <m:r>
          <m:t>[</m:t>
        </m:r>
        <m:r>
          <m:t>n</m:t>
        </m:r>
        <m:r>
          <m:t>]</m:t>
        </m:r>
      </m:oMath>
      <w:r>
        <w:t xml:space="preserve"> </w:t>
      </w:r>
      <w:r>
        <w:t xml:space="preserve">and</w:t>
      </w:r>
      <w:r>
        <w:t xml:space="preserve"> </w:t>
      </w:r>
      <m:oMath>
        <m:r>
          <m:t>g</m:t>
        </m:r>
        <m:r>
          <m:t>[</m:t>
        </m:r>
        <m:r>
          <m:t>n</m:t>
        </m:r>
        <m:r>
          <m:t>]</m:t>
        </m:r>
        <m:r>
          <m:t>=</m:t>
        </m:r>
        <m:r>
          <m:t>(</m:t>
        </m:r>
        <m:r>
          <m:t>−</m:t>
        </m:r>
        <m:r>
          <m:t>1</m:t>
        </m:r>
        <m:sSup>
          <m:e>
            <m:r>
              <m:t>)</m:t>
            </m:r>
          </m:e>
          <m:sup>
            <m:r>
              <m:t>n</m:t>
            </m:r>
          </m:sup>
        </m:sSup>
        <m:r>
          <m:t>h</m:t>
        </m:r>
        <m:r>
          <m:t>[</m:t>
        </m:r>
        <m:r>
          <m:t>L</m:t>
        </m:r>
        <m:r>
          <m:t>−</m:t>
        </m:r>
        <m:r>
          <m:t>1</m:t>
        </m:r>
        <m:r>
          <m:t>−</m:t>
        </m:r>
        <m:r>
          <m:t>n</m:t>
        </m:r>
        <m:r>
          <m:t>]</m:t>
        </m:r>
      </m:oMath>
      <w:r>
        <w:t xml:space="preserve"> </w:t>
      </w:r>
      <w:r>
        <w:t xml:space="preserve">and downsampling:</w:t>
      </w:r>
    </w:p>
    <w:p>
      <w:pPr>
        <w:pStyle w:val="BodyText"/>
      </w:pPr>
      <m:oMathPara>
        <m:oMathParaPr>
          <m:jc m:val="center"/>
        </m:oMathParaPr>
        <m:oMath>
          <m:sSub>
            <m:e>
              <m:r>
                <m:t>a</m:t>
              </m:r>
            </m:e>
            <m:sub>
              <m:r>
                <m:t>j</m:t>
              </m:r>
            </m:sub>
          </m:sSub>
          <m:r>
            <m:t>[</m:t>
          </m:r>
          <m:r>
            <m:t>k</m:t>
          </m:r>
          <m:r>
            <m:t>]</m:t>
          </m:r>
          <m:r>
            <m:t>=</m:t>
          </m:r>
          <m:nary>
            <m:naryPr>
              <m:chr m:val="∑"/>
              <m:limLoc m:val="undOvr"/>
              <m:subHide m:val="0"/>
              <m:supHide m:val="1"/>
            </m:naryPr>
            <m:sub>
              <m:r>
                <m:t>n</m:t>
              </m:r>
            </m:sub>
            <m:sup>
              <m:r>
                <m:t>​</m:t>
              </m:r>
            </m:sup>
            <m:e>
              <m:r>
                <m:t>h</m:t>
              </m:r>
            </m:e>
          </m:nary>
          <m:r>
            <m:t>[</m:t>
          </m:r>
          <m:r>
            <m:t>n</m:t>
          </m:r>
          <m:r>
            <m:t>−</m:t>
          </m:r>
          <m:r>
            <m:t>2</m:t>
          </m:r>
          <m:r>
            <m:t>k</m:t>
          </m:r>
          <m:r>
            <m:t>]</m:t>
          </m:r>
          <m:r>
            <m:t> </m:t>
          </m:r>
          <m:sSub>
            <m:e>
              <m:r>
                <m:t>a</m:t>
              </m:r>
            </m:e>
            <m:sub>
              <m:r>
                <m:t>j</m:t>
              </m:r>
              <m:r>
                <m:t>−</m:t>
              </m:r>
              <m:r>
                <m:t>1</m:t>
              </m:r>
            </m:sub>
          </m:sSub>
          <m:r>
            <m:t>[</m:t>
          </m:r>
          <m:r>
            <m:t>n</m:t>
          </m:r>
          <m:r>
            <m:t>]</m:t>
          </m:r>
          <m:r>
            <m:t>,</m:t>
          </m:r>
          <m:r>
            <m:t>  </m:t>
          </m:r>
          <m:sSub>
            <m:e>
              <m:r>
                <m:t>d</m:t>
              </m:r>
            </m:e>
            <m:sub>
              <m:r>
                <m:t>j</m:t>
              </m:r>
            </m:sub>
          </m:sSub>
          <m:r>
            <m:t>[</m:t>
          </m:r>
          <m:r>
            <m:t>k</m:t>
          </m:r>
          <m:r>
            <m:t>]</m:t>
          </m:r>
          <m:r>
            <m:t>=</m:t>
          </m:r>
          <m:nary>
            <m:naryPr>
              <m:chr m:val="∑"/>
              <m:limLoc m:val="undOvr"/>
              <m:subHide m:val="0"/>
              <m:supHide m:val="1"/>
            </m:naryPr>
            <m:sub>
              <m:r>
                <m:t>n</m:t>
              </m:r>
            </m:sub>
            <m:sup>
              <m:r>
                <m:t>​</m:t>
              </m:r>
            </m:sup>
            <m:e>
              <m:r>
                <m:t>g</m:t>
              </m:r>
            </m:e>
          </m:nary>
          <m:r>
            <m:t>[</m:t>
          </m:r>
          <m:r>
            <m:t>n</m:t>
          </m:r>
          <m:r>
            <m:t>−</m:t>
          </m:r>
          <m:r>
            <m:t>2</m:t>
          </m:r>
          <m:r>
            <m:t>k</m:t>
          </m:r>
          <m:r>
            <m:t>]</m:t>
          </m:r>
          <m:r>
            <m:t> </m:t>
          </m:r>
          <m:sSub>
            <m:e>
              <m:r>
                <m:t>a</m:t>
              </m:r>
            </m:e>
            <m:sub>
              <m:r>
                <m:t>j</m:t>
              </m:r>
              <m:r>
                <m:t>−</m:t>
              </m:r>
              <m:r>
                <m:t>1</m:t>
              </m:r>
            </m:sub>
          </m:sSub>
          <m:r>
            <m:t>[</m:t>
          </m:r>
          <m:r>
            <m:t>n</m:t>
          </m:r>
          <m:r>
            <m:t>]</m:t>
          </m:r>
          <m:r>
            <m:t>.</m:t>
          </m:r>
        </m:oMath>
      </m:oMathPara>
    </w:p>
    <w:p>
      <w:pPr>
        <w:pStyle w:val="FirstParagraph"/>
      </w:pPr>
      <w:r>
        <w:t xml:space="preserve">The band allocation is given in Table </w:t>
      </w:r>
      <w:hyperlink w:anchor="tab:5.2">
        <w:r>
          <w:rPr>
            <w:rStyle w:val="Hyperlink"/>
          </w:rPr>
          <w:t xml:space="preserve">5.1</w:t>
        </w:r>
      </w:hyperlink>
      <w:r>
        <w:t xml:space="preserve">. Two energy features per phase follow from Parseval’s theorem: the approximation energy</w:t>
      </w:r>
      <w:r>
        <w:t xml:space="preserve"> </w:t>
      </w:r>
      <m:oMath>
        <m:sSub>
          <m:e>
            <m:r>
              <m:t>E</m:t>
            </m:r>
          </m:e>
          <m:sub>
            <m:r>
              <m:t>A</m:t>
            </m:r>
            <m:r>
              <m:t>,</m:t>
            </m:r>
            <m:r>
              <m:t>φ</m:t>
            </m:r>
          </m:sub>
        </m:sSub>
        <m:r>
          <m:t>=</m:t>
        </m:r>
        <m:nary>
          <m:naryPr>
            <m:chr m:val="∑"/>
            <m:limLoc m:val="undOvr"/>
            <m:subHide m:val="0"/>
            <m:supHide m:val="1"/>
          </m:naryPr>
          <m:sub>
            <m:r>
              <m:t>k</m:t>
            </m:r>
          </m:sub>
          <m:sup>
            <m:r>
              <m:t>​</m:t>
            </m:r>
          </m:sup>
          <m:e>
            <m:r>
              <m:t>|</m:t>
            </m:r>
          </m:e>
        </m:nary>
        <m:sSubSup>
          <m:e>
            <m:r>
              <m:t>a</m:t>
            </m:r>
          </m:e>
          <m:sub>
            <m:r>
              <m:t>3</m:t>
            </m:r>
          </m:sub>
          <m:sup>
            <m:r>
              <m:t>(</m:t>
            </m:r>
            <m:r>
              <m:t>φ</m:t>
            </m:r>
            <m:r>
              <m:t>)</m:t>
            </m:r>
          </m:sup>
        </m:sSubSup>
        <m:r>
          <m:t>[</m:t>
        </m:r>
        <m:r>
          <m:t>k</m:t>
        </m:r>
        <m:r>
          <m:t>]</m:t>
        </m:r>
        <m:sSup>
          <m:e>
            <m:r>
              <m:t>|</m:t>
            </m:r>
          </m:e>
          <m:sup>
            <m:r>
              <m:t>2</m:t>
            </m:r>
          </m:sup>
        </m:sSup>
      </m:oMath>
      <w:r>
        <w:t xml:space="preserve"> </w:t>
      </w:r>
      <w:r>
        <w:t xml:space="preserve">(0–100 Hz) and the detail energy</w:t>
      </w:r>
      <w:r>
        <w:t xml:space="preserve"> </w:t>
      </w:r>
      <m:oMath>
        <m:sSub>
          <m:e>
            <m:r>
              <m:t>E</m:t>
            </m:r>
          </m:e>
          <m:sub>
            <m:r>
              <m:t>D</m:t>
            </m:r>
            <m:r>
              <m:t>,</m:t>
            </m:r>
            <m:r>
              <m:t>φ</m:t>
            </m:r>
          </m:sub>
        </m:sSub>
        <m:r>
          <m:t>=</m:t>
        </m:r>
        <m:nary>
          <m:naryPr>
            <m:chr m:val="∑"/>
            <m:limLoc m:val="undOvr"/>
            <m:subHide m:val="0"/>
            <m:supHide m:val="0"/>
          </m:naryPr>
          <m:sub>
            <m:r>
              <m:t>j</m:t>
            </m:r>
            <m:r>
              <m:t>=</m:t>
            </m:r>
            <m:r>
              <m:t>1</m:t>
            </m:r>
          </m:sub>
          <m:sup>
            <m:r>
              <m:t>3</m:t>
            </m:r>
          </m:sup>
          <m:e>
            <m:nary>
              <m:naryPr>
                <m:chr m:val="∑"/>
                <m:limLoc m:val="undOvr"/>
                <m:subHide m:val="0"/>
                <m:supHide m:val="1"/>
              </m:naryPr>
              <m:sub>
                <m:r>
                  <m:t>k</m:t>
                </m:r>
              </m:sub>
              <m:sup>
                <m:r>
                  <m:t>​</m:t>
                </m:r>
              </m:sup>
              <m:e>
                <m:r>
                  <m:t>|</m:t>
                </m:r>
              </m:e>
            </m:nary>
          </m:e>
        </m:nary>
        <m:sSubSup>
          <m:e>
            <m:r>
              <m:t>d</m:t>
            </m:r>
          </m:e>
          <m:sub>
            <m:r>
              <m:t>j</m:t>
            </m:r>
          </m:sub>
          <m:sup>
            <m:r>
              <m:t>(</m:t>
            </m:r>
            <m:r>
              <m:t>φ</m:t>
            </m:r>
            <m:r>
              <m:t>)</m:t>
            </m:r>
          </m:sup>
        </m:sSubSup>
        <m:r>
          <m:t>[</m:t>
        </m:r>
        <m:r>
          <m:t>k</m:t>
        </m:r>
        <m:r>
          <m:t>]</m:t>
        </m:r>
        <m:sSup>
          <m:e>
            <m:r>
              <m:t>|</m:t>
            </m:r>
          </m:e>
          <m:sup>
            <m:r>
              <m:t>2</m:t>
            </m:r>
          </m:sup>
        </m:sSup>
      </m:oMath>
      <w:r>
        <w:t xml:space="preserve"> </w:t>
      </w:r>
      <w:r>
        <w:t xml:space="preserve">(100–800 Hz).</w:t>
      </w:r>
    </w:p>
    <w:bookmarkStart w:id="110" w:name="tab:5.2"/>
    <w:p>
      <w:pPr>
        <w:pStyle w:val="TableCaption"/>
      </w:pPr>
      <w:r>
        <w:t xml:space="preserve">Frequency band allocation for the 3-level DWT at 1.6 kHz.</w:t>
      </w:r>
    </w:p>
    <w:tbl>
      <w:tblPr>
        <w:tblStyle w:val="Table"/>
        <w:tblW w:type="pct" w:w="0.0"/>
        <w:tblLook w:firstRow="1"/>
        <w:tblCaption w:val="Frequency band allocation for the 3-level DWT at 1.6 kHz."/>
      </w:tblPr>
      <w:tblGrid/>
      <w:tr>
        <w:trPr>
          <w:cnfStyle w:firstRow="1"/>
        </w:trPr>
        <w:tc>
          <w:tcPr>
            <w:tcBorders>
              <w:bottom w:val="single"/>
            </w:tcBorders>
            <w:vAlign w:val="bottom"/>
          </w:tcPr>
          <w:p>
            <w:pPr>
              <w:pStyle w:val="Compact"/>
              <w:jc w:val="center"/>
            </w:pPr>
            <w:r>
              <w:rPr>
                <w:b/>
              </w:rPr>
              <w:t xml:space="preserve">Level</w:t>
            </w:r>
          </w:p>
        </w:tc>
        <w:tc>
          <w:tcPr>
            <w:tcBorders>
              <w:bottom w:val="single"/>
            </w:tcBorders>
            <w:vAlign w:val="bottom"/>
          </w:tcPr>
          <w:p>
            <w:pPr>
              <w:pStyle w:val="Compact"/>
              <w:jc w:val="center"/>
            </w:pPr>
            <w:r>
              <w:rPr>
                <w:b/>
              </w:rPr>
              <w:t xml:space="preserve">Coeff.</w:t>
            </w:r>
          </w:p>
        </w:tc>
        <w:tc>
          <w:tcPr>
            <w:tcBorders>
              <w:bottom w:val="single"/>
            </w:tcBorders>
            <w:vAlign w:val="bottom"/>
          </w:tcPr>
          <w:p>
            <w:pPr>
              <w:pStyle w:val="Compact"/>
              <w:jc w:val="left"/>
            </w:pPr>
            <w:r>
              <w:rPr>
                <w:b/>
              </w:rPr>
              <w:t xml:space="preserve">Band (Hz)</w:t>
            </w:r>
          </w:p>
        </w:tc>
        <w:tc>
          <w:tcPr>
            <w:tcBorders>
              <w:bottom w:val="single"/>
            </w:tcBorders>
            <w:vAlign w:val="bottom"/>
          </w:tcPr>
          <w:p>
            <w:pPr>
              <w:pStyle w:val="Compact"/>
              <w:jc w:val="left"/>
            </w:pPr>
            <w:r>
              <w:rPr>
                <w:b/>
              </w:rPr>
              <w:t xml:space="preserve">Key components</w:t>
            </w:r>
          </w:p>
        </w:tc>
        <w:tc>
          <w:tcPr>
            <w:tcBorders>
              <w:bottom w:val="single"/>
            </w:tcBorders>
            <w:vAlign w:val="bottom"/>
          </w:tcPr>
          <w:p>
            <w:pPr>
              <w:pStyle w:val="Compact"/>
              <w:jc w:val="center"/>
            </w:pPr>
            <w:r>
              <w:rPr>
                <w:b/>
              </w:rPr>
              <w:t xml:space="preserve"># Coeff.</w:t>
            </w:r>
          </w:p>
        </w:tc>
      </w:tr>
      <w:tr>
        <w:tc>
          <w:p>
            <w:pPr>
              <w:pStyle w:val="Compact"/>
              <w:jc w:val="center"/>
            </w:pPr>
            <w:r>
              <w:t xml:space="preserve">3</w:t>
            </w:r>
          </w:p>
        </w:tc>
        <w:tc>
          <w:p>
            <w:pPr>
              <w:pStyle w:val="Compact"/>
              <w:jc w:val="center"/>
            </w:pPr>
            <m:oMath>
              <m:sSub>
                <m:e>
                  <m:r>
                    <m:t>a</m:t>
                  </m:r>
                </m:e>
                <m:sub>
                  <m:r>
                    <m:t>3</m:t>
                  </m:r>
                </m:sub>
              </m:sSub>
            </m:oMath>
          </w:p>
        </w:tc>
        <w:tc>
          <w:p>
            <w:pPr>
              <w:pStyle w:val="Compact"/>
              <w:jc w:val="left"/>
            </w:pPr>
            <w:r>
              <w:t xml:space="preserve">0–100</w:t>
            </w:r>
          </w:p>
        </w:tc>
        <w:tc>
          <w:p>
            <w:pPr>
              <w:pStyle w:val="Compact"/>
              <w:jc w:val="left"/>
            </w:pPr>
            <w:r>
              <w:t xml:space="preserve">DC, fundamental (50 Hz)</w:t>
            </w:r>
          </w:p>
        </w:tc>
        <w:tc>
          <w:p>
            <w:pPr>
              <w:pStyle w:val="Compact"/>
              <w:jc w:val="center"/>
            </w:pPr>
            <w:r>
              <w:t xml:space="preserve">2</w:t>
            </w:r>
          </w:p>
        </w:tc>
      </w:tr>
      <w:tr>
        <w:tc>
          <w:p>
            <w:pPr>
              <w:pStyle w:val="Compact"/>
              <w:jc w:val="center"/>
            </w:pPr>
            <w:r>
              <w:t xml:space="preserve">3</w:t>
            </w:r>
          </w:p>
        </w:tc>
        <w:tc>
          <w:p>
            <w:pPr>
              <w:pStyle w:val="Compact"/>
              <w:jc w:val="center"/>
            </w:pPr>
            <m:oMath>
              <m:sSub>
                <m:e>
                  <m:r>
                    <m:t>d</m:t>
                  </m:r>
                </m:e>
                <m:sub>
                  <m:r>
                    <m:t>3</m:t>
                  </m:r>
                </m:sub>
              </m:sSub>
            </m:oMath>
          </w:p>
        </w:tc>
        <w:tc>
          <w:p>
            <w:pPr>
              <w:pStyle w:val="Compact"/>
              <w:jc w:val="left"/>
            </w:pPr>
            <w:r>
              <w:t xml:space="preserve">100–200</w:t>
            </w:r>
          </w:p>
        </w:tc>
        <w:tc>
          <w:p>
            <w:pPr>
              <w:pStyle w:val="Compact"/>
              <w:jc w:val="left"/>
            </w:pPr>
            <w:r>
              <w:t xml:space="preserve">2nd–4th harmonics</w:t>
            </w:r>
          </w:p>
        </w:tc>
        <w:tc>
          <w:p>
            <w:pPr>
              <w:pStyle w:val="Compact"/>
              <w:jc w:val="center"/>
            </w:pPr>
            <w:r>
              <w:t xml:space="preserve">2</w:t>
            </w:r>
          </w:p>
        </w:tc>
      </w:tr>
      <w:tr>
        <w:tc>
          <w:p>
            <w:pPr>
              <w:pStyle w:val="Compact"/>
              <w:jc w:val="center"/>
            </w:pPr>
            <w:r>
              <w:t xml:space="preserve">2</w:t>
            </w:r>
          </w:p>
        </w:tc>
        <w:tc>
          <w:p>
            <w:pPr>
              <w:pStyle w:val="Compact"/>
              <w:jc w:val="center"/>
            </w:pPr>
            <m:oMath>
              <m:sSub>
                <m:e>
                  <m:r>
                    <m:t>d</m:t>
                  </m:r>
                </m:e>
                <m:sub>
                  <m:r>
                    <m:t>2</m:t>
                  </m:r>
                </m:sub>
              </m:sSub>
            </m:oMath>
          </w:p>
        </w:tc>
        <w:tc>
          <w:p>
            <w:pPr>
              <w:pStyle w:val="Compact"/>
              <w:jc w:val="left"/>
            </w:pPr>
            <w:r>
              <w:t xml:space="preserve">200–400</w:t>
            </w:r>
          </w:p>
        </w:tc>
        <w:tc>
          <w:p>
            <w:pPr>
              <w:pStyle w:val="Compact"/>
              <w:jc w:val="left"/>
            </w:pPr>
            <w:r>
              <w:t xml:space="preserve">4th–8th harmonics</w:t>
            </w:r>
          </w:p>
        </w:tc>
        <w:tc>
          <w:p>
            <w:pPr>
              <w:pStyle w:val="Compact"/>
              <w:jc w:val="center"/>
            </w:pPr>
            <w:r>
              <w:t xml:space="preserve">4</w:t>
            </w:r>
          </w:p>
        </w:tc>
      </w:tr>
      <w:tr>
        <w:tc>
          <w:p>
            <w:pPr>
              <w:pStyle w:val="Compact"/>
              <w:jc w:val="center"/>
            </w:pPr>
            <w:r>
              <w:t xml:space="preserve">1</w:t>
            </w:r>
          </w:p>
        </w:tc>
        <w:tc>
          <w:p>
            <w:pPr>
              <w:pStyle w:val="Compact"/>
              <w:jc w:val="center"/>
            </w:pPr>
            <m:oMath>
              <m:sSub>
                <m:e>
                  <m:r>
                    <m:t>d</m:t>
                  </m:r>
                </m:e>
                <m:sub>
                  <m:r>
                    <m:t>1</m:t>
                  </m:r>
                </m:sub>
              </m:sSub>
            </m:oMath>
          </w:p>
        </w:tc>
        <w:tc>
          <w:p>
            <w:pPr>
              <w:pStyle w:val="Compact"/>
              <w:jc w:val="left"/>
            </w:pPr>
            <w:r>
              <w:t xml:space="preserve">400–800</w:t>
            </w:r>
          </w:p>
        </w:tc>
        <w:tc>
          <w:p>
            <w:pPr>
              <w:pStyle w:val="Compact"/>
              <w:jc w:val="left"/>
            </w:pPr>
            <w:r>
              <w:t xml:space="preserve">High-freq. transients</w:t>
            </w:r>
          </w:p>
        </w:tc>
        <w:tc>
          <w:p>
            <w:pPr>
              <w:pStyle w:val="Compact"/>
              <w:jc w:val="center"/>
            </w:pPr>
            <w:r>
              <w:t xml:space="preserve">8</w:t>
            </w:r>
          </w:p>
        </w:tc>
      </w:tr>
    </w:tbl>
    <w:bookmarkEnd w:id="110"/>
    <w:p>
      <w:pPr>
        <w:pStyle w:val="BodyText"/>
      </w:pPr>
      <w:r>
        <w:t xml:space="preserve">The six-dimensional feature vector</w:t>
      </w:r>
      <w:r>
        <w:t xml:space="preserve"> </w:t>
      </w:r>
      <m:oMath>
        <m:r>
          <m:t>f</m:t>
        </m:r>
        <m:r>
          <m:t>(</m:t>
        </m:r>
        <m:r>
          <m:t>t</m:t>
        </m:r>
        <m:r>
          <m:t>)</m:t>
        </m:r>
        <m:r>
          <m:t>=</m:t>
        </m:r>
        <m:r>
          <m:t>[</m:t>
        </m:r>
        <m:sSub>
          <m:e>
            <m:r>
              <m:t>E</m:t>
            </m:r>
          </m:e>
          <m:sub>
            <m:r>
              <m:t>A</m:t>
            </m:r>
            <m:r>
              <m:t>,</m:t>
            </m:r>
            <m:r>
              <m:t>A</m:t>
            </m:r>
          </m:sub>
        </m:sSub>
        <m:r>
          <m:t>,</m:t>
        </m:r>
        <m:sSub>
          <m:e>
            <m:r>
              <m:t>E</m:t>
            </m:r>
          </m:e>
          <m:sub>
            <m:r>
              <m:t>D</m:t>
            </m:r>
            <m:r>
              <m:t>,</m:t>
            </m:r>
            <m:r>
              <m:t>A</m:t>
            </m:r>
          </m:sub>
        </m:sSub>
        <m:r>
          <m:t>,</m:t>
        </m:r>
        <m:sSub>
          <m:e>
            <m:r>
              <m:t>E</m:t>
            </m:r>
          </m:e>
          <m:sub>
            <m:r>
              <m:t>A</m:t>
            </m:r>
            <m:r>
              <m:t>,</m:t>
            </m:r>
            <m:r>
              <m:t>B</m:t>
            </m:r>
          </m:sub>
        </m:sSub>
        <m:r>
          <m:t>,</m:t>
        </m:r>
        <m:sSub>
          <m:e>
            <m:r>
              <m:t>E</m:t>
            </m:r>
          </m:e>
          <m:sub>
            <m:r>
              <m:t>D</m:t>
            </m:r>
            <m:r>
              <m:t>,</m:t>
            </m:r>
            <m:r>
              <m:t>B</m:t>
            </m:r>
          </m:sub>
        </m:sSub>
        <m:r>
          <m:t>,</m:t>
        </m:r>
        <m:sSub>
          <m:e>
            <m:r>
              <m:t>E</m:t>
            </m:r>
          </m:e>
          <m:sub>
            <m:r>
              <m:t>A</m:t>
            </m:r>
            <m:r>
              <m:t>,</m:t>
            </m:r>
            <m:r>
              <m:t>C</m:t>
            </m:r>
          </m:sub>
        </m:sSub>
        <m:r>
          <m:t>,</m:t>
        </m:r>
        <m:sSub>
          <m:e>
            <m:r>
              <m:t>E</m:t>
            </m:r>
          </m:e>
          <m:sub>
            <m:r>
              <m:t>D</m:t>
            </m:r>
            <m:r>
              <m:t>,</m:t>
            </m:r>
            <m:r>
              <m:t>C</m:t>
            </m:r>
          </m:sub>
        </m:sSub>
        <m:r>
          <m:t>]</m:t>
        </m:r>
      </m:oMath>
      <w:r>
        <w:t xml:space="preserve"> </w:t>
      </w:r>
      <w:r>
        <w:t xml:space="preserve">is</w:t>
      </w:r>
      <w:r>
        <w:t xml:space="preserve"> </w:t>
      </w:r>
      <m:oMath>
        <m:r>
          <m:t>z</m:t>
        </m:r>
      </m:oMath>
      <w:r>
        <w:t xml:space="preserve">-score normalized and accumulated over the full-cycle buffer into</w:t>
      </w:r>
      <w:r>
        <w:t xml:space="preserve"> </w:t>
      </w:r>
      <m:oMath>
        <m:r>
          <m:t>X</m:t>
        </m:r>
        <m:r>
          <m:t>(</m:t>
        </m:r>
        <m:r>
          <m:t>t</m:t>
        </m:r>
        <m:r>
          <m:t>)</m:t>
        </m:r>
        <m:r>
          <m:t>∈</m:t>
        </m:r>
        <m:sSup>
          <m:e>
            <m:r>
              <m:rPr>
                <m:sty m:val="p"/>
                <m:scr m:val="double-struck"/>
              </m:rPr>
              <m:t>R</m:t>
            </m:r>
          </m:e>
          <m:sup>
            <m:r>
              <m:t>32</m:t>
            </m:r>
            <m:r>
              <m:t>×</m:t>
            </m:r>
            <m:r>
              <m:t>6</m:t>
            </m:r>
          </m:sup>
        </m:sSup>
      </m:oMath>
      <w:r>
        <w:t xml:space="preserve">, reshaped to</w:t>
      </w:r>
      <w:r>
        <w:t xml:space="preserve"> </w:t>
      </w:r>
      <m:oMath>
        <m:sSub>
          <m:e>
            <m:r>
              <m:t>X</m:t>
            </m:r>
          </m:e>
          <m:sub>
            <m:r>
              <m:t>L</m:t>
            </m:r>
            <m:r>
              <m:t>S</m:t>
            </m:r>
            <m:r>
              <m:t>T</m:t>
            </m:r>
            <m:r>
              <m:t>M</m:t>
            </m:r>
          </m:sub>
        </m:sSub>
        <m:r>
          <m:t>∈</m:t>
        </m:r>
        <m:sSup>
          <m:e>
            <m:r>
              <m:rPr>
                <m:sty m:val="p"/>
                <m:scr m:val="double-struck"/>
              </m:rPr>
              <m:t>R</m:t>
            </m:r>
          </m:e>
          <m:sup>
            <m:r>
              <m:t>1</m:t>
            </m:r>
            <m:r>
              <m:t>×</m:t>
            </m:r>
            <m:r>
              <m:t>32</m:t>
            </m:r>
            <m:r>
              <m:t>×</m:t>
            </m:r>
            <m:r>
              <m:t>6</m:t>
            </m:r>
          </m:sup>
        </m:sSup>
      </m:oMath>
      <w:r>
        <w:t xml:space="preserve">.</w:t>
      </w:r>
    </w:p>
    <w:p>
      <w:pPr>
        <w:pStyle w:val="CaptionedFigure"/>
      </w:pPr>
      <w:bookmarkStart w:id="112" w:name="fig:5.5"/>
      <w:r>
        <w:drawing>
          <wp:inline>
            <wp:extent cx="5334000" cy="2670753"/>
            <wp:effectExtent b="0" l="0" r="0" t="0"/>
            <wp:docPr descr="db4 mother wavelet and the three-level dyadic filter-bank decomposition tree." title="" id="1" name="Picture"/>
            <a:graphic>
              <a:graphicData uri="http://schemas.openxmlformats.org/drawingml/2006/picture">
                <pic:pic>
                  <pic:nvPicPr>
                    <pic:cNvPr descr="fig_5_5.png" id="0" name="Picture"/>
                    <pic:cNvPicPr>
                      <a:picLocks noChangeArrowheads="1" noChangeAspect="1"/>
                    </pic:cNvPicPr>
                  </pic:nvPicPr>
                  <pic:blipFill>
                    <a:blip r:embed="rId111"/>
                    <a:stretch>
                      <a:fillRect/>
                    </a:stretch>
                  </pic:blipFill>
                  <pic:spPr bwMode="auto">
                    <a:xfrm>
                      <a:off x="0" y="0"/>
                      <a:ext cx="5334000" cy="2670753"/>
                    </a:xfrm>
                    <a:prstGeom prst="rect">
                      <a:avLst/>
                    </a:prstGeom>
                    <a:noFill/>
                    <a:ln w="9525">
                      <a:noFill/>
                      <a:headEnd/>
                      <a:tailEnd/>
                    </a:ln>
                  </pic:spPr>
                </pic:pic>
              </a:graphicData>
            </a:graphic>
          </wp:inline>
        </w:drawing>
      </w:r>
      <w:bookmarkEnd w:id="112"/>
    </w:p>
    <w:p>
      <w:pPr>
        <w:pStyle w:val="ImageCaption"/>
      </w:pPr>
      <w:r>
        <w:t xml:space="preserve">db4 mother wavelet and the three-level dyadic filter-bank decomposition tree.</w:t>
      </w:r>
    </w:p>
    <w:p>
      <w:pPr>
        <w:pStyle w:val="Heading2"/>
      </w:pPr>
      <w:bookmarkStart w:id="113" w:name="lstm-architecture-and-training"/>
      <w:r>
        <w:t xml:space="preserve">LSTM Architecture and Training</w:t>
      </w:r>
      <w:bookmarkEnd w:id="113"/>
    </w:p>
    <w:p>
      <w:pPr>
        <w:pStyle w:val="FirstParagraph"/>
      </w:pPr>
      <w:r>
        <w:t xml:space="preserve">The network comprises an input layer</w:t>
      </w:r>
      <w:r>
        <w:t xml:space="preserve"> </w:t>
      </w:r>
      <m:oMath>
        <m:r>
          <m:t>[</m:t>
        </m:r>
        <m:r>
          <m:t>B</m:t>
        </m:r>
        <m:r>
          <m:t>,</m:t>
        </m:r>
        <m:r>
          <m:t>32</m:t>
        </m:r>
        <m:r>
          <m:t>,</m:t>
        </m:r>
        <m:r>
          <m:t>6</m:t>
        </m:r>
        <m:r>
          <m:t>]</m:t>
        </m:r>
      </m:oMath>
      <w:r>
        <w:t xml:space="preserve">; LSTM-1 (128 units, return sequences) with dropout 0.3; LSTM-2 (64 units, return sequences) with dropout 0.3; a global temporal attention layer</w:t>
      </w:r>
    </w:p>
    <w:p>
      <w:pPr>
        <w:pStyle w:val="BodyText"/>
      </w:pPr>
      <m:oMathPara>
        <m:oMathParaPr>
          <m:jc m:val="center"/>
        </m:oMathParaPr>
        <m:oMath>
          <m:sSub>
            <m:e>
              <m:r>
                <m:t>α</m:t>
              </m:r>
            </m:e>
            <m:sub>
              <m:r>
                <m:t>t</m:t>
              </m:r>
            </m:sub>
          </m:sSub>
          <m:r>
            <m:t>=</m:t>
          </m:r>
          <m:f>
            <m:fPr>
              <m:type m:val="bar"/>
            </m:fPr>
            <m:num>
              <m:r>
                <m:rPr>
                  <m:nor/>
                  <m:sty m:val="p"/>
                </m:rPr>
                <m:t>exp</m:t>
              </m:r>
              <m:r>
                <m:t>(</m:t>
              </m:r>
              <m:sSup>
                <m:e>
                  <m:r>
                    <m:t>v</m:t>
                  </m:r>
                </m:e>
                <m:sup>
                  <m:r>
                    <m:t>⊤</m:t>
                  </m:r>
                </m:sup>
              </m:sSup>
              <m:r>
                <m:rPr>
                  <m:nor/>
                  <m:sty m:val="p"/>
                </m:rPr>
                <m:t>tanh</m:t>
              </m:r>
              <m:r>
                <m:t>(</m:t>
              </m:r>
              <m:sSub>
                <m:e>
                  <m:r>
                    <m:t>W</m:t>
                  </m:r>
                </m:e>
                <m:sub>
                  <m:r>
                    <m:t>a</m:t>
                  </m:r>
                </m:sub>
              </m:sSub>
              <m:sSub>
                <m:e>
                  <m:r>
                    <m:t>h</m:t>
                  </m:r>
                </m:e>
                <m:sub>
                  <m:r>
                    <m:t>t</m:t>
                  </m:r>
                </m:sub>
              </m:sSub>
              <m:r>
                <m:t>+</m:t>
              </m:r>
              <m:sSub>
                <m:e>
                  <m:r>
                    <m:t>b</m:t>
                  </m:r>
                </m:e>
                <m:sub>
                  <m:r>
                    <m:t>a</m:t>
                  </m:r>
                </m:sub>
              </m:sSub>
              <m:r>
                <m:t>)</m:t>
              </m:r>
              <m:r>
                <m:t>)</m:t>
              </m:r>
            </m:num>
            <m:den>
              <m:nary>
                <m:naryPr>
                  <m:chr m:val="∑"/>
                  <m:limLoc m:val="undOvr"/>
                  <m:subHide m:val="0"/>
                  <m:supHide m:val="0"/>
                </m:naryPr>
                <m:sub>
                  <m:r>
                    <m:t>t</m:t>
                  </m:r>
                  <m:r>
                    <m:t>′</m:t>
                  </m:r>
                  <m:r>
                    <m:t>=</m:t>
                  </m:r>
                  <m:r>
                    <m:t>1</m:t>
                  </m:r>
                </m:sub>
                <m:sup>
                  <m:r>
                    <m:t>32</m:t>
                  </m:r>
                </m:sup>
                <m:e>
                  <m:r>
                    <m:rPr>
                      <m:nor/>
                      <m:sty m:val="p"/>
                    </m:rPr>
                    <m:t>exp</m:t>
                  </m:r>
                </m:e>
              </m:nary>
              <m:r>
                <m:t>(</m:t>
              </m:r>
              <m:sSup>
                <m:e>
                  <m:r>
                    <m:t>v</m:t>
                  </m:r>
                </m:e>
                <m:sup>
                  <m:r>
                    <m:t>⊤</m:t>
                  </m:r>
                </m:sup>
              </m:sSup>
              <m:r>
                <m:rPr>
                  <m:nor/>
                  <m:sty m:val="p"/>
                </m:rPr>
                <m:t>tanh</m:t>
              </m:r>
              <m:r>
                <m:t>(</m:t>
              </m:r>
              <m:sSub>
                <m:e>
                  <m:r>
                    <m:t>W</m:t>
                  </m:r>
                </m:e>
                <m:sub>
                  <m:r>
                    <m:t>a</m:t>
                  </m:r>
                </m:sub>
              </m:sSub>
              <m:sSub>
                <m:e>
                  <m:r>
                    <m:t>h</m:t>
                  </m:r>
                </m:e>
                <m:sub>
                  <m:r>
                    <m:t>t</m:t>
                  </m:r>
                  <m:r>
                    <m:t>′</m:t>
                  </m:r>
                </m:sub>
              </m:sSub>
              <m:r>
                <m:t>+</m:t>
              </m:r>
              <m:sSub>
                <m:e>
                  <m:r>
                    <m:t>b</m:t>
                  </m:r>
                </m:e>
                <m:sub>
                  <m:r>
                    <m:t>a</m:t>
                  </m:r>
                </m:sub>
              </m:sSub>
              <m:r>
                <m:t>)</m:t>
              </m:r>
              <m:r>
                <m:t>)</m:t>
              </m:r>
            </m:den>
          </m:f>
          <m:r>
            <m:t>,</m:t>
          </m:r>
          <m:r>
            <m:t>  </m:t>
          </m:r>
          <m:r>
            <m:t>c</m:t>
          </m:r>
          <m:r>
            <m:t>=</m:t>
          </m:r>
          <m:nary>
            <m:naryPr>
              <m:chr m:val="∑"/>
              <m:limLoc m:val="undOvr"/>
              <m:subHide m:val="0"/>
              <m:supHide m:val="0"/>
            </m:naryPr>
            <m:sub>
              <m:r>
                <m:t>t</m:t>
              </m:r>
              <m:r>
                <m:t>=</m:t>
              </m:r>
              <m:r>
                <m:t>1</m:t>
              </m:r>
            </m:sub>
            <m:sup>
              <m:r>
                <m:t>32</m:t>
              </m:r>
            </m:sup>
            <m:e>
              <m:sSub>
                <m:e>
                  <m:r>
                    <m:t>α</m:t>
                  </m:r>
                </m:e>
                <m:sub>
                  <m:r>
                    <m:t>t</m:t>
                  </m:r>
                </m:sub>
              </m:sSub>
            </m:e>
          </m:nary>
          <m:sSub>
            <m:e>
              <m:r>
                <m:t>h</m:t>
              </m:r>
            </m:e>
            <m:sub>
              <m:r>
                <m:t>t</m:t>
              </m:r>
            </m:sub>
          </m:sSub>
          <m:r>
            <m:t>∈</m:t>
          </m:r>
          <m:sSup>
            <m:e>
              <m:r>
                <m:rPr>
                  <m:sty m:val="p"/>
                  <m:scr m:val="double-struck"/>
                </m:rPr>
                <m:t>R</m:t>
              </m:r>
            </m:e>
            <m:sup>
              <m:r>
                <m:t>64</m:t>
              </m:r>
            </m:sup>
          </m:sSup>
          <m:r>
            <m:t>;</m:t>
          </m:r>
        </m:oMath>
      </m:oMathPara>
    </w:p>
    <w:p>
      <w:pPr>
        <w:pStyle w:val="FirstParagraph"/>
      </w:pPr>
      <w:r>
        <w:t xml:space="preserve">a dense layer (32 units, ReLU); and a softmax output. The total trainable parameter count is 125</w:t>
      </w:r>
      <w:r>
        <w:t xml:space="preserve">,</w:t>
      </w:r>
      <w:r>
        <w:t xml:space="preserve">476.</w:t>
      </w:r>
    </w:p>
    <w:p>
      <w:pPr>
        <w:pStyle w:val="CaptionedFigure"/>
      </w:pPr>
      <w:bookmarkStart w:id="115" w:name="fig:5.6"/>
      <w:r>
        <w:drawing>
          <wp:inline>
            <wp:extent cx="5334000" cy="1467158"/>
            <wp:effectExtent b="0" l="0" r="0" t="0"/>
            <wp:docPr descr="DWT–LSTM classifier architecture with global temporal attention." title="" id="1" name="Picture"/>
            <a:graphic>
              <a:graphicData uri="http://schemas.openxmlformats.org/drawingml/2006/picture">
                <pic:pic>
                  <pic:nvPicPr>
                    <pic:cNvPr descr="fig_5_6.png" id="0" name="Picture"/>
                    <pic:cNvPicPr>
                      <a:picLocks noChangeArrowheads="1" noChangeAspect="1"/>
                    </pic:cNvPicPr>
                  </pic:nvPicPr>
                  <pic:blipFill>
                    <a:blip r:embed="rId114"/>
                    <a:stretch>
                      <a:fillRect/>
                    </a:stretch>
                  </pic:blipFill>
                  <pic:spPr bwMode="auto">
                    <a:xfrm>
                      <a:off x="0" y="0"/>
                      <a:ext cx="5334000" cy="1467158"/>
                    </a:xfrm>
                    <a:prstGeom prst="rect">
                      <a:avLst/>
                    </a:prstGeom>
                    <a:noFill/>
                    <a:ln w="9525">
                      <a:noFill/>
                      <a:headEnd/>
                      <a:tailEnd/>
                    </a:ln>
                  </pic:spPr>
                </pic:pic>
              </a:graphicData>
            </a:graphic>
          </wp:inline>
        </w:drawing>
      </w:r>
      <w:bookmarkEnd w:id="115"/>
    </w:p>
    <w:p>
      <w:pPr>
        <w:pStyle w:val="ImageCaption"/>
      </w:pPr>
      <w:r>
        <w:t xml:space="preserve">DWT–LSTM classifier architecture with global temporal attention.</w:t>
      </w:r>
    </w:p>
    <w:p>
      <w:pPr>
        <w:pStyle w:val="BodyText"/>
      </w:pPr>
      <w:r>
        <w:t xml:space="preserve">Training uses weighted categorical cross-entropy with the internal-fault (Trip) class weighted by 1.4155, Adam (</w:t>
      </w:r>
      <m:oMath>
        <m:r>
          <m:t>η</m:t>
        </m:r>
        <m:r>
          <m:t>=</m:t>
        </m:r>
        <m:r>
          <m:t>0.001</m:t>
        </m:r>
      </m:oMath>
      <w:r>
        <w:t xml:space="preserve">,</w:t>
      </w:r>
      <w:r>
        <w:t xml:space="preserve"> </w:t>
      </w:r>
      <m:oMath>
        <m:sSub>
          <m:e>
            <m:r>
              <m:t>β</m:t>
            </m:r>
          </m:e>
          <m:sub>
            <m:r>
              <m:t>1</m:t>
            </m:r>
          </m:sub>
        </m:sSub>
        <m:r>
          <m:t>=</m:t>
        </m:r>
        <m:r>
          <m:t>0.9</m:t>
        </m:r>
      </m:oMath>
      <w:r>
        <w:t xml:space="preserve">,</w:t>
      </w:r>
      <w:r>
        <w:t xml:space="preserve"> </w:t>
      </w:r>
      <m:oMath>
        <m:sSub>
          <m:e>
            <m:r>
              <m:t>β</m:t>
            </m:r>
          </m:e>
          <m:sub>
            <m:r>
              <m:t>2</m:t>
            </m:r>
          </m:sub>
        </m:sSub>
        <m:r>
          <m:t>=</m:t>
        </m:r>
        <m:r>
          <m:t>0.999</m:t>
        </m:r>
      </m:oMath>
      <w:r>
        <w:t xml:space="preserve">), a ReduceLROnPlateau scheduler, batch size 128, up to 200 epochs with early stopping (patience 20), and 5-fold stratified cross-validation. The confidence score is</w:t>
      </w:r>
      <w:r>
        <w:t xml:space="preserve"> </w:t>
      </w:r>
      <m:oMath>
        <m:r>
          <m:rPr>
            <m:nor/>
            <m:sty m:val="p"/>
          </m:rPr>
          <m:t>Conf</m:t>
        </m:r>
        <m:r>
          <m:t>(</m:t>
        </m:r>
        <m:r>
          <m:t>t</m:t>
        </m:r>
        <m:r>
          <m:t>)</m:t>
        </m:r>
        <m:r>
          <m:t>=</m:t>
        </m:r>
        <m:sSub>
          <m:e>
            <m:r>
              <m:rPr>
                <m:nor/>
                <m:sty m:val="p"/>
              </m:rPr>
              <m:t>max</m:t>
            </m:r>
          </m:e>
          <m:sub>
            <m:r>
              <m:t>c</m:t>
            </m:r>
          </m:sub>
        </m:sSub>
        <m:sSub>
          <m:e>
            <m:acc>
              <m:accPr>
                <m:chr m:val="̂"/>
              </m:accPr>
              <m:e>
                <m:r>
                  <m:t>p</m:t>
                </m:r>
              </m:e>
            </m:acc>
          </m:e>
          <m:sub>
            <m:r>
              <m:t>c</m:t>
            </m:r>
          </m:sub>
        </m:sSub>
        <m:r>
          <m:t>(</m:t>
        </m:r>
        <m:r>
          <m:t>t</m:t>
        </m:r>
        <m:r>
          <m:t>)</m:t>
        </m:r>
      </m:oMath>
      <w:r>
        <w:t xml:space="preserve"> </w:t>
      </w:r>
      <w:r>
        <w:t xml:space="preserve">with</w:t>
      </w:r>
      <w:r>
        <w:t xml:space="preserve"> </w:t>
      </w:r>
      <m:oMath>
        <m:sSub>
          <m:e>
            <m:r>
              <m:t>θ</m:t>
            </m:r>
          </m:e>
          <m:sub>
            <m:r>
              <m:t>c</m:t>
            </m:r>
            <m:r>
              <m:t>o</m:t>
            </m:r>
            <m:r>
              <m:t>n</m:t>
            </m:r>
            <m:r>
              <m:t>f</m:t>
            </m:r>
          </m:sub>
        </m:sSub>
        <m:r>
          <m:t>=</m:t>
        </m:r>
        <m:r>
          <m:t>0.85</m:t>
        </m:r>
      </m:oMath>
      <w:r>
        <w:t xml:space="preserve">. The model is exported to ONNX (Opset 14) with a fixed</w:t>
      </w:r>
      <w:r>
        <w:t xml:space="preserve"> </w:t>
      </w:r>
      <m:oMath>
        <m:r>
          <m:t>[</m:t>
        </m:r>
        <m:r>
          <m:t>1</m:t>
        </m:r>
        <m:r>
          <m:t>,</m:t>
        </m:r>
        <m:r>
          <m:t>32</m:t>
        </m:r>
        <m:r>
          <m:t>,</m:t>
        </m:r>
        <m:r>
          <m:t>6</m:t>
        </m:r>
        <m:r>
          <m:t>]</m:t>
        </m:r>
      </m:oMath>
      <w:r>
        <w:t xml:space="preserve"> </w:t>
      </w:r>
      <w:r>
        <w:t xml:space="preserve">input and a stateless graph.</w:t>
      </w:r>
    </w:p>
    <w:p>
      <w:pPr>
        <w:pStyle w:val="Heading2"/>
      </w:pPr>
      <w:bookmarkStart w:id="116" w:name="real-time-implementation-and-latency"/>
      <w:r>
        <w:t xml:space="preserve">Real-Time Implementation and Latency</w:t>
      </w:r>
      <w:bookmarkEnd w:id="116"/>
    </w:p>
    <w:p>
      <w:pPr>
        <w:pStyle w:val="FirstParagraph"/>
      </w:pPr>
      <w:r>
        <w:t xml:space="preserve">The ONNX model is integrated via the Predict block within a masked subsystem; a Stateflow chart encodes the trip/block state machine and latches the trip for 100 ms. Figure </w:t>
      </w:r>
      <w:hyperlink w:anchor="fig:5.hyb">
        <w:r>
          <w:rPr>
            <w:rStyle w:val="Hyperlink"/>
          </w:rPr>
          <w:t xml:space="preserve">5.7</w:t>
        </w:r>
      </w:hyperlink>
      <w:r>
        <w:t xml:space="preserve"> </w:t>
      </w:r>
      <w:r>
        <w:t xml:space="preserve">shows the Simulink realisation of the complete hybrid 87T relay, wiring the DWT–LSTM classifier subsystem, the adaptive 87T differential element, and the AND/veto decision gate to the breaker trip coil.</w:t>
      </w:r>
    </w:p>
    <w:p>
      <w:pPr>
        <w:pStyle w:val="CaptionedFigure"/>
      </w:pPr>
      <w:bookmarkStart w:id="118" w:name="fig:5.hyb"/>
      <w:r>
        <w:drawing>
          <wp:inline>
            <wp:extent cx="5334000" cy="1936083"/>
            <wp:effectExtent b="0" l="0" r="0" t="0"/>
            <wp:docPr descr="Simulink implementation of the hybrid 87T relay: DWT–LSTM classifier, adaptive 87T element, and AND/veto decision gate." title="" id="1" name="Picture"/>
            <a:graphic>
              <a:graphicData uri="http://schemas.openxmlformats.org/drawingml/2006/picture">
                <pic:pic>
                  <pic:nvPicPr>
                    <pic:cNvPr descr="hybrid87t_impl.png" id="0" name="Picture"/>
                    <pic:cNvPicPr>
                      <a:picLocks noChangeArrowheads="1" noChangeAspect="1"/>
                    </pic:cNvPicPr>
                  </pic:nvPicPr>
                  <pic:blipFill>
                    <a:blip r:embed="rId117"/>
                    <a:stretch>
                      <a:fillRect/>
                    </a:stretch>
                  </pic:blipFill>
                  <pic:spPr bwMode="auto">
                    <a:xfrm>
                      <a:off x="0" y="0"/>
                      <a:ext cx="5334000" cy="1936083"/>
                    </a:xfrm>
                    <a:prstGeom prst="rect">
                      <a:avLst/>
                    </a:prstGeom>
                    <a:noFill/>
                    <a:ln w="9525">
                      <a:noFill/>
                      <a:headEnd/>
                      <a:tailEnd/>
                    </a:ln>
                  </pic:spPr>
                </pic:pic>
              </a:graphicData>
            </a:graphic>
          </wp:inline>
        </w:drawing>
      </w:r>
      <w:bookmarkEnd w:id="118"/>
    </w:p>
    <w:p>
      <w:pPr>
        <w:pStyle w:val="ImageCaption"/>
      </w:pPr>
      <w:r>
        <w:t xml:space="preserve">Simulink implementation of the hybrid 87T relay: DWT–LSTM classifier, adaptive 87T element, and AND/veto decision gate.</w:t>
      </w:r>
    </w:p>
    <w:p>
      <w:pPr>
        <w:pStyle w:val="BodyText"/>
      </w:pPr>
      <w:r>
        <w:t xml:space="preserve">The processing latency is</w:t>
      </w:r>
      <w:r>
        <w:t xml:space="preserve"> </w:t>
      </w:r>
      <m:oMath>
        <m:sSub>
          <m:e>
            <m:r>
              <m:t>T</m:t>
            </m:r>
          </m:e>
          <m:sub>
            <m:r>
              <m:t>p</m:t>
            </m:r>
            <m:r>
              <m:t>r</m:t>
            </m:r>
            <m:r>
              <m:t>o</m:t>
            </m:r>
            <m:r>
              <m:t>c</m:t>
            </m:r>
          </m:sub>
        </m:sSub>
        <m:r>
          <m:t>=</m:t>
        </m:r>
        <m:sSub>
          <m:e>
            <m:r>
              <m:t>T</m:t>
            </m:r>
          </m:e>
          <m:sub>
            <m:r>
              <m:t>b</m:t>
            </m:r>
            <m:r>
              <m:t>u</m:t>
            </m:r>
            <m:r>
              <m:t>f</m:t>
            </m:r>
            <m:r>
              <m:t>f</m:t>
            </m:r>
            <m:r>
              <m:t>e</m:t>
            </m:r>
            <m:r>
              <m:t>r</m:t>
            </m:r>
          </m:sub>
        </m:sSub>
        <m:r>
          <m:t>+</m:t>
        </m:r>
        <m:sSub>
          <m:e>
            <m:r>
              <m:t>T</m:t>
            </m:r>
          </m:e>
          <m:sub>
            <m:r>
              <m:t>D</m:t>
            </m:r>
            <m:r>
              <m:t>W</m:t>
            </m:r>
            <m:r>
              <m:t>T</m:t>
            </m:r>
          </m:sub>
        </m:sSub>
        <m:r>
          <m:t>+</m:t>
        </m:r>
        <m:sSub>
          <m:e>
            <m:r>
              <m:t>T</m:t>
            </m:r>
          </m:e>
          <m:sub>
            <m:r>
              <m:t>L</m:t>
            </m:r>
            <m:r>
              <m:t>S</m:t>
            </m:r>
            <m:r>
              <m:t>T</m:t>
            </m:r>
            <m:r>
              <m:t>M</m:t>
            </m:r>
          </m:sub>
        </m:sSub>
        <m:r>
          <m:t>+</m:t>
        </m:r>
        <m:sSub>
          <m:e>
            <m:r>
              <m:t>T</m:t>
            </m:r>
          </m:e>
          <m:sub>
            <m:r>
              <m:t>l</m:t>
            </m:r>
            <m:r>
              <m:t>o</m:t>
            </m:r>
            <m:r>
              <m:t>g</m:t>
            </m:r>
            <m:r>
              <m:t>i</m:t>
            </m:r>
            <m:r>
              <m:t>c</m:t>
            </m:r>
          </m:sub>
        </m:sSub>
        <m:r>
          <m:t>≈</m:t>
        </m:r>
        <m:r>
          <m:t>5.0</m:t>
        </m:r>
        <m:r>
          <m:t>+</m:t>
        </m:r>
        <m:r>
          <m:t>0.1</m:t>
        </m:r>
        <m:r>
          <m:t>+</m:t>
        </m:r>
        <m:r>
          <m:t>1.0</m:t>
        </m:r>
        <m:r>
          <m:t>+</m:t>
        </m:r>
        <m:r>
          <m:t>0.01</m:t>
        </m:r>
        <m:r>
          <m:t>=</m:t>
        </m:r>
        <m:r>
          <m:t>6.1</m:t>
        </m:r>
      </m:oMath>
      <w:r>
        <w:t xml:space="preserve"> ms (</w:t>
      </w:r>
      <m:oMath>
        <m:r>
          <m:t>≈</m:t>
        </m:r>
      </m:oMath>
      <w:r>
        <w:t xml:space="preserve">0.3 cycle); the LSTM contributes 0.5–2.0 ms on CPU (</w:t>
      </w:r>
      <m:oMath>
        <m:r>
          <m:t>&lt;</m:t>
        </m:r>
      </m:oMath>
      <w:r>
        <w:t xml:space="preserve">0.1 ms on GPU), with a total cost of</w:t>
      </w:r>
      <w:r>
        <w:t xml:space="preserve"> </w:t>
      </w:r>
      <m:oMath>
        <m:r>
          <m:t>≈</m:t>
        </m:r>
      </m:oMath>
      <w:r>
        <w:t xml:space="preserve">1.31 MFLOPs per step.</w:t>
      </w:r>
    </w:p>
    <w:bookmarkStart w:id="119" w:name="tab:5.3"/>
    <w:p>
      <w:pPr>
        <w:pStyle w:val="TableCaption"/>
      </w:pPr>
      <w:r>
        <w:t xml:space="preserve">Per-inference parameter and operation budget of the DWT–LSTM pipeline.</w:t>
      </w:r>
    </w:p>
    <w:tbl>
      <w:tblPr>
        <w:tblStyle w:val="Table"/>
        <w:tblW w:type="pct" w:w="0.0"/>
        <w:tblLook w:firstRow="1"/>
        <w:tblCaption w:val="Per-inference parameter and operation budget of the DWT–LSTM pipeline."/>
      </w:tblPr>
      <w:tblGrid/>
      <w:tr>
        <w:trPr>
          <w:cnfStyle w:firstRow="1"/>
        </w:trPr>
        <w:tc>
          <w:tcPr>
            <w:tcBorders>
              <w:bottom w:val="single"/>
            </w:tcBorders>
            <w:vAlign w:val="bottom"/>
          </w:tcPr>
          <w:p>
            <w:pPr>
              <w:pStyle w:val="Compact"/>
              <w:jc w:val="left"/>
            </w:pPr>
            <w:r>
              <w:rPr>
                <w:b/>
              </w:rPr>
              <w:t xml:space="preserve">Stage</w:t>
            </w:r>
          </w:p>
        </w:tc>
        <w:tc>
          <w:tcPr>
            <w:tcBorders>
              <w:bottom w:val="single"/>
            </w:tcBorders>
            <w:vAlign w:val="bottom"/>
          </w:tcPr>
          <w:p>
            <w:pPr>
              <w:pStyle w:val="Compact"/>
              <w:jc w:val="center"/>
            </w:pPr>
            <w:r>
              <w:rPr>
                <w:b/>
              </w:rPr>
              <w:t xml:space="preserve">Parameters</w:t>
            </w:r>
          </w:p>
        </w:tc>
        <w:tc>
          <w:tcPr>
            <w:tcBorders>
              <w:bottom w:val="single"/>
            </w:tcBorders>
            <w:vAlign w:val="bottom"/>
          </w:tcPr>
          <w:p>
            <w:pPr>
              <w:pStyle w:val="Compact"/>
              <w:jc w:val="center"/>
            </w:pPr>
            <w:r>
              <w:rPr>
                <w:b/>
              </w:rPr>
              <w:t xml:space="preserve">FLOPs/step</w:t>
            </w:r>
          </w:p>
        </w:tc>
        <w:tc>
          <w:tcPr>
            <w:tcBorders>
              <w:bottom w:val="single"/>
            </w:tcBorders>
            <w:vAlign w:val="bottom"/>
          </w:tcPr>
          <w:p>
            <w:pPr>
              <w:pStyle w:val="Compact"/>
              <w:jc w:val="center"/>
            </w:pPr>
            <w:r>
              <w:rPr>
                <w:b/>
              </w:rPr>
              <w:t xml:space="preserve">Share (%)</w:t>
            </w:r>
          </w:p>
        </w:tc>
      </w:tr>
      <w:tr>
        <w:tc>
          <w:p>
            <w:pPr>
              <w:pStyle w:val="Compact"/>
              <w:jc w:val="left"/>
            </w:pPr>
            <w:r>
              <w:t xml:space="preserve">DWT (3-level db4,</w:t>
            </w:r>
            <w:r>
              <w:t xml:space="preserve"> </w:t>
            </w:r>
            <m:oMath>
              <m:r>
                <m:t>×</m:t>
              </m:r>
              <m:r>
                <m:t>3</m:t>
              </m:r>
            </m:oMath>
            <w:r>
              <w:t xml:space="preserve">)</w:t>
            </w:r>
          </w:p>
        </w:tc>
        <w:tc>
          <w:p>
            <w:pPr>
              <w:pStyle w:val="Compact"/>
              <w:jc w:val="center"/>
            </w:pPr>
            <w:r>
              <w:t xml:space="preserve">0</w:t>
            </w:r>
          </w:p>
        </w:tc>
        <w:tc>
          <w:p>
            <w:pPr>
              <w:pStyle w:val="Compact"/>
              <w:jc w:val="center"/>
            </w:pPr>
            <m:oMath>
              <m:r>
                <m:t>≈</m:t>
              </m:r>
            </m:oMath>
            <w:r>
              <w:t xml:space="preserve">3.1 k</w:t>
            </w:r>
          </w:p>
        </w:tc>
        <w:tc>
          <w:p>
            <w:pPr>
              <w:pStyle w:val="Compact"/>
              <w:jc w:val="center"/>
            </w:pPr>
            <w:r>
              <w:t xml:space="preserve">0.2</w:t>
            </w:r>
          </w:p>
        </w:tc>
      </w:tr>
      <w:tr>
        <w:tc>
          <w:p>
            <w:pPr>
              <w:pStyle w:val="Compact"/>
              <w:jc w:val="left"/>
            </w:pPr>
            <w:r>
              <w:t xml:space="preserve">LSTM layer 1 (</w:t>
            </w:r>
            <m:oMath>
              <m:r>
                <m:t>6</m:t>
              </m:r>
              <m:r>
                <m:t>​</m:t>
              </m:r>
              <m:r>
                <m:t>→</m:t>
              </m:r>
              <m:r>
                <m:t>​</m:t>
              </m:r>
              <m:r>
                <m:t>128</m:t>
              </m:r>
            </m:oMath>
            <w:r>
              <w:t xml:space="preserve">)</w:t>
            </w:r>
          </w:p>
        </w:tc>
        <w:tc>
          <w:p>
            <w:pPr>
              <w:pStyle w:val="Compact"/>
              <w:jc w:val="center"/>
            </w:pPr>
            <w:r>
              <w:t xml:space="preserve">69</w:t>
            </w:r>
            <w:r>
              <w:t xml:space="preserve">,</w:t>
            </w:r>
            <w:r>
              <w:t xml:space="preserve">632</w:t>
            </w:r>
          </w:p>
        </w:tc>
        <w:tc>
          <w:p>
            <w:pPr>
              <w:pStyle w:val="Compact"/>
              <w:jc w:val="center"/>
            </w:pPr>
            <m:oMath>
              <m:r>
                <m:t>≈</m:t>
              </m:r>
            </m:oMath>
            <w:r>
              <w:t xml:space="preserve">0.55 M</w:t>
            </w:r>
          </w:p>
        </w:tc>
        <w:tc>
          <w:p>
            <w:pPr>
              <w:pStyle w:val="Compact"/>
              <w:jc w:val="center"/>
            </w:pPr>
            <w:r>
              <w:t xml:space="preserve">42.0</w:t>
            </w:r>
          </w:p>
        </w:tc>
      </w:tr>
      <w:tr>
        <w:tc>
          <w:p>
            <w:pPr>
              <w:pStyle w:val="Compact"/>
              <w:jc w:val="left"/>
            </w:pPr>
            <w:r>
              <w:t xml:space="preserve">LSTM layer 2 (</w:t>
            </w:r>
            <m:oMath>
              <m:r>
                <m:t>128</m:t>
              </m:r>
              <m:r>
                <m:t>​</m:t>
              </m:r>
              <m:r>
                <m:t>→</m:t>
              </m:r>
              <m:r>
                <m:t>​</m:t>
              </m:r>
              <m:r>
                <m:t>64</m:t>
              </m:r>
            </m:oMath>
            <w:r>
              <w:t xml:space="preserve">)</w:t>
            </w:r>
          </w:p>
        </w:tc>
        <w:tc>
          <w:p>
            <w:pPr>
              <w:pStyle w:val="Compact"/>
              <w:jc w:val="center"/>
            </w:pPr>
            <w:r>
              <w:t xml:space="preserve">49</w:t>
            </w:r>
            <w:r>
              <w:t xml:space="preserve">,</w:t>
            </w:r>
            <w:r>
              <w:t xml:space="preserve">408</w:t>
            </w:r>
          </w:p>
        </w:tc>
        <w:tc>
          <w:p>
            <w:pPr>
              <w:pStyle w:val="Compact"/>
              <w:jc w:val="center"/>
            </w:pPr>
            <m:oMath>
              <m:r>
                <m:t>≈</m:t>
              </m:r>
            </m:oMath>
            <w:r>
              <w:t xml:space="preserve">0.69 M</w:t>
            </w:r>
          </w:p>
        </w:tc>
        <w:tc>
          <w:p>
            <w:pPr>
              <w:pStyle w:val="Compact"/>
              <w:jc w:val="center"/>
            </w:pPr>
            <w:r>
              <w:t xml:space="preserve">52.7</w:t>
            </w:r>
          </w:p>
        </w:tc>
      </w:tr>
      <w:tr>
        <w:tc>
          <w:p>
            <w:pPr>
              <w:pStyle w:val="Compact"/>
              <w:jc w:val="left"/>
            </w:pPr>
            <w:r>
              <w:t xml:space="preserve">Attention (64)</w:t>
            </w:r>
          </w:p>
        </w:tc>
        <w:tc>
          <w:p>
            <w:pPr>
              <w:pStyle w:val="Compact"/>
              <w:jc w:val="center"/>
            </w:pPr>
            <w:r>
              <w:t xml:space="preserve">4</w:t>
            </w:r>
            <w:r>
              <w:t xml:space="preserve">,</w:t>
            </w:r>
            <w:r>
              <w:t xml:space="preserve">224</w:t>
            </w:r>
          </w:p>
        </w:tc>
        <w:tc>
          <w:p>
            <w:pPr>
              <w:pStyle w:val="Compact"/>
              <w:jc w:val="center"/>
            </w:pPr>
            <m:oMath>
              <m:r>
                <m:t>≈</m:t>
              </m:r>
            </m:oMath>
            <w:r>
              <w:t xml:space="preserve">0.06 M</w:t>
            </w:r>
          </w:p>
        </w:tc>
        <w:tc>
          <w:p>
            <w:pPr>
              <w:pStyle w:val="Compact"/>
              <w:jc w:val="center"/>
            </w:pPr>
            <w:r>
              <w:t xml:space="preserve">4.6</w:t>
            </w:r>
          </w:p>
        </w:tc>
      </w:tr>
      <w:tr>
        <w:tc>
          <w:p>
            <w:pPr>
              <w:pStyle w:val="Compact"/>
              <w:jc w:val="left"/>
            </w:pPr>
            <w:r>
              <w:t xml:space="preserve">Dense + softmax</w:t>
            </w:r>
          </w:p>
        </w:tc>
        <w:tc>
          <w:p>
            <w:pPr>
              <w:pStyle w:val="Compact"/>
              <w:jc w:val="center"/>
            </w:pPr>
            <w:r>
              <w:t xml:space="preserve">2</w:t>
            </w:r>
            <w:r>
              <w:t xml:space="preserve">,</w:t>
            </w:r>
            <w:r>
              <w:t xml:space="preserve">212</w:t>
            </w:r>
          </w:p>
        </w:tc>
        <w:tc>
          <w:p>
            <w:pPr>
              <w:pStyle w:val="Compact"/>
              <w:jc w:val="center"/>
            </w:pPr>
            <m:oMath>
              <m:r>
                <m:t>≈</m:t>
              </m:r>
            </m:oMath>
            <w:r>
              <w:t xml:space="preserve">6.5 k</w:t>
            </w:r>
          </w:p>
        </w:tc>
        <w:tc>
          <w:p>
            <w:pPr>
              <w:pStyle w:val="Compact"/>
              <w:jc w:val="center"/>
            </w:pPr>
            <w:r>
              <w:t xml:space="preserve">0.5</w:t>
            </w:r>
          </w:p>
        </w:tc>
      </w:tr>
      <w:tr>
        <w:tc>
          <w:p>
            <w:pPr>
              <w:pStyle w:val="Compact"/>
              <w:jc w:val="left"/>
            </w:pPr>
            <w:r>
              <w:t xml:space="preserve">Total</w:t>
            </w:r>
          </w:p>
        </w:tc>
        <w:tc>
          <w:p>
            <w:pPr>
              <w:pStyle w:val="Compact"/>
              <w:jc w:val="center"/>
            </w:pPr>
            <w:r>
              <w:t xml:space="preserve">125</w:t>
            </w:r>
            <w:r>
              <w:t xml:space="preserve">,</w:t>
            </w:r>
            <w:r>
              <w:t xml:space="preserve">476</w:t>
            </w:r>
          </w:p>
        </w:tc>
        <w:tc>
          <w:p>
            <w:pPr>
              <w:pStyle w:val="Compact"/>
              <w:jc w:val="center"/>
            </w:pPr>
            <m:oMath>
              <m:r>
                <m:t>≈</m:t>
              </m:r>
            </m:oMath>
            <w:r>
              <w:t xml:space="preserve">1.31 M</w:t>
            </w:r>
          </w:p>
        </w:tc>
        <w:tc>
          <w:p>
            <w:pPr>
              <w:pStyle w:val="Compact"/>
              <w:jc w:val="center"/>
            </w:pPr>
            <w:r>
              <w:t xml:space="preserve">100</w:t>
            </w:r>
          </w:p>
        </w:tc>
      </w:tr>
    </w:tbl>
    <w:bookmarkEnd w:id="119"/>
    <w:p>
      <w:pPr>
        <w:pStyle w:val="CaptionedFigure"/>
      </w:pPr>
      <w:bookmarkStart w:id="121" w:name="fig:5.7"/>
      <w:r>
        <w:drawing>
          <wp:inline>
            <wp:extent cx="5334000" cy="3318530"/>
            <wp:effectExtent b="0" l="0" r="0" t="0"/>
            <wp:docPr descr="Per-inference computational cost distribution across pipeline stages." title="" id="1" name="Picture"/>
            <a:graphic>
              <a:graphicData uri="http://schemas.openxmlformats.org/drawingml/2006/picture">
                <pic:pic>
                  <pic:nvPicPr>
                    <pic:cNvPr descr="fig_5_7.png" id="0" name="Picture"/>
                    <pic:cNvPicPr>
                      <a:picLocks noChangeArrowheads="1" noChangeAspect="1"/>
                    </pic:cNvPicPr>
                  </pic:nvPicPr>
                  <pic:blipFill>
                    <a:blip r:embed="rId120"/>
                    <a:stretch>
                      <a:fillRect/>
                    </a:stretch>
                  </pic:blipFill>
                  <pic:spPr bwMode="auto">
                    <a:xfrm>
                      <a:off x="0" y="0"/>
                      <a:ext cx="5334000" cy="3318530"/>
                    </a:xfrm>
                    <a:prstGeom prst="rect">
                      <a:avLst/>
                    </a:prstGeom>
                    <a:noFill/>
                    <a:ln w="9525">
                      <a:noFill/>
                      <a:headEnd/>
                      <a:tailEnd/>
                    </a:ln>
                  </pic:spPr>
                </pic:pic>
              </a:graphicData>
            </a:graphic>
          </wp:inline>
        </w:drawing>
      </w:r>
      <w:bookmarkEnd w:id="121"/>
    </w:p>
    <w:p>
      <w:pPr>
        <w:pStyle w:val="ImageCaption"/>
      </w:pPr>
      <w:r>
        <w:t xml:space="preserve">Per-inference computational cost distribution across pipeline stages.</w:t>
      </w:r>
    </w:p>
    <w:p>
      <w:pPr>
        <w:pStyle w:val="Heading2"/>
      </w:pPr>
      <w:bookmarkStart w:id="122" w:name="X0ee88a47d0176c05a3affe3c912275591e372b9"/>
      <w:r>
        <w:t xml:space="preserve">Adaptive Decision Logic and Confidence Calibration</w:t>
      </w:r>
      <w:bookmarkEnd w:id="122"/>
    </w:p>
    <w:p>
      <w:pPr>
        <w:pStyle w:val="FirstParagraph"/>
      </w:pPr>
      <w:r>
        <w:t xml:space="preserve">While the core handshake uses a fixed threshold</w:t>
      </w:r>
      <w:r>
        <w:t xml:space="preserve"> </w:t>
      </w:r>
      <m:oMath>
        <m:sSub>
          <m:e>
            <m:r>
              <m:t>θ</m:t>
            </m:r>
          </m:e>
          <m:sub>
            <m:r>
              <m:t>c</m:t>
            </m:r>
            <m:r>
              <m:t>o</m:t>
            </m:r>
            <m:r>
              <m:t>n</m:t>
            </m:r>
            <m:r>
              <m:t>f</m:t>
            </m:r>
          </m:sub>
        </m:sSub>
        <m:r>
          <m:t>=</m:t>
        </m:r>
        <m:r>
          <m:t>0.85</m:t>
        </m:r>
      </m:oMath>
      <w:r>
        <w:t xml:space="preserve">, the framework supports a state-dependent threshold</w:t>
      </w:r>
    </w:p>
    <w:p>
      <w:pPr>
        <w:pStyle w:val="BodyText"/>
      </w:pPr>
      <m:oMathPara>
        <m:oMathParaPr>
          <m:jc m:val="center"/>
        </m:oMathParaPr>
        <m:oMath>
          <m:sSub>
            <m:e>
              <m:r>
                <m:t>θ</m:t>
              </m:r>
            </m:e>
            <m:sub>
              <m:r>
                <m:t>c</m:t>
              </m:r>
              <m:r>
                <m:t>o</m:t>
              </m:r>
              <m:r>
                <m:t>n</m:t>
              </m:r>
              <m:r>
                <m:t>f</m:t>
              </m:r>
            </m:sub>
          </m:sSub>
          <m:r>
            <m:t>(</m:t>
          </m:r>
          <m:r>
            <m:t>t</m:t>
          </m:r>
          <m:r>
            <m:t>)</m:t>
          </m:r>
          <m:r>
            <m:t>=</m:t>
          </m:r>
          <m:sSub>
            <m:e>
              <m:r>
                <m:t>θ</m:t>
              </m:r>
            </m:e>
            <m:sub>
              <m:r>
                <m:t>0</m:t>
              </m:r>
            </m:sub>
          </m:sSub>
          <m:r>
            <m:t>−</m:t>
          </m:r>
          <m:sSub>
            <m:e>
              <m:r>
                <m:t>γ</m:t>
              </m:r>
            </m:e>
            <m:sub>
              <m:r>
                <m:t>1</m:t>
              </m:r>
            </m:sub>
          </m:sSub>
          <m:r>
            <m:t> </m:t>
          </m:r>
          <m:r>
            <m:rPr>
              <m:sty m:val="p"/>
              <m:scr m:val="double-struck"/>
            </m:rPr>
            <m:t>1</m:t>
          </m:r>
          <m:r>
            <m:t>[</m:t>
          </m:r>
          <m:sSub>
            <m:e>
              <m:r>
                <m:t>I</m:t>
              </m:r>
            </m:e>
            <m:sub>
              <m:r>
                <m:t>r</m:t>
              </m:r>
            </m:sub>
          </m:sSub>
          <m:r>
            <m:t>(</m:t>
          </m:r>
          <m:r>
            <m:t>t</m:t>
          </m:r>
          <m:r>
            <m:t>)</m:t>
          </m:r>
          <m:r>
            <m:t>&gt;</m:t>
          </m:r>
          <m:sSub>
            <m:e>
              <m:r>
                <m:t>I</m:t>
              </m:r>
            </m:e>
            <m:sub>
              <m:r>
                <m:t>r</m:t>
              </m:r>
              <m:r>
                <m:t>,</m:t>
              </m:r>
              <m:r>
                <m:t>h</m:t>
              </m:r>
              <m:r>
                <m:t>i</m:t>
              </m:r>
            </m:sub>
          </m:sSub>
          <m:r>
            <m:t>]</m:t>
          </m:r>
          <m:r>
            <m:t>+</m:t>
          </m:r>
          <m:sSub>
            <m:e>
              <m:r>
                <m:t>γ</m:t>
              </m:r>
            </m:e>
            <m:sub>
              <m:r>
                <m:t>2</m:t>
              </m:r>
            </m:sub>
          </m:sSub>
          <m:r>
            <m:t> </m:t>
          </m:r>
          <m:r>
            <m:rPr>
              <m:sty m:val="p"/>
              <m:scr m:val="double-struck"/>
            </m:rPr>
            <m:t>1</m:t>
          </m:r>
          <m:r>
            <m:t>[</m:t>
          </m:r>
          <m:sSub>
            <m:e>
              <m:r>
                <m:t>K</m:t>
              </m:r>
            </m:e>
            <m:sub>
              <m:r>
                <m:t>s</m:t>
              </m:r>
            </m:sub>
          </m:sSub>
          <m:r>
            <m:t>(</m:t>
          </m:r>
          <m:r>
            <m:t>t</m:t>
          </m:r>
          <m:r>
            <m:t>)</m:t>
          </m:r>
          <m:r>
            <m:t>&gt;</m:t>
          </m:r>
          <m:sSub>
            <m:e>
              <m:r>
                <m:t>K</m:t>
              </m:r>
            </m:e>
            <m:sub>
              <m:r>
                <m:t>s</m:t>
              </m:r>
              <m:r>
                <m:t>,</m:t>
              </m:r>
              <m:r>
                <m:t>h</m:t>
              </m:r>
              <m:r>
                <m:t>i</m:t>
              </m:r>
            </m:sub>
          </m:sSub>
          <m:r>
            <m:t>]</m:t>
          </m:r>
          <m:r>
            <m:t>,</m:t>
          </m:r>
        </m:oMath>
      </m:oMathPara>
    </w:p>
    <w:p>
      <w:pPr>
        <w:pStyle w:val="FirstParagraph"/>
      </w:pPr>
      <w:r>
        <w:t xml:space="preserve">which lowers the requirement during high-restraint genuine faults (where dependability is paramount) and raises it when a CT-saturation index</w:t>
      </w:r>
      <w:r>
        <w:t xml:space="preserve"> </w:t>
      </w:r>
      <m:oMath>
        <m:sSub>
          <m:e>
            <m:r>
              <m:t>K</m:t>
            </m:r>
          </m:e>
          <m:sub>
            <m:r>
              <m:t>s</m:t>
            </m:r>
          </m:sub>
        </m:sSub>
      </m:oMath>
      <w:r>
        <w:t xml:space="preserve"> </w:t>
      </w:r>
      <w:r>
        <w:t xml:space="preserve">is high (where false trips are most likely). Because neural-network softmax outputs can be over-confident, the probabilities are temperature-calibrated,</w:t>
      </w:r>
      <w:r>
        <w:t xml:space="preserve"> </w:t>
      </w:r>
      <m:oMath>
        <m:sSub>
          <m:e>
            <m:acc>
              <m:accPr>
                <m:chr m:val="̂"/>
              </m:accPr>
              <m:e>
                <m:r>
                  <m:t>p</m:t>
                </m:r>
              </m:e>
            </m:acc>
          </m:e>
          <m:sub>
            <m:r>
              <m:t>c</m:t>
            </m:r>
          </m:sub>
        </m:sSub>
        <m:r>
          <m:t>=</m:t>
        </m:r>
        <m:r>
          <m:rPr>
            <m:sty m:val="p"/>
          </m:rPr>
          <m:t>s</m:t>
        </m:r>
        <m:r>
          <m:rPr>
            <m:sty m:val="p"/>
          </m:rPr>
          <m:t>o</m:t>
        </m:r>
        <m:r>
          <m:rPr>
            <m:sty m:val="p"/>
          </m:rPr>
          <m:t>f</m:t>
        </m:r>
        <m:r>
          <m:rPr>
            <m:sty m:val="p"/>
          </m:rPr>
          <m:t>t</m:t>
        </m:r>
        <m:r>
          <m:rPr>
            <m:sty m:val="p"/>
          </m:rPr>
          <m:t>m</m:t>
        </m:r>
        <m:r>
          <m:rPr>
            <m:sty m:val="p"/>
          </m:rPr>
          <m:t>a</m:t>
        </m:r>
        <m:r>
          <m:rPr>
            <m:sty m:val="p"/>
          </m:rPr>
          <m:t>x</m:t>
        </m:r>
        <m:r>
          <m:t>(</m:t>
        </m:r>
        <m:r>
          <m:t>z</m:t>
        </m:r>
        <m:r>
          <m:t>/</m:t>
        </m:r>
        <m:r>
          <m:t>T</m:t>
        </m:r>
        <m:sSub>
          <m:e>
            <m:r>
              <m:t>)</m:t>
            </m:r>
          </m:e>
          <m:sub>
            <m:r>
              <m:t>c</m:t>
            </m:r>
          </m:sub>
        </m:sSub>
      </m:oMath>
      <w:r>
        <w:t xml:space="preserve">, with the scalar temperature</w:t>
      </w:r>
      <w:r>
        <w:t xml:space="preserve"> </w:t>
      </w:r>
      <m:oMath>
        <m:r>
          <m:t>T</m:t>
        </m:r>
      </m:oMath>
      <w:r>
        <w:t xml:space="preserve"> </w:t>
      </w:r>
      <w:r>
        <w:t xml:space="preserve">fitted by minimising the validation negative log-likelihood, so that a reported confidence near 0.85 corresponds to an empirical correctness probability near 0.85. To distinguish confident misclassifications from genuinely ambiguous events, the framework exposes the full softmax distribution; the predictive entropy</w:t>
      </w:r>
      <w:r>
        <w:t xml:space="preserve"> </w:t>
      </w:r>
      <m:oMath>
        <m:r>
          <m:t>H</m:t>
        </m:r>
        <m:r>
          <m:t>(</m:t>
        </m:r>
        <m:acc>
          <m:accPr>
            <m:chr m:val="̂"/>
          </m:accPr>
          <m:e>
            <m:r>
              <m:t>y</m:t>
            </m:r>
          </m:e>
        </m:acc>
        <m:r>
          <m:t>)</m:t>
        </m:r>
        <m:r>
          <m:t>=</m:t>
        </m:r>
        <m:r>
          <m:t>−</m:t>
        </m:r>
        <m:nary>
          <m:naryPr>
            <m:chr m:val="∑"/>
            <m:limLoc m:val="undOvr"/>
            <m:subHide m:val="0"/>
            <m:supHide m:val="1"/>
          </m:naryPr>
          <m:sub>
            <m:r>
              <m:t>c</m:t>
            </m:r>
          </m:sub>
          <m:sup>
            <m:r>
              <m:t>​</m:t>
            </m:r>
          </m:sup>
          <m:e>
            <m:sSub>
              <m:e>
                <m:acc>
                  <m:accPr>
                    <m:chr m:val="̂"/>
                  </m:accPr>
                  <m:e>
                    <m:r>
                      <m:t>p</m:t>
                    </m:r>
                  </m:e>
                </m:acc>
              </m:e>
              <m:sub>
                <m:r>
                  <m:t>c</m:t>
                </m:r>
              </m:sub>
            </m:sSub>
          </m:e>
        </m:nary>
        <m:r>
          <m:rPr>
            <m:nor/>
            <m:sty m:val="p"/>
          </m:rPr>
          <m:t>log</m:t>
        </m:r>
        <m:sSub>
          <m:e>
            <m:acc>
              <m:accPr>
                <m:chr m:val="̂"/>
              </m:accPr>
              <m:e>
                <m:r>
                  <m:t>p</m:t>
                </m:r>
              </m:e>
            </m:acc>
          </m:e>
          <m:sub>
            <m:r>
              <m:t>c</m:t>
            </m:r>
          </m:sub>
        </m:sSub>
      </m:oMath>
      <w:r>
        <w:t xml:space="preserve"> </w:t>
      </w:r>
      <w:r>
        <w:t xml:space="preserve">flags ambiguous events for which the hybrid logic conservatively withholds the trip and, optionally, raises a supervisory alarm—particularly valuable for low-magnitude internal faults and borderline inrush events.</w:t>
      </w:r>
    </w:p>
    <w:p>
      <w:pPr>
        <w:pStyle w:val="Heading2"/>
      </w:pPr>
      <w:bookmarkStart w:id="123" w:name="robustness-enhancement"/>
      <w:r>
        <w:t xml:space="preserve">Robustness Enhancement</w:t>
      </w:r>
      <w:bookmarkEnd w:id="123"/>
    </w:p>
    <w:p>
      <w:pPr>
        <w:pStyle w:val="FirstParagraph"/>
      </w:pPr>
      <w:r>
        <w:t xml:space="preserve">Three complementary strategies are used: AWGN augmentation (20/30/40 dB, with 15/50 dB for stress) exploiting the inherent noise resilience of frequency-localized energy features; dropout regularization (0.3) between LSTM layers; and out-of-distribution stress testing across switching angle, frequency (47–53 Hz), remanent flux (</w:t>
      </w:r>
      <m:oMath>
        <m:r>
          <m:t>±</m:t>
        </m:r>
        <m:r>
          <m:t>0.9</m:t>
        </m:r>
        <m:sSub>
          <m:e>
            <m:r>
              <m:t>B</m:t>
            </m:r>
          </m:e>
          <m:sub>
            <m:r>
              <m:t>s</m:t>
            </m:r>
            <m:r>
              <m:t>a</m:t>
            </m:r>
            <m:r>
              <m:t>t</m:t>
            </m:r>
          </m:sub>
        </m:sSub>
      </m:oMath>
      <w:r>
        <w:t xml:space="preserve">), and CT ratio errors (</w:t>
      </w:r>
      <m:oMath>
        <m:r>
          <m:t>±</m:t>
        </m:r>
        <m:r>
          <m:t>5</m:t>
        </m:r>
        <m:r>
          <m:t>%</m:t>
        </m:r>
      </m:oMath>
      <w:r>
        <w:t xml:space="preserve">), processed end-to-end through the Simulink-embedded ONNX model.</w:t>
      </w:r>
    </w:p>
    <w:p>
      <w:pPr>
        <w:pStyle w:val="Heading1"/>
      </w:pPr>
      <w:bookmarkStart w:id="124" w:name="results-analysis-and-discussion"/>
      <w:r>
        <w:t xml:space="preserve">Results, Analysis and Discussion</w:t>
      </w:r>
      <w:bookmarkEnd w:id="124"/>
    </w:p>
    <w:p>
      <w:pPr>
        <w:pStyle w:val="Heading2"/>
      </w:pPr>
      <w:bookmarkStart w:id="125" w:name="introduction-5"/>
      <w:r>
        <w:t xml:space="preserve">Introduction</w:t>
      </w:r>
      <w:bookmarkEnd w:id="125"/>
    </w:p>
    <w:p>
      <w:pPr>
        <w:pStyle w:val="FirstParagraph"/>
      </w:pPr>
      <w:r>
        <w:t xml:space="preserve">This chapter evaluates the proposed Hybrid Adaptive Transformer Differential Protection (HATDP) framework, in which a DWT–LSTM classifier supervises a conventional 87T relay. All data were generated for a 300 MVA, 230/11 kV, Yd1 transformer at 1.6 kHz. A dataset of 2</w:t>
      </w:r>
      <w:r>
        <w:t xml:space="preserve">,</w:t>
      </w:r>
      <w:r>
        <w:t xml:space="preserve">500 base cases (Table </w:t>
      </w:r>
      <w:hyperlink w:anchor="tab:4.3">
        <w:r>
          <w:rPr>
            <w:rStyle w:val="Hyperlink"/>
          </w:rPr>
          <w:t xml:space="preserve">4.4</w:t>
        </w:r>
      </w:hyperlink>
      <w:r>
        <w:t xml:space="preserve">) was augmented and split 70/15/15, yielding an 1</w:t>
      </w:r>
      <w:r>
        <w:t xml:space="preserve">,</w:t>
      </w:r>
      <w:r>
        <w:t xml:space="preserve">800-case held-out test set. For protection evaluation the four categories are mapped to a binary decision (Trip vs. No-Trip).</w:t>
      </w:r>
    </w:p>
    <w:p>
      <w:pPr>
        <w:pStyle w:val="Heading2"/>
      </w:pPr>
      <w:bookmarkStart w:id="126" w:name="data-generation-and-preprocessing"/>
      <w:r>
        <w:t xml:space="preserve">Data Generation and Preprocessing</w:t>
      </w:r>
      <w:bookmarkEnd w:id="126"/>
    </w:p>
    <w:p>
      <w:pPr>
        <w:pStyle w:val="FirstParagraph"/>
      </w:pPr>
      <w:r>
        <w:t xml:space="preserve">Figure </w:t>
      </w:r>
      <w:hyperlink w:anchor="fig:6.1">
        <w:r>
          <w:rPr>
            <w:rStyle w:val="Hyperlink"/>
          </w:rPr>
          <w:t xml:space="preserve">6.1</w:t>
        </w:r>
      </w:hyperlink>
      <w:r>
        <w:t xml:space="preserve"> </w:t>
      </w:r>
      <w:r>
        <w:t xml:space="preserve">shows representative three-phase differential current waveforms: normal load below 0.02 pu; external faults decaying within one cycle; inrush with 5–8 pu asymmetric peaks; and internal faults with sustained high-magnitude, high-frequency content. Severe CT saturation produced 34.7% THD and 18.2% second-harmonic content, consistent with IEEE C37.110.</w:t>
      </w:r>
    </w:p>
    <w:p>
      <w:pPr>
        <w:pStyle w:val="CaptionedFigure"/>
      </w:pPr>
      <w:bookmarkStart w:id="128" w:name="fig:6.1"/>
      <w:r>
        <w:drawing>
          <wp:inline>
            <wp:extent cx="5334000" cy="4478447"/>
            <wp:effectExtent b="0" l="0" r="0" t="0"/>
            <wp:docPr descr="Three-phase differential current waveforms for the four operating conditions." title="" id="1" name="Picture"/>
            <a:graphic>
              <a:graphicData uri="http://schemas.openxmlformats.org/drawingml/2006/picture">
                <pic:pic>
                  <pic:nvPicPr>
                    <pic:cNvPr descr="fig_6_1.png" id="0" name="Picture"/>
                    <pic:cNvPicPr>
                      <a:picLocks noChangeArrowheads="1" noChangeAspect="1"/>
                    </pic:cNvPicPr>
                  </pic:nvPicPr>
                  <pic:blipFill>
                    <a:blip r:embed="rId127"/>
                    <a:stretch>
                      <a:fillRect/>
                    </a:stretch>
                  </pic:blipFill>
                  <pic:spPr bwMode="auto">
                    <a:xfrm>
                      <a:off x="0" y="0"/>
                      <a:ext cx="5334000" cy="4478447"/>
                    </a:xfrm>
                    <a:prstGeom prst="rect">
                      <a:avLst/>
                    </a:prstGeom>
                    <a:noFill/>
                    <a:ln w="9525">
                      <a:noFill/>
                      <a:headEnd/>
                      <a:tailEnd/>
                    </a:ln>
                  </pic:spPr>
                </pic:pic>
              </a:graphicData>
            </a:graphic>
          </wp:inline>
        </w:drawing>
      </w:r>
      <w:bookmarkEnd w:id="128"/>
    </w:p>
    <w:p>
      <w:pPr>
        <w:pStyle w:val="ImageCaption"/>
      </w:pPr>
      <w:r>
        <w:t xml:space="preserve">Three-phase differential current waveforms for the four operating conditions.</w:t>
      </w:r>
    </w:p>
    <w:p>
      <w:pPr>
        <w:pStyle w:val="BodyText"/>
      </w:pPr>
      <w:r>
        <w:t xml:space="preserve">The six energy features—approximation energy</w:t>
      </w:r>
      <w:r>
        <w:t xml:space="preserve"> </w:t>
      </w:r>
      <m:oMath>
        <m:sSub>
          <m:e>
            <m:r>
              <m:t>E</m:t>
            </m:r>
          </m:e>
          <m:sub>
            <m:r>
              <m:t>A</m:t>
            </m:r>
          </m:sub>
        </m:sSub>
      </m:oMath>
      <w:r>
        <w:t xml:space="preserve"> </w:t>
      </w:r>
      <w:r>
        <w:t xml:space="preserve">(0–100 Hz) and detail energy</w:t>
      </w:r>
      <w:r>
        <w:t xml:space="preserve"> </w:t>
      </w:r>
      <m:oMath>
        <m:sSub>
          <m:e>
            <m:r>
              <m:t>E</m:t>
            </m:r>
          </m:e>
          <m:sub>
            <m:r>
              <m:t>D</m:t>
            </m:r>
          </m:sub>
        </m:sSub>
      </m:oMath>
      <w:r>
        <w:t xml:space="preserve"> </w:t>
      </w:r>
      <w:r>
        <w:t xml:space="preserve">(100–800 Hz) per phase—separate the classes strongly, the Phase-C detail energy showing an inter-class separation ratio of</w:t>
      </w:r>
      <w:r>
        <w:t xml:space="preserve"> </w:t>
      </w:r>
      <m:oMath>
        <m:r>
          <m:t>502</m:t>
        </m:r>
        <m:r>
          <m:t>×</m:t>
        </m:r>
      </m:oMath>
      <w:r>
        <w:t xml:space="preserve"> </w:t>
      </w:r>
      <w:r>
        <w:t xml:space="preserve">between internal faults and normal operation (Table </w:t>
      </w:r>
      <w:hyperlink w:anchor="tab:6.1">
        <w:r>
          <w:rPr>
            <w:rStyle w:val="Hyperlink"/>
          </w:rPr>
          <w:t xml:space="preserve">6.1</w:t>
        </w:r>
      </w:hyperlink>
      <w:r>
        <w:t xml:space="preserve">). Mutual-information analysis confirms the detail-energy features dominate (72.3% of total MI); an ablation gives 98.45% for detail-only, 91.24% for approximation-only, and 98.89% for the full set.</w:t>
      </w:r>
    </w:p>
    <w:bookmarkStart w:id="129" w:name="tab:6.1"/>
    <w:p>
      <w:pPr>
        <w:pStyle w:val="TableCaption"/>
      </w:pPr>
      <w:r>
        <w:t xml:space="preserve">Statistical distribution of the six DWT energy features across event classes (mean</w:t>
      </w:r>
      <w:r>
        <w:t xml:space="preserve"> </w:t>
      </w:r>
      <m:oMath>
        <m:r>
          <m:t>±</m:t>
        </m:r>
      </m:oMath>
      <w:r>
        <w:t xml:space="preserve"> </w:t>
      </w:r>
      <w:r>
        <w:t xml:space="preserve">s.d.,</w:t>
      </w:r>
      <w:r>
        <w:t xml:space="preserve"> </w:t>
      </w:r>
      <m:oMath>
        <m:r>
          <m:t>×</m:t>
        </m:r>
        <m:sSup>
          <m:e>
            <m:r>
              <m:t>10</m:t>
            </m:r>
          </m:e>
          <m:sup>
            <m:r>
              <m:t>−</m:t>
            </m:r>
            <m:r>
              <m:t>3</m:t>
            </m:r>
          </m:sup>
        </m:sSup>
      </m:oMath>
      <w:r>
        <w:t xml:space="preserve"> pu</w:t>
      </w:r>
      <m:oMath>
        <m:sSup>
          <m:e>
            <m:r>
              <m:t>​</m:t>
            </m:r>
          </m:e>
          <m:sup>
            <m:r>
              <m:t>2</m:t>
            </m:r>
          </m:sup>
        </m:sSup>
      </m:oMath>
      <w:r>
        <w:t xml:space="preserve">).</w:t>
      </w:r>
    </w:p>
    <w:tbl>
      <w:tblPr>
        <w:tblStyle w:val="Table"/>
        <w:tblW w:type="pct" w:w="0.0"/>
        <w:tblLook w:firstRow="1"/>
        <w:tblCaption w:val="Statistical distribution of the six DWT energy features across event classes (mean \pm s.d., \times10^{-3} pu^2)."/>
      </w:tblPr>
      <w:tblGrid/>
      <w:tr>
        <w:trPr>
          <w:cnfStyle w:firstRow="1"/>
        </w:trPr>
        <w:tc>
          <w:tcPr>
            <w:tcBorders>
              <w:bottom w:val="single"/>
            </w:tcBorders>
            <w:vAlign w:val="bottom"/>
          </w:tcPr>
          <w:p>
            <w:pPr>
              <w:pStyle w:val="Compact"/>
              <w:jc w:val="left"/>
            </w:pPr>
            <w:r>
              <w:rPr>
                <w:b/>
              </w:rPr>
              <w:t xml:space="preserve">Feature</w:t>
            </w:r>
          </w:p>
        </w:tc>
        <w:tc>
          <w:tcPr>
            <w:tcBorders>
              <w:bottom w:val="single"/>
            </w:tcBorders>
            <w:vAlign w:val="bottom"/>
          </w:tcPr>
          <w:p>
            <w:pPr>
              <w:pStyle w:val="Compact"/>
              <w:jc w:val="center"/>
            </w:pPr>
            <w:r>
              <w:rPr>
                <w:b/>
              </w:rPr>
              <w:t xml:space="preserve">Normal</w:t>
            </w:r>
          </w:p>
        </w:tc>
        <w:tc>
          <w:tcPr>
            <w:tcBorders>
              <w:bottom w:val="single"/>
            </w:tcBorders>
            <w:vAlign w:val="bottom"/>
          </w:tcPr>
          <w:p>
            <w:pPr>
              <w:pStyle w:val="Compact"/>
              <w:jc w:val="center"/>
            </w:pPr>
            <w:r>
              <w:rPr>
                <w:b/>
              </w:rPr>
              <w:t xml:space="preserve">External</w:t>
            </w:r>
          </w:p>
        </w:tc>
        <w:tc>
          <w:tcPr>
            <w:tcBorders>
              <w:bottom w:val="single"/>
            </w:tcBorders>
            <w:vAlign w:val="bottom"/>
          </w:tcPr>
          <w:p>
            <w:pPr>
              <w:pStyle w:val="Compact"/>
              <w:jc w:val="center"/>
            </w:pPr>
            <w:r>
              <w:rPr>
                <w:b/>
              </w:rPr>
              <w:t xml:space="preserve">Inrush</w:t>
            </w:r>
          </w:p>
        </w:tc>
        <w:tc>
          <w:tcPr>
            <w:tcBorders>
              <w:bottom w:val="single"/>
            </w:tcBorders>
            <w:vAlign w:val="bottom"/>
          </w:tcPr>
          <w:p>
            <w:pPr>
              <w:pStyle w:val="Compact"/>
              <w:jc w:val="center"/>
            </w:pPr>
            <w:r>
              <w:rPr>
                <w:b/>
              </w:rPr>
              <w:t xml:space="preserve">Internal</w:t>
            </w:r>
          </w:p>
        </w:tc>
      </w:tr>
      <w:tr>
        <w:tc>
          <w:p>
            <w:pPr>
              <w:pStyle w:val="Compact"/>
              <w:jc w:val="left"/>
            </w:pPr>
            <m:oMath>
              <m:sSub>
                <m:e>
                  <m:r>
                    <m:t>E</m:t>
                  </m:r>
                </m:e>
                <m:sub>
                  <m:r>
                    <m:t>A</m:t>
                  </m:r>
                </m:sub>
              </m:sSub>
            </m:oMath>
            <w:r>
              <w:t xml:space="preserve"> </w:t>
            </w:r>
            <w:r>
              <w:t xml:space="preserve">– Phase A</w:t>
            </w:r>
          </w:p>
        </w:tc>
        <w:tc>
          <w:p>
            <w:pPr>
              <w:pStyle w:val="Compact"/>
              <w:jc w:val="center"/>
            </w:pPr>
            <m:oMath>
              <m:r>
                <m:t>0.08</m:t>
              </m:r>
              <m:r>
                <m:t>±</m:t>
              </m:r>
              <m:r>
                <m:t>0.03</m:t>
              </m:r>
            </m:oMath>
          </w:p>
        </w:tc>
        <w:tc>
          <w:p>
            <w:pPr>
              <w:pStyle w:val="Compact"/>
              <w:jc w:val="center"/>
            </w:pPr>
            <m:oMath>
              <m:r>
                <m:t>0.42</m:t>
              </m:r>
              <m:r>
                <m:t>±</m:t>
              </m:r>
              <m:r>
                <m:t>0.18</m:t>
              </m:r>
            </m:oMath>
          </w:p>
        </w:tc>
        <w:tc>
          <w:p>
            <w:pPr>
              <w:pStyle w:val="Compact"/>
              <w:jc w:val="center"/>
            </w:pPr>
            <m:oMath>
              <m:r>
                <m:t>1.85</m:t>
              </m:r>
              <m:r>
                <m:t>±</m:t>
              </m:r>
              <m:r>
                <m:t>0.72</m:t>
              </m:r>
            </m:oMath>
          </w:p>
        </w:tc>
        <w:tc>
          <w:p>
            <w:pPr>
              <w:pStyle w:val="Compact"/>
              <w:jc w:val="center"/>
            </w:pPr>
            <m:oMath>
              <m:r>
                <m:t>3.27</m:t>
              </m:r>
              <m:r>
                <m:t>±</m:t>
              </m:r>
              <m:r>
                <m:t>1.14</m:t>
              </m:r>
            </m:oMath>
          </w:p>
        </w:tc>
      </w:tr>
      <w:tr>
        <w:tc>
          <w:p>
            <w:pPr>
              <w:pStyle w:val="Compact"/>
              <w:jc w:val="left"/>
            </w:pPr>
            <m:oMath>
              <m:sSub>
                <m:e>
                  <m:r>
                    <m:t>E</m:t>
                  </m:r>
                </m:e>
                <m:sub>
                  <m:r>
                    <m:t>A</m:t>
                  </m:r>
                </m:sub>
              </m:sSub>
            </m:oMath>
            <w:r>
              <w:t xml:space="preserve"> </w:t>
            </w:r>
            <w:r>
              <w:t xml:space="preserve">– Phase B</w:t>
            </w:r>
          </w:p>
        </w:tc>
        <w:tc>
          <w:p>
            <w:pPr>
              <w:pStyle w:val="Compact"/>
              <w:jc w:val="center"/>
            </w:pPr>
            <m:oMath>
              <m:r>
                <m:t>0.07</m:t>
              </m:r>
              <m:r>
                <m:t>±</m:t>
              </m:r>
              <m:r>
                <m:t>0.02</m:t>
              </m:r>
            </m:oMath>
          </w:p>
        </w:tc>
        <w:tc>
          <w:p>
            <w:pPr>
              <w:pStyle w:val="Compact"/>
              <w:jc w:val="center"/>
            </w:pPr>
            <m:oMath>
              <m:r>
                <m:t>0.39</m:t>
              </m:r>
              <m:r>
                <m:t>±</m:t>
              </m:r>
              <m:r>
                <m:t>0.16</m:t>
              </m:r>
            </m:oMath>
          </w:p>
        </w:tc>
        <w:tc>
          <w:p>
            <w:pPr>
              <w:pStyle w:val="Compact"/>
              <w:jc w:val="center"/>
            </w:pPr>
            <m:oMath>
              <m:r>
                <m:t>1.72</m:t>
              </m:r>
              <m:r>
                <m:t>±</m:t>
              </m:r>
              <m:r>
                <m:t>0.68</m:t>
              </m:r>
            </m:oMath>
          </w:p>
        </w:tc>
        <w:tc>
          <w:p>
            <w:pPr>
              <w:pStyle w:val="Compact"/>
              <w:jc w:val="center"/>
            </w:pPr>
            <m:oMath>
              <m:r>
                <m:t>3.15</m:t>
              </m:r>
              <m:r>
                <m:t>±</m:t>
              </m:r>
              <m:r>
                <m:t>1.08</m:t>
              </m:r>
            </m:oMath>
          </w:p>
        </w:tc>
      </w:tr>
      <w:tr>
        <w:tc>
          <w:p>
            <w:pPr>
              <w:pStyle w:val="Compact"/>
              <w:jc w:val="left"/>
            </w:pPr>
            <m:oMath>
              <m:sSub>
                <m:e>
                  <m:r>
                    <m:t>E</m:t>
                  </m:r>
                </m:e>
                <m:sub>
                  <m:r>
                    <m:t>A</m:t>
                  </m:r>
                </m:sub>
              </m:sSub>
            </m:oMath>
            <w:r>
              <w:t xml:space="preserve"> </w:t>
            </w:r>
            <w:r>
              <w:t xml:space="preserve">– Phase C</w:t>
            </w:r>
          </w:p>
        </w:tc>
        <w:tc>
          <w:p>
            <w:pPr>
              <w:pStyle w:val="Compact"/>
              <w:jc w:val="center"/>
            </w:pPr>
            <m:oMath>
              <m:r>
                <m:t>0.09</m:t>
              </m:r>
              <m:r>
                <m:t>±</m:t>
              </m:r>
              <m:r>
                <m:t>0.03</m:t>
              </m:r>
            </m:oMath>
          </w:p>
        </w:tc>
        <w:tc>
          <w:p>
            <w:pPr>
              <w:pStyle w:val="Compact"/>
              <w:jc w:val="center"/>
            </w:pPr>
            <m:oMath>
              <m:r>
                <m:t>0.44</m:t>
              </m:r>
              <m:r>
                <m:t>±</m:t>
              </m:r>
              <m:r>
                <m:t>0.19</m:t>
              </m:r>
            </m:oMath>
          </w:p>
        </w:tc>
        <w:tc>
          <w:p>
            <w:pPr>
              <w:pStyle w:val="Compact"/>
              <w:jc w:val="center"/>
            </w:pPr>
            <m:oMath>
              <m:r>
                <m:t>1.91</m:t>
              </m:r>
              <m:r>
                <m:t>±</m:t>
              </m:r>
              <m:r>
                <m:t>0.75</m:t>
              </m:r>
            </m:oMath>
          </w:p>
        </w:tc>
        <w:tc>
          <w:p>
            <w:pPr>
              <w:pStyle w:val="Compact"/>
              <w:jc w:val="center"/>
            </w:pPr>
            <m:oMath>
              <m:r>
                <m:t>3.41</m:t>
              </m:r>
              <m:r>
                <m:t>±</m:t>
              </m:r>
              <m:r>
                <m:t>1.21</m:t>
              </m:r>
            </m:oMath>
          </w:p>
        </w:tc>
      </w:tr>
      <w:tr>
        <w:tc>
          <w:p>
            <w:pPr>
              <w:pStyle w:val="Compact"/>
              <w:jc w:val="left"/>
            </w:pPr>
            <m:oMath>
              <m:sSub>
                <m:e>
                  <m:r>
                    <m:t>E</m:t>
                  </m:r>
                </m:e>
                <m:sub>
                  <m:r>
                    <m:t>D</m:t>
                  </m:r>
                </m:sub>
              </m:sSub>
            </m:oMath>
            <w:r>
              <w:t xml:space="preserve"> </w:t>
            </w:r>
            <w:r>
              <w:t xml:space="preserve">– Phase A</w:t>
            </w:r>
          </w:p>
        </w:tc>
        <w:tc>
          <w:p>
            <w:pPr>
              <w:pStyle w:val="Compact"/>
              <w:jc w:val="center"/>
            </w:pPr>
            <m:oMath>
              <m:r>
                <m:t>0.01</m:t>
              </m:r>
              <m:r>
                <m:t>±</m:t>
              </m:r>
              <m:r>
                <m:t>0.005</m:t>
              </m:r>
            </m:oMath>
          </w:p>
        </w:tc>
        <w:tc>
          <w:p>
            <w:pPr>
              <w:pStyle w:val="Compact"/>
              <w:jc w:val="center"/>
            </w:pPr>
            <m:oMath>
              <m:r>
                <m:t>0.15</m:t>
              </m:r>
              <m:r>
                <m:t>±</m:t>
              </m:r>
              <m:r>
                <m:t>0.08</m:t>
              </m:r>
            </m:oMath>
          </w:p>
        </w:tc>
        <w:tc>
          <w:p>
            <w:pPr>
              <w:pStyle w:val="Compact"/>
              <w:jc w:val="center"/>
            </w:pPr>
            <m:oMath>
              <m:r>
                <m:t>0.52</m:t>
              </m:r>
              <m:r>
                <m:t>±</m:t>
              </m:r>
              <m:r>
                <m:t>0.21</m:t>
              </m:r>
            </m:oMath>
          </w:p>
        </w:tc>
        <w:tc>
          <w:p>
            <w:pPr>
              <w:pStyle w:val="Compact"/>
              <w:jc w:val="center"/>
            </w:pPr>
            <m:oMath>
              <m:r>
                <m:t>4.86</m:t>
              </m:r>
              <m:r>
                <m:t>±</m:t>
              </m:r>
              <m:r>
                <m:t>1.92</m:t>
              </m:r>
            </m:oMath>
          </w:p>
        </w:tc>
      </w:tr>
      <w:tr>
        <w:tc>
          <w:p>
            <w:pPr>
              <w:pStyle w:val="Compact"/>
              <w:jc w:val="left"/>
            </w:pPr>
            <m:oMath>
              <m:sSub>
                <m:e>
                  <m:r>
                    <m:t>E</m:t>
                  </m:r>
                </m:e>
                <m:sub>
                  <m:r>
                    <m:t>D</m:t>
                  </m:r>
                </m:sub>
              </m:sSub>
            </m:oMath>
            <w:r>
              <w:t xml:space="preserve"> </w:t>
            </w:r>
            <w:r>
              <w:t xml:space="preserve">– Phase B</w:t>
            </w:r>
          </w:p>
        </w:tc>
        <w:tc>
          <w:p>
            <w:pPr>
              <w:pStyle w:val="Compact"/>
              <w:jc w:val="center"/>
            </w:pPr>
            <m:oMath>
              <m:r>
                <m:t>0.01</m:t>
              </m:r>
              <m:r>
                <m:t>±</m:t>
              </m:r>
              <m:r>
                <m:t>0.004</m:t>
              </m:r>
            </m:oMath>
          </w:p>
        </w:tc>
        <w:tc>
          <w:p>
            <w:pPr>
              <w:pStyle w:val="Compact"/>
              <w:jc w:val="center"/>
            </w:pPr>
            <m:oMath>
              <m:r>
                <m:t>0.13</m:t>
              </m:r>
              <m:r>
                <m:t>±</m:t>
              </m:r>
              <m:r>
                <m:t>0.07</m:t>
              </m:r>
            </m:oMath>
          </w:p>
        </w:tc>
        <w:tc>
          <w:p>
            <w:pPr>
              <w:pStyle w:val="Compact"/>
              <w:jc w:val="center"/>
            </w:pPr>
            <m:oMath>
              <m:r>
                <m:t>0.48</m:t>
              </m:r>
              <m:r>
                <m:t>±</m:t>
              </m:r>
              <m:r>
                <m:t>0.19</m:t>
              </m:r>
            </m:oMath>
          </w:p>
        </w:tc>
        <w:tc>
          <w:p>
            <w:pPr>
              <w:pStyle w:val="Compact"/>
              <w:jc w:val="center"/>
            </w:pPr>
            <m:oMath>
              <m:r>
                <m:t>4.71</m:t>
              </m:r>
              <m:r>
                <m:t>±</m:t>
              </m:r>
              <m:r>
                <m:t>1.85</m:t>
              </m:r>
            </m:oMath>
          </w:p>
        </w:tc>
      </w:tr>
      <w:tr>
        <w:tc>
          <w:p>
            <w:pPr>
              <w:pStyle w:val="Compact"/>
              <w:jc w:val="left"/>
            </w:pPr>
            <m:oMath>
              <m:sSub>
                <m:e>
                  <m:r>
                    <m:t>E</m:t>
                  </m:r>
                </m:e>
                <m:sub>
                  <m:r>
                    <m:t>D</m:t>
                  </m:r>
                </m:sub>
              </m:sSub>
            </m:oMath>
            <w:r>
              <w:t xml:space="preserve"> </w:t>
            </w:r>
            <w:r>
              <w:t xml:space="preserve">– Phase C</w:t>
            </w:r>
          </w:p>
        </w:tc>
        <w:tc>
          <w:p>
            <w:pPr>
              <w:pStyle w:val="Compact"/>
              <w:jc w:val="center"/>
            </w:pPr>
            <m:oMath>
              <m:r>
                <m:t>0.01</m:t>
              </m:r>
              <m:r>
                <m:t>±</m:t>
              </m:r>
              <m:r>
                <m:t>0.006</m:t>
              </m:r>
            </m:oMath>
          </w:p>
        </w:tc>
        <w:tc>
          <w:p>
            <w:pPr>
              <w:pStyle w:val="Compact"/>
              <w:jc w:val="center"/>
            </w:pPr>
            <m:oMath>
              <m:r>
                <m:t>0.16</m:t>
              </m:r>
              <m:r>
                <m:t>±</m:t>
              </m:r>
              <m:r>
                <m:t>0.09</m:t>
              </m:r>
            </m:oMath>
          </w:p>
        </w:tc>
        <w:tc>
          <w:p>
            <w:pPr>
              <w:pStyle w:val="Compact"/>
              <w:jc w:val="center"/>
            </w:pPr>
            <m:oMath>
              <m:r>
                <m:t>0.55</m:t>
              </m:r>
              <m:r>
                <m:t>±</m:t>
              </m:r>
              <m:r>
                <m:t>0.23</m:t>
              </m:r>
            </m:oMath>
          </w:p>
        </w:tc>
        <w:tc>
          <w:p>
            <w:pPr>
              <w:pStyle w:val="Compact"/>
              <w:jc w:val="center"/>
            </w:pPr>
            <m:oMath>
              <m:r>
                <m:t>5.02</m:t>
              </m:r>
              <m:r>
                <m:t>±</m:t>
              </m:r>
              <m:r>
                <m:t>2.01</m:t>
              </m:r>
            </m:oMath>
          </w:p>
        </w:tc>
      </w:tr>
    </w:tbl>
    <w:bookmarkEnd w:id="129"/>
    <w:p>
      <w:pPr>
        <w:pStyle w:val="CaptionedFigure"/>
      </w:pPr>
      <w:bookmarkStart w:id="131" w:name="fig:6.2"/>
      <w:r>
        <w:drawing>
          <wp:inline>
            <wp:extent cx="5334000" cy="3805164"/>
            <wp:effectExtent b="0" l="0" r="0" t="0"/>
            <wp:docPr descr="Parameter-space coverage / feature distribution across event classes." title="" id="1" name="Picture"/>
            <a:graphic>
              <a:graphicData uri="http://schemas.openxmlformats.org/drawingml/2006/picture">
                <pic:pic>
                  <pic:nvPicPr>
                    <pic:cNvPr descr="fig_6_2.png" id="0" name="Picture"/>
                    <pic:cNvPicPr>
                      <a:picLocks noChangeArrowheads="1" noChangeAspect="1"/>
                    </pic:cNvPicPr>
                  </pic:nvPicPr>
                  <pic:blipFill>
                    <a:blip r:embed="rId130"/>
                    <a:stretch>
                      <a:fillRect/>
                    </a:stretch>
                  </pic:blipFill>
                  <pic:spPr bwMode="auto">
                    <a:xfrm>
                      <a:off x="0" y="0"/>
                      <a:ext cx="5334000" cy="3805164"/>
                    </a:xfrm>
                    <a:prstGeom prst="rect">
                      <a:avLst/>
                    </a:prstGeom>
                    <a:noFill/>
                    <a:ln w="9525">
                      <a:noFill/>
                      <a:headEnd/>
                      <a:tailEnd/>
                    </a:ln>
                  </pic:spPr>
                </pic:pic>
              </a:graphicData>
            </a:graphic>
          </wp:inline>
        </w:drawing>
      </w:r>
      <w:bookmarkEnd w:id="131"/>
    </w:p>
    <w:p>
      <w:pPr>
        <w:pStyle w:val="ImageCaption"/>
      </w:pPr>
      <w:r>
        <w:t xml:space="preserve">Parameter-space coverage / feature distribution across event classes.</w:t>
      </w:r>
    </w:p>
    <w:p>
      <w:pPr>
        <w:pStyle w:val="CaptionedFigure"/>
      </w:pPr>
      <w:bookmarkStart w:id="133" w:name="fig:6.3"/>
      <w:r>
        <w:drawing>
          <wp:inline>
            <wp:extent cx="5334000" cy="3814618"/>
            <wp:effectExtent b="0" l="0" r="0" t="0"/>
            <wp:docPr descr="Statistical verification of the generated dataset." title="" id="1" name="Picture"/>
            <a:graphic>
              <a:graphicData uri="http://schemas.openxmlformats.org/drawingml/2006/picture">
                <pic:pic>
                  <pic:nvPicPr>
                    <pic:cNvPr descr="fig_6_3.png" id="0" name="Picture"/>
                    <pic:cNvPicPr>
                      <a:picLocks noChangeArrowheads="1" noChangeAspect="1"/>
                    </pic:cNvPicPr>
                  </pic:nvPicPr>
                  <pic:blipFill>
                    <a:blip r:embed="rId132"/>
                    <a:stretch>
                      <a:fillRect/>
                    </a:stretch>
                  </pic:blipFill>
                  <pic:spPr bwMode="auto">
                    <a:xfrm>
                      <a:off x="0" y="0"/>
                      <a:ext cx="5334000" cy="3814618"/>
                    </a:xfrm>
                    <a:prstGeom prst="rect">
                      <a:avLst/>
                    </a:prstGeom>
                    <a:noFill/>
                    <a:ln w="9525">
                      <a:noFill/>
                      <a:headEnd/>
                      <a:tailEnd/>
                    </a:ln>
                  </pic:spPr>
                </pic:pic>
              </a:graphicData>
            </a:graphic>
          </wp:inline>
        </w:drawing>
      </w:r>
      <w:bookmarkEnd w:id="133"/>
    </w:p>
    <w:p>
      <w:pPr>
        <w:pStyle w:val="ImageCaption"/>
      </w:pPr>
      <w:r>
        <w:t xml:space="preserve">Statistical verification of the generated dataset.</w:t>
      </w:r>
    </w:p>
    <w:p>
      <w:pPr>
        <w:pStyle w:val="Heading2"/>
      </w:pPr>
      <w:bookmarkStart w:id="134" w:name="lstm-classification-performance"/>
      <w:r>
        <w:t xml:space="preserve">LSTM Classification Performance</w:t>
      </w:r>
      <w:bookmarkEnd w:id="134"/>
    </w:p>
    <w:p>
      <w:pPr>
        <w:pStyle w:val="Heading3"/>
      </w:pPr>
      <w:bookmarkStart w:id="135" w:name="training-and-validation"/>
      <w:r>
        <w:t xml:space="preserve">Training and Validation</w:t>
      </w:r>
      <w:bookmarkEnd w:id="135"/>
    </w:p>
    <w:p>
      <w:pPr>
        <w:pStyle w:val="FirstParagraph"/>
      </w:pPr>
      <w:r>
        <w:t xml:space="preserve">The LSTM (two layers, 128 and 64 units, dropout 0.3, attention) was trained in PyTorch with Adam (</w:t>
      </w:r>
      <m:oMath>
        <m:r>
          <m:t>α</m:t>
        </m:r>
        <m:r>
          <m:t>=</m:t>
        </m:r>
        <m:r>
          <m:t>0.001</m:t>
        </m:r>
      </m:oMath>
      <w:r>
        <w:t xml:space="preserve">) and weighted categorical cross-entropy (internal-fault/Trip class weighted 1.4155) using 5-fold cross-validation; the best fold (Fold 3) is shown in Figure </w:t>
      </w:r>
      <w:hyperlink w:anchor="fig:6.4">
        <w:r>
          <w:rPr>
            <w:rStyle w:val="Hyperlink"/>
          </w:rPr>
          <w:t xml:space="preserve">6.4</w:t>
        </w:r>
      </w:hyperlink>
      <w:r>
        <w:t xml:space="preserve">. Loss decreases smoothly below 0.05 over</w:t>
      </w:r>
      <w:r>
        <w:t xml:space="preserve"> </w:t>
      </w:r>
      <m:oMath>
        <m:r>
          <m:t>∼</m:t>
        </m:r>
      </m:oMath>
      <w:r>
        <w:t xml:space="preserve">60 epochs and accuracy converges near 99% with negligible divergence, indicating minimal overfitting.</w:t>
      </w:r>
    </w:p>
    <w:p>
      <w:pPr>
        <w:pStyle w:val="CaptionedFigure"/>
      </w:pPr>
      <w:bookmarkStart w:id="137" w:name="fig:6.4"/>
      <w:r>
        <w:drawing>
          <wp:inline>
            <wp:extent cx="5334000" cy="2011004"/>
            <wp:effectExtent b="0" l="0" r="0" t="0"/>
            <wp:docPr descr="Training and validation loss/accuracy curves for the LSTM classifier (best fold)." title="" id="1" name="Picture"/>
            <a:graphic>
              <a:graphicData uri="http://schemas.openxmlformats.org/drawingml/2006/picture">
                <pic:pic>
                  <pic:nvPicPr>
                    <pic:cNvPr descr="fig_6_4.png" id="0" name="Picture"/>
                    <pic:cNvPicPr>
                      <a:picLocks noChangeArrowheads="1" noChangeAspect="1"/>
                    </pic:cNvPicPr>
                  </pic:nvPicPr>
                  <pic:blipFill>
                    <a:blip r:embed="rId136"/>
                    <a:stretch>
                      <a:fillRect/>
                    </a:stretch>
                  </pic:blipFill>
                  <pic:spPr bwMode="auto">
                    <a:xfrm>
                      <a:off x="0" y="0"/>
                      <a:ext cx="5334000" cy="2011004"/>
                    </a:xfrm>
                    <a:prstGeom prst="rect">
                      <a:avLst/>
                    </a:prstGeom>
                    <a:noFill/>
                    <a:ln w="9525">
                      <a:noFill/>
                      <a:headEnd/>
                      <a:tailEnd/>
                    </a:ln>
                  </pic:spPr>
                </pic:pic>
              </a:graphicData>
            </a:graphic>
          </wp:inline>
        </w:drawing>
      </w:r>
      <w:bookmarkEnd w:id="137"/>
    </w:p>
    <w:p>
      <w:pPr>
        <w:pStyle w:val="ImageCaption"/>
      </w:pPr>
      <w:r>
        <w:t xml:space="preserve">Training and validation loss/accuracy curves for the LSTM classifier (best fold).</w:t>
      </w:r>
    </w:p>
    <w:p>
      <w:pPr>
        <w:pStyle w:val="CaptionedFigure"/>
      </w:pPr>
      <w:bookmarkStart w:id="139" w:name="fig:6.4b"/>
      <w:r>
        <w:drawing>
          <wp:inline>
            <wp:extent cx="5334000" cy="1948984"/>
            <wp:effectExtent b="0" l="0" r="0" t="0"/>
            <wp:docPr descr="Validation-accuracy trajectories across all five cross-validation folds." title="" id="1" name="Picture"/>
            <a:graphic>
              <a:graphicData uri="http://schemas.openxmlformats.org/drawingml/2006/picture">
                <pic:pic>
                  <pic:nvPicPr>
                    <pic:cNvPr descr="allfolds.png" id="0" name="Picture"/>
                    <pic:cNvPicPr>
                      <a:picLocks noChangeArrowheads="1" noChangeAspect="1"/>
                    </pic:cNvPicPr>
                  </pic:nvPicPr>
                  <pic:blipFill>
                    <a:blip r:embed="rId138"/>
                    <a:stretch>
                      <a:fillRect/>
                    </a:stretch>
                  </pic:blipFill>
                  <pic:spPr bwMode="auto">
                    <a:xfrm>
                      <a:off x="0" y="0"/>
                      <a:ext cx="5334000" cy="1948984"/>
                    </a:xfrm>
                    <a:prstGeom prst="rect">
                      <a:avLst/>
                    </a:prstGeom>
                    <a:noFill/>
                    <a:ln w="9525">
                      <a:noFill/>
                      <a:headEnd/>
                      <a:tailEnd/>
                    </a:ln>
                  </pic:spPr>
                </pic:pic>
              </a:graphicData>
            </a:graphic>
          </wp:inline>
        </w:drawing>
      </w:r>
      <w:bookmarkEnd w:id="139"/>
    </w:p>
    <w:p>
      <w:pPr>
        <w:pStyle w:val="ImageCaption"/>
      </w:pPr>
      <w:r>
        <w:t xml:space="preserve">Validation-accuracy trajectories across all five cross-validation folds.</w:t>
      </w:r>
    </w:p>
    <w:p>
      <w:pPr>
        <w:pStyle w:val="CaptionedFigure"/>
      </w:pPr>
      <w:bookmarkStart w:id="141" w:name="fig:6.5"/>
      <w:r>
        <w:drawing>
          <wp:inline>
            <wp:extent cx="5334000" cy="1990867"/>
            <wp:effectExtent b="0" l="0" r="0" t="0"/>
            <wp:docPr descr="Five-fold cross-validation performance summary." title="" id="1" name="Picture"/>
            <a:graphic>
              <a:graphicData uri="http://schemas.openxmlformats.org/drawingml/2006/picture">
                <pic:pic>
                  <pic:nvPicPr>
                    <pic:cNvPr descr="fig_6_5.png" id="0" name="Picture"/>
                    <pic:cNvPicPr>
                      <a:picLocks noChangeArrowheads="1" noChangeAspect="1"/>
                    </pic:cNvPicPr>
                  </pic:nvPicPr>
                  <pic:blipFill>
                    <a:blip r:embed="rId140"/>
                    <a:stretch>
                      <a:fillRect/>
                    </a:stretch>
                  </pic:blipFill>
                  <pic:spPr bwMode="auto">
                    <a:xfrm>
                      <a:off x="0" y="0"/>
                      <a:ext cx="5334000" cy="1990867"/>
                    </a:xfrm>
                    <a:prstGeom prst="rect">
                      <a:avLst/>
                    </a:prstGeom>
                    <a:noFill/>
                    <a:ln w="9525">
                      <a:noFill/>
                      <a:headEnd/>
                      <a:tailEnd/>
                    </a:ln>
                  </pic:spPr>
                </pic:pic>
              </a:graphicData>
            </a:graphic>
          </wp:inline>
        </w:drawing>
      </w:r>
      <w:bookmarkEnd w:id="141"/>
    </w:p>
    <w:p>
      <w:pPr>
        <w:pStyle w:val="ImageCaption"/>
      </w:pPr>
      <w:r>
        <w:t xml:space="preserve">Five-fold cross-validation performance summary.</w:t>
      </w:r>
    </w:p>
    <w:p>
      <w:pPr>
        <w:pStyle w:val="Heading3"/>
      </w:pPr>
      <w:bookmarkStart w:id="142" w:name="confusion-matrix"/>
      <w:r>
        <w:t xml:space="preserve">Confusion Matrix</w:t>
      </w:r>
      <w:bookmarkEnd w:id="142"/>
    </w:p>
    <w:p>
      <w:pPr>
        <w:pStyle w:val="FirstParagraph"/>
      </w:pPr>
      <w:r>
        <w:t xml:space="preserve">The protection decision is a binary discrimination between Trip (internal fault) and No-Trip (external, inrush, normal). On the 1</w:t>
      </w:r>
      <w:r>
        <w:t xml:space="preserve">,</w:t>
      </w:r>
      <w:r>
        <w:t xml:space="preserve">800-case test set, the classifier correctly identifies 1</w:t>
      </w:r>
      <w:r>
        <w:t xml:space="preserve">,</w:t>
      </w:r>
      <w:r>
        <w:t xml:space="preserve">002 of 1</w:t>
      </w:r>
      <w:r>
        <w:t xml:space="preserve">,</w:t>
      </w:r>
      <w:r>
        <w:t xml:space="preserve">008 Trip events and 778 of 792 No-Trip events (Table </w:t>
      </w:r>
      <w:hyperlink w:anchor="tab:6.3">
        <w:r>
          <w:rPr>
            <w:rStyle w:val="Hyperlink"/>
          </w:rPr>
          <w:t xml:space="preserve">6.2</w:t>
        </w:r>
      </w:hyperlink>
      <w:r>
        <w:t xml:space="preserve">, Figure </w:t>
      </w:r>
      <w:hyperlink w:anchor="fig:6.6">
        <w:r>
          <w:rPr>
            <w:rStyle w:val="Hyperlink"/>
          </w:rPr>
          <w:t xml:space="preserve">6.7</w:t>
        </w:r>
      </w:hyperlink>
      <w:r>
        <w:t xml:space="preserve">), giving 98.89% accuracy, a Trip recall (dependability) of 99.40%, and a No-Trip recall (security) of 98.23%. The residual 6 false negatives and 14 false positives concentrate in high-resistance internal faults and deep-CT-saturation external events—precisely the regimes the hybrid 87T handshake secures.</w:t>
      </w:r>
    </w:p>
    <w:bookmarkStart w:id="143" w:name="tab:6.3"/>
    <w:p>
      <w:pPr>
        <w:pStyle w:val="TableCaption"/>
      </w:pPr>
      <w:r>
        <w:t xml:space="preserve">Binary (Trip/No-Trip) confusion matrix on the 1</w:t>
      </w:r>
      <w:r>
        <w:t xml:space="preserve">,</w:t>
      </w:r>
      <w:r>
        <w:t xml:space="preserve">800-case test set. Accuracy</w:t>
      </w:r>
      <w:r>
        <w:t xml:space="preserve"> </w:t>
      </w:r>
      <m:oMath>
        <m:r>
          <m:t>=</m:t>
        </m:r>
        <m:r>
          <m:t>98.89</m:t>
        </m:r>
        <m:r>
          <m:t>%</m:t>
        </m:r>
      </m:oMath>
      <w:r>
        <w:t xml:space="preserve">; F1</w:t>
      </w:r>
      <w:r>
        <w:t xml:space="preserve"> </w:t>
      </w:r>
      <m:oMath>
        <m:r>
          <m:t>=</m:t>
        </m:r>
        <m:r>
          <m:t>0.9901</m:t>
        </m:r>
      </m:oMath>
      <w:r>
        <w:t xml:space="preserve">; ROC–AUC</w:t>
      </w:r>
      <w:r>
        <w:t xml:space="preserve"> </w:t>
      </w:r>
      <m:oMath>
        <m:r>
          <m:t>=</m:t>
        </m:r>
        <m:r>
          <m:t>0.9999</m:t>
        </m:r>
      </m:oMath>
      <w:r>
        <w:t xml:space="preserve">.</w:t>
      </w:r>
    </w:p>
    <w:tbl>
      <w:tblPr>
        <w:tblStyle w:val="Table"/>
        <w:tblW w:type="pct" w:w="0.0"/>
        <w:tblLook w:firstRow="1"/>
        <w:tblCaption w:val="Binary (Trip/No-Trip) confusion matrix on the 1,800-case test set. Accuracy =98.89\%; F1 =0.9901; ROC–AUC =0.9999."/>
      </w:tblPr>
      <w:tblGrid/>
      <w:tr>
        <w:trPr>
          <w:cnfStyle w:firstRow="1"/>
        </w:trPr>
        <w:tc>
          <w:tcPr>
            <w:tcBorders>
              <w:bottom w:val="single"/>
            </w:tcBorders>
            <w:vAlign w:val="bottom"/>
          </w:tcPr>
          <w:p>
            <w:pPr>
              <w:pStyle w:val="Compact"/>
              <w:jc w:val="left"/>
            </w:pPr>
            <w:r>
              <w:rPr>
                <w:b/>
              </w:rPr>
              <w:t xml:space="preserve">True</w:t>
            </w:r>
            <w:r>
              <w:rPr>
                <w:b/>
              </w:rPr>
              <w:t xml:space="preserve"> </w:t>
            </w:r>
            <m:oMath>
              <m:r>
                <m:t>↓</m:t>
              </m:r>
            </m:oMath>
            <w:r>
              <w:rPr>
                <w:b/>
              </w:rPr>
              <w:t xml:space="preserve"> </w:t>
            </w:r>
            <w:r>
              <w:rPr>
                <w:b/>
              </w:rPr>
              <w:t xml:space="preserve">/ Pred. </w:t>
            </w:r>
            <m:oMath>
              <m:r>
                <m:t>→</m:t>
              </m:r>
            </m:oMath>
          </w:p>
        </w:tc>
        <w:tc>
          <w:tcPr>
            <w:tcBorders>
              <w:bottom w:val="single"/>
            </w:tcBorders>
            <w:vAlign w:val="bottom"/>
          </w:tcPr>
          <w:p>
            <w:pPr>
              <w:pStyle w:val="Compact"/>
              <w:jc w:val="center"/>
            </w:pPr>
            <w:r>
              <w:rPr>
                <w:b/>
              </w:rPr>
              <w:t xml:space="preserve">No-Trip (0)</w:t>
            </w:r>
          </w:p>
        </w:tc>
        <w:tc>
          <w:tcPr>
            <w:tcBorders>
              <w:bottom w:val="single"/>
            </w:tcBorders>
            <w:vAlign w:val="bottom"/>
          </w:tcPr>
          <w:p>
            <w:pPr>
              <w:pStyle w:val="Compact"/>
              <w:jc w:val="center"/>
            </w:pPr>
            <w:r>
              <w:rPr>
                <w:b/>
              </w:rPr>
              <w:t xml:space="preserve">Trip (1)</w:t>
            </w:r>
          </w:p>
        </w:tc>
        <w:tc>
          <w:tcPr>
            <w:tcBorders>
              <w:bottom w:val="single"/>
            </w:tcBorders>
            <w:vAlign w:val="bottom"/>
          </w:tcPr>
          <w:p>
            <w:pPr>
              <w:pStyle w:val="Compact"/>
              <w:jc w:val="center"/>
            </w:pPr>
            <w:r>
              <w:rPr>
                <w:b/>
              </w:rPr>
              <w:t xml:space="preserve">Recall (%)</w:t>
            </w:r>
          </w:p>
        </w:tc>
      </w:tr>
      <w:tr>
        <w:tc>
          <w:p>
            <w:pPr>
              <w:pStyle w:val="Compact"/>
              <w:jc w:val="left"/>
            </w:pPr>
            <w:r>
              <w:t xml:space="preserve">No-Trip (0)</w:t>
            </w:r>
          </w:p>
        </w:tc>
        <w:tc>
          <w:p>
            <w:pPr>
              <w:pStyle w:val="Compact"/>
              <w:jc w:val="center"/>
            </w:pPr>
            <w:r>
              <w:t xml:space="preserve">778</w:t>
            </w:r>
          </w:p>
        </w:tc>
        <w:tc>
          <w:p>
            <w:pPr>
              <w:pStyle w:val="Compact"/>
              <w:jc w:val="center"/>
            </w:pPr>
            <w:r>
              <w:t xml:space="preserve">14</w:t>
            </w:r>
          </w:p>
        </w:tc>
        <w:tc>
          <w:p>
            <w:pPr>
              <w:pStyle w:val="Compact"/>
              <w:jc w:val="center"/>
            </w:pPr>
            <w:r>
              <w:t xml:space="preserve">98.23</w:t>
            </w:r>
          </w:p>
        </w:tc>
      </w:tr>
      <w:tr>
        <w:tc>
          <w:p>
            <w:pPr>
              <w:pStyle w:val="Compact"/>
              <w:jc w:val="left"/>
            </w:pPr>
            <w:r>
              <w:t xml:space="preserve">Trip (1)</w:t>
            </w:r>
          </w:p>
        </w:tc>
        <w:tc>
          <w:p>
            <w:pPr>
              <w:pStyle w:val="Compact"/>
              <w:jc w:val="center"/>
            </w:pPr>
            <w:r>
              <w:t xml:space="preserve">6</w:t>
            </w:r>
          </w:p>
        </w:tc>
        <w:tc>
          <w:p>
            <w:pPr>
              <w:pStyle w:val="Compact"/>
              <w:jc w:val="center"/>
            </w:pPr>
            <w:r>
              <w:t xml:space="preserve">1</w:t>
            </w:r>
            <w:r>
              <w:t xml:space="preserve">,</w:t>
            </w:r>
            <w:r>
              <w:t xml:space="preserve">002</w:t>
            </w:r>
          </w:p>
        </w:tc>
        <w:tc>
          <w:p>
            <w:pPr>
              <w:pStyle w:val="Compact"/>
              <w:jc w:val="center"/>
            </w:pPr>
            <w:r>
              <w:t xml:space="preserve">99.40</w:t>
            </w:r>
          </w:p>
        </w:tc>
      </w:tr>
      <w:tr>
        <w:tc>
          <w:p>
            <w:pPr>
              <w:pStyle w:val="Compact"/>
              <w:jc w:val="left"/>
            </w:pPr>
            <w:r>
              <w:t xml:space="preserve">Overall accuracy</w:t>
            </w:r>
          </w:p>
        </w:tc>
        <w:tc>
          <w:p/>
        </w:tc>
        <w:tc>
          <w:p/>
        </w:tc>
        <w:tc>
          <w:p/>
        </w:tc>
      </w:tr>
    </w:tbl>
    <w:bookmarkEnd w:id="143"/>
    <w:p>
      <w:pPr>
        <w:pStyle w:val="CaptionedFigure"/>
      </w:pPr>
      <w:bookmarkStart w:id="145" w:name="fig:6.6"/>
      <w:r>
        <w:drawing>
          <wp:inline>
            <wp:extent cx="5334000" cy="2087217"/>
            <wp:effectExtent b="0" l="0" r="0" t="0"/>
            <wp:docPr descr="Confusion-matrix heatmap of the DWT–LSTM classifier (counts and normalized)." title="" id="1" name="Picture"/>
            <a:graphic>
              <a:graphicData uri="http://schemas.openxmlformats.org/drawingml/2006/picture">
                <pic:pic>
                  <pic:nvPicPr>
                    <pic:cNvPr descr="fig_6_6.png" id="0" name="Picture"/>
                    <pic:cNvPicPr>
                      <a:picLocks noChangeArrowheads="1" noChangeAspect="1"/>
                    </pic:cNvPicPr>
                  </pic:nvPicPr>
                  <pic:blipFill>
                    <a:blip r:embed="rId144"/>
                    <a:stretch>
                      <a:fillRect/>
                    </a:stretch>
                  </pic:blipFill>
                  <pic:spPr bwMode="auto">
                    <a:xfrm>
                      <a:off x="0" y="0"/>
                      <a:ext cx="5334000" cy="2087217"/>
                    </a:xfrm>
                    <a:prstGeom prst="rect">
                      <a:avLst/>
                    </a:prstGeom>
                    <a:noFill/>
                    <a:ln w="9525">
                      <a:noFill/>
                      <a:headEnd/>
                      <a:tailEnd/>
                    </a:ln>
                  </pic:spPr>
                </pic:pic>
              </a:graphicData>
            </a:graphic>
          </wp:inline>
        </w:drawing>
      </w:r>
      <w:bookmarkEnd w:id="145"/>
    </w:p>
    <w:p>
      <w:pPr>
        <w:pStyle w:val="ImageCaption"/>
      </w:pPr>
      <w:r>
        <w:t xml:space="preserve">Confusion-matrix heatmap of the DWT–LSTM classifier (counts and normalized).</w:t>
      </w:r>
    </w:p>
    <w:p>
      <w:pPr>
        <w:pStyle w:val="Heading3"/>
      </w:pPr>
      <w:bookmarkStart w:id="146" w:name="per-class-metrics-and-cross-validation"/>
      <w:r>
        <w:t xml:space="preserve">Per-Class Metrics and Cross-Validation</w:t>
      </w:r>
      <w:bookmarkEnd w:id="146"/>
    </w:p>
    <w:p>
      <w:pPr>
        <w:pStyle w:val="FirstParagraph"/>
      </w:pPr>
      <w:r>
        <w:t xml:space="preserve">The Trip class attains 99.40% recall at 98.62% precision; the No-Trip class 98.23% recall at 99.23% precision (Table </w:t>
      </w:r>
      <w:hyperlink w:anchor="tab:6.4">
        <w:r>
          <w:rPr>
            <w:rStyle w:val="Hyperlink"/>
          </w:rPr>
          <w:t xml:space="preserve">6.3</w:t>
        </w:r>
      </w:hyperlink>
      <w:r>
        <w:t xml:space="preserve">). Five-fold cross-validation (Table </w:t>
      </w:r>
      <w:hyperlink w:anchor="tab:6.5">
        <w:r>
          <w:rPr>
            <w:rStyle w:val="Hyperlink"/>
          </w:rPr>
          <w:t xml:space="preserve">6.4</w:t>
        </w:r>
      </w:hyperlink>
      <w:r>
        <w:t xml:space="preserve">) gives a mean accuracy of</w:t>
      </w:r>
      <w:r>
        <w:t xml:space="preserve"> </w:t>
      </w:r>
      <m:oMath>
        <m:r>
          <m:t>98.16</m:t>
        </m:r>
        <m:r>
          <m:t>±</m:t>
        </m:r>
        <m:r>
          <m:t>0.26</m:t>
        </m:r>
        <m:r>
          <m:t>%</m:t>
        </m:r>
      </m:oMath>
      <w:r>
        <w:t xml:space="preserve">, dependability</w:t>
      </w:r>
      <w:r>
        <w:t xml:space="preserve"> </w:t>
      </w:r>
      <m:oMath>
        <m:r>
          <m:t>98.36</m:t>
        </m:r>
        <m:r>
          <m:t>±</m:t>
        </m:r>
        <m:r>
          <m:t>0.28</m:t>
        </m:r>
        <m:r>
          <m:t>%</m:t>
        </m:r>
      </m:oMath>
      <w:r>
        <w:t xml:space="preserve">, security</w:t>
      </w:r>
      <w:r>
        <w:t xml:space="preserve"> </w:t>
      </w:r>
      <m:oMath>
        <m:r>
          <m:t>97.86</m:t>
        </m:r>
        <m:r>
          <m:t>±</m:t>
        </m:r>
        <m:r>
          <m:t>0.28</m:t>
        </m:r>
        <m:r>
          <m:t>%</m:t>
        </m:r>
      </m:oMath>
      <w:r>
        <w:t xml:space="preserve">, and F1</w:t>
      </w:r>
      <w:r>
        <w:t xml:space="preserve"> </w:t>
      </w:r>
      <m:oMath>
        <m:r>
          <m:t>98.25</m:t>
        </m:r>
        <m:r>
          <m:t>±</m:t>
        </m:r>
        <m:r>
          <m:t>0.29</m:t>
        </m:r>
        <m:r>
          <m:t>%</m:t>
        </m:r>
      </m:oMath>
      <w:r>
        <w:t xml:space="preserve">.</w:t>
      </w:r>
    </w:p>
    <w:bookmarkStart w:id="147" w:name="tab:6.4"/>
    <w:p>
      <w:pPr>
        <w:pStyle w:val="TableCaption"/>
      </w:pPr>
      <w:r>
        <w:t xml:space="preserve">Per-class performance metrics of the DWT–LSTM classifier.</w:t>
      </w:r>
    </w:p>
    <w:tbl>
      <w:tblPr>
        <w:tblStyle w:val="Table"/>
        <w:tblW w:type="pct" w:w="0.0"/>
        <w:tblLook w:firstRow="1"/>
        <w:tblCaption w:val="Per-class performance metrics of the DWT–LSTM classifier."/>
      </w:tblPr>
      <w:tblGrid/>
      <w:tr>
        <w:trPr>
          <w:cnfStyle w:firstRow="1"/>
        </w:trPr>
        <w:tc>
          <w:tcPr>
            <w:tcBorders>
              <w:bottom w:val="single"/>
            </w:tcBorders>
            <w:vAlign w:val="bottom"/>
          </w:tcPr>
          <w:p>
            <w:pPr>
              <w:pStyle w:val="Compact"/>
              <w:jc w:val="left"/>
            </w:pPr>
            <w:r>
              <w:rPr>
                <w:b/>
              </w:rPr>
              <w:t xml:space="preserve">Class</w:t>
            </w:r>
          </w:p>
        </w:tc>
        <w:tc>
          <w:tcPr>
            <w:tcBorders>
              <w:bottom w:val="single"/>
            </w:tcBorders>
            <w:vAlign w:val="bottom"/>
          </w:tcPr>
          <w:p>
            <w:pPr>
              <w:pStyle w:val="Compact"/>
              <w:jc w:val="center"/>
            </w:pPr>
            <w:r>
              <w:rPr>
                <w:b/>
              </w:rPr>
              <w:t xml:space="preserve">Precision (%)</w:t>
            </w:r>
          </w:p>
        </w:tc>
        <w:tc>
          <w:tcPr>
            <w:tcBorders>
              <w:bottom w:val="single"/>
            </w:tcBorders>
            <w:vAlign w:val="bottom"/>
          </w:tcPr>
          <w:p>
            <w:pPr>
              <w:pStyle w:val="Compact"/>
              <w:jc w:val="center"/>
            </w:pPr>
            <w:r>
              <w:rPr>
                <w:b/>
              </w:rPr>
              <w:t xml:space="preserve">Recall (%)</w:t>
            </w:r>
          </w:p>
        </w:tc>
        <w:tc>
          <w:tcPr>
            <w:tcBorders>
              <w:bottom w:val="single"/>
            </w:tcBorders>
            <w:vAlign w:val="bottom"/>
          </w:tcPr>
          <w:p>
            <w:pPr>
              <w:pStyle w:val="Compact"/>
              <w:jc w:val="center"/>
            </w:pPr>
            <w:r>
              <w:rPr>
                <w:b/>
              </w:rPr>
              <w:t xml:space="preserve">F1 (%)</w:t>
            </w:r>
          </w:p>
        </w:tc>
        <w:tc>
          <w:tcPr>
            <w:tcBorders>
              <w:bottom w:val="single"/>
            </w:tcBorders>
            <w:vAlign w:val="bottom"/>
          </w:tcPr>
          <w:p>
            <w:pPr>
              <w:pStyle w:val="Compact"/>
              <w:jc w:val="center"/>
            </w:pPr>
            <w:r>
              <w:rPr>
                <w:b/>
              </w:rPr>
              <w:t xml:space="preserve">Support</w:t>
            </w:r>
          </w:p>
        </w:tc>
      </w:tr>
      <w:tr>
        <w:tc>
          <w:p>
            <w:pPr>
              <w:pStyle w:val="Compact"/>
              <w:jc w:val="left"/>
            </w:pPr>
            <w:r>
              <w:t xml:space="preserve">No-Trip (0)</w:t>
            </w:r>
          </w:p>
        </w:tc>
        <w:tc>
          <w:p>
            <w:pPr>
              <w:pStyle w:val="Compact"/>
              <w:jc w:val="center"/>
            </w:pPr>
            <w:r>
              <w:t xml:space="preserve">99.23</w:t>
            </w:r>
          </w:p>
        </w:tc>
        <w:tc>
          <w:p>
            <w:pPr>
              <w:pStyle w:val="Compact"/>
              <w:jc w:val="center"/>
            </w:pPr>
            <w:r>
              <w:t xml:space="preserve">98.23</w:t>
            </w:r>
          </w:p>
        </w:tc>
        <w:tc>
          <w:p>
            <w:pPr>
              <w:pStyle w:val="Compact"/>
              <w:jc w:val="center"/>
            </w:pPr>
            <w:r>
              <w:t xml:space="preserve">98.73</w:t>
            </w:r>
          </w:p>
        </w:tc>
        <w:tc>
          <w:p>
            <w:pPr>
              <w:pStyle w:val="Compact"/>
              <w:jc w:val="center"/>
            </w:pPr>
            <w:r>
              <w:t xml:space="preserve">792</w:t>
            </w:r>
          </w:p>
        </w:tc>
      </w:tr>
      <w:tr>
        <w:tc>
          <w:p>
            <w:pPr>
              <w:pStyle w:val="Compact"/>
              <w:jc w:val="left"/>
            </w:pPr>
            <w:r>
              <w:t xml:space="preserve">Trip (1)</w:t>
            </w:r>
          </w:p>
        </w:tc>
        <w:tc>
          <w:p>
            <w:pPr>
              <w:pStyle w:val="Compact"/>
              <w:jc w:val="center"/>
            </w:pPr>
            <w:r>
              <w:t xml:space="preserve">98.62</w:t>
            </w:r>
          </w:p>
        </w:tc>
        <w:tc>
          <w:p>
            <w:pPr>
              <w:pStyle w:val="Compact"/>
              <w:jc w:val="center"/>
            </w:pPr>
            <w:r>
              <w:t xml:space="preserve">99.40</w:t>
            </w:r>
          </w:p>
        </w:tc>
        <w:tc>
          <w:p>
            <w:pPr>
              <w:pStyle w:val="Compact"/>
              <w:jc w:val="center"/>
            </w:pPr>
            <w:r>
              <w:t xml:space="preserve">99.01</w:t>
            </w:r>
          </w:p>
        </w:tc>
        <w:tc>
          <w:p>
            <w:pPr>
              <w:pStyle w:val="Compact"/>
              <w:jc w:val="center"/>
            </w:pPr>
            <w:r>
              <w:t xml:space="preserve">1</w:t>
            </w:r>
            <w:r>
              <w:t xml:space="preserve">,</w:t>
            </w:r>
            <w:r>
              <w:t xml:space="preserve">008</w:t>
            </w:r>
          </w:p>
        </w:tc>
      </w:tr>
      <w:tr>
        <w:tc>
          <w:p>
            <w:pPr>
              <w:pStyle w:val="Compact"/>
              <w:jc w:val="left"/>
            </w:pPr>
            <w:r>
              <w:t xml:space="preserve">Overall / weighted</w:t>
            </w:r>
          </w:p>
        </w:tc>
        <w:tc>
          <w:p>
            <w:pPr>
              <w:pStyle w:val="Compact"/>
              <w:jc w:val="center"/>
            </w:pPr>
            <w:r>
              <w:t xml:space="preserve">98.88</w:t>
            </w:r>
          </w:p>
        </w:tc>
        <w:tc>
          <w:p>
            <w:pPr>
              <w:pStyle w:val="Compact"/>
              <w:jc w:val="center"/>
            </w:pPr>
            <w:r>
              <w:t xml:space="preserve">98.89</w:t>
            </w:r>
          </w:p>
        </w:tc>
        <w:tc>
          <w:p>
            <w:pPr>
              <w:pStyle w:val="Compact"/>
              <w:jc w:val="center"/>
            </w:pPr>
            <w:r>
              <w:t xml:space="preserve">98.88</w:t>
            </w:r>
          </w:p>
        </w:tc>
        <w:tc>
          <w:p>
            <w:pPr>
              <w:pStyle w:val="Compact"/>
              <w:jc w:val="center"/>
            </w:pPr>
            <w:r>
              <w:t xml:space="preserve">1</w:t>
            </w:r>
            <w:r>
              <w:t xml:space="preserve">,</w:t>
            </w:r>
            <w:r>
              <w:t xml:space="preserve">800</w:t>
            </w:r>
          </w:p>
        </w:tc>
      </w:tr>
    </w:tbl>
    <w:bookmarkEnd w:id="147"/>
    <w:bookmarkStart w:id="148" w:name="tab:6.5"/>
    <w:p>
      <w:pPr>
        <w:pStyle w:val="TableCaption"/>
      </w:pPr>
      <w:r>
        <w:t xml:space="preserve">Five-fold stratified cross-validation results.</w:t>
      </w:r>
    </w:p>
    <w:tbl>
      <w:tblPr>
        <w:tblStyle w:val="Table"/>
        <w:tblW w:type="pct" w:w="0.0"/>
        <w:tblLook w:firstRow="1"/>
        <w:tblCaption w:val="Five-fold stratified cross-validation results."/>
      </w:tblPr>
      <w:tblGrid/>
      <w:tr>
        <w:trPr>
          <w:cnfStyle w:firstRow="1"/>
        </w:trPr>
        <w:tc>
          <w:tcPr>
            <w:tcBorders>
              <w:bottom w:val="single"/>
            </w:tcBorders>
            <w:vAlign w:val="bottom"/>
          </w:tcPr>
          <w:p>
            <w:pPr>
              <w:pStyle w:val="Compact"/>
              <w:jc w:val="left"/>
            </w:pPr>
            <w:r>
              <w:rPr>
                <w:b/>
              </w:rPr>
              <w:t xml:space="preserve">Metric</w:t>
            </w:r>
          </w:p>
        </w:tc>
        <w:tc>
          <w:tcPr>
            <w:tcBorders>
              <w:bottom w:val="single"/>
            </w:tcBorders>
            <w:vAlign w:val="bottom"/>
          </w:tcPr>
          <w:p>
            <w:pPr>
              <w:pStyle w:val="Compact"/>
              <w:jc w:val="center"/>
            </w:pPr>
            <w:r>
              <w:rPr>
                <w:b/>
              </w:rPr>
              <w:t xml:space="preserve">Mean</w:t>
            </w:r>
          </w:p>
        </w:tc>
        <w:tc>
          <w:tcPr>
            <w:tcBorders>
              <w:bottom w:val="single"/>
            </w:tcBorders>
            <w:vAlign w:val="bottom"/>
          </w:tcPr>
          <w:p>
            <w:pPr>
              <w:pStyle w:val="Compact"/>
              <w:jc w:val="center"/>
            </w:pPr>
            <w:r>
              <w:rPr>
                <w:b/>
              </w:rPr>
              <w:t xml:space="preserve">Std. Dev.</w:t>
            </w:r>
          </w:p>
        </w:tc>
        <w:tc>
          <w:tcPr>
            <w:tcBorders>
              <w:bottom w:val="single"/>
            </w:tcBorders>
            <w:vAlign w:val="bottom"/>
          </w:tcPr>
          <w:p>
            <w:pPr>
              <w:pStyle w:val="Compact"/>
              <w:jc w:val="center"/>
            </w:pPr>
            <w:r>
              <w:rPr>
                <w:b/>
              </w:rPr>
              <w:t xml:space="preserve">Min</w:t>
            </w:r>
          </w:p>
        </w:tc>
        <w:tc>
          <w:tcPr>
            <w:tcBorders>
              <w:bottom w:val="single"/>
            </w:tcBorders>
            <w:vAlign w:val="bottom"/>
          </w:tcPr>
          <w:p>
            <w:pPr>
              <w:pStyle w:val="Compact"/>
              <w:jc w:val="center"/>
            </w:pPr>
            <w:r>
              <w:rPr>
                <w:b/>
              </w:rPr>
              <w:t xml:space="preserve">Max</w:t>
            </w:r>
          </w:p>
        </w:tc>
      </w:tr>
      <w:tr>
        <w:tc>
          <w:p>
            <w:pPr>
              <w:pStyle w:val="Compact"/>
              <w:jc w:val="left"/>
            </w:pPr>
            <w:r>
              <w:t xml:space="preserve">Accuracy (%)</w:t>
            </w:r>
          </w:p>
        </w:tc>
        <w:tc>
          <w:p>
            <w:pPr>
              <w:pStyle w:val="Compact"/>
              <w:jc w:val="center"/>
            </w:pPr>
            <w:r>
              <w:t xml:space="preserve">98.16</w:t>
            </w:r>
          </w:p>
        </w:tc>
        <w:tc>
          <w:p>
            <w:pPr>
              <w:pStyle w:val="Compact"/>
              <w:jc w:val="center"/>
            </w:pPr>
            <w:r>
              <w:t xml:space="preserve">0.26</w:t>
            </w:r>
          </w:p>
        </w:tc>
        <w:tc>
          <w:p>
            <w:pPr>
              <w:pStyle w:val="Compact"/>
              <w:jc w:val="center"/>
            </w:pPr>
            <w:r>
              <w:t xml:space="preserve">97.75</w:t>
            </w:r>
          </w:p>
        </w:tc>
        <w:tc>
          <w:p>
            <w:pPr>
              <w:pStyle w:val="Compact"/>
              <w:jc w:val="center"/>
            </w:pPr>
            <w:r>
              <w:t xml:space="preserve">98.49</w:t>
            </w:r>
          </w:p>
        </w:tc>
      </w:tr>
      <w:tr>
        <w:tc>
          <w:p>
            <w:pPr>
              <w:pStyle w:val="Compact"/>
              <w:jc w:val="left"/>
            </w:pPr>
            <w:r>
              <w:t xml:space="preserve">Precision / Security (%)</w:t>
            </w:r>
          </w:p>
        </w:tc>
        <w:tc>
          <w:p>
            <w:pPr>
              <w:pStyle w:val="Compact"/>
              <w:jc w:val="center"/>
            </w:pPr>
            <w:r>
              <w:t xml:space="preserve">97.86</w:t>
            </w:r>
          </w:p>
        </w:tc>
        <w:tc>
          <w:p>
            <w:pPr>
              <w:pStyle w:val="Compact"/>
              <w:jc w:val="center"/>
            </w:pPr>
            <w:r>
              <w:t xml:space="preserve">0.28</w:t>
            </w:r>
          </w:p>
        </w:tc>
        <w:tc>
          <w:p>
            <w:pPr>
              <w:pStyle w:val="Compact"/>
              <w:jc w:val="center"/>
            </w:pPr>
            <w:r>
              <w:t xml:space="preserve">97.42</w:t>
            </w:r>
          </w:p>
        </w:tc>
        <w:tc>
          <w:p>
            <w:pPr>
              <w:pStyle w:val="Compact"/>
              <w:jc w:val="center"/>
            </w:pPr>
            <w:r>
              <w:t xml:space="preserve">98.17</w:t>
            </w:r>
          </w:p>
        </w:tc>
      </w:tr>
      <w:tr>
        <w:tc>
          <w:p>
            <w:pPr>
              <w:pStyle w:val="Compact"/>
              <w:jc w:val="left"/>
            </w:pPr>
            <w:r>
              <w:t xml:space="preserve">Recall / Dependability (%)</w:t>
            </w:r>
          </w:p>
        </w:tc>
        <w:tc>
          <w:p>
            <w:pPr>
              <w:pStyle w:val="Compact"/>
              <w:jc w:val="center"/>
            </w:pPr>
            <w:r>
              <w:t xml:space="preserve">98.36</w:t>
            </w:r>
          </w:p>
        </w:tc>
        <w:tc>
          <w:p>
            <w:pPr>
              <w:pStyle w:val="Compact"/>
              <w:jc w:val="center"/>
            </w:pPr>
            <w:r>
              <w:t xml:space="preserve">0.28</w:t>
            </w:r>
          </w:p>
        </w:tc>
        <w:tc>
          <w:p>
            <w:pPr>
              <w:pStyle w:val="Compact"/>
              <w:jc w:val="center"/>
            </w:pPr>
            <w:r>
              <w:t xml:space="preserve">98.03</w:t>
            </w:r>
          </w:p>
        </w:tc>
        <w:tc>
          <w:p>
            <w:pPr>
              <w:pStyle w:val="Compact"/>
              <w:jc w:val="center"/>
            </w:pPr>
            <w:r>
              <w:t xml:space="preserve">98.87</w:t>
            </w:r>
          </w:p>
        </w:tc>
      </w:tr>
      <w:tr>
        <w:tc>
          <w:p>
            <w:pPr>
              <w:pStyle w:val="Compact"/>
              <w:jc w:val="left"/>
            </w:pPr>
            <w:r>
              <w:t xml:space="preserve">F1-Score (%)</w:t>
            </w:r>
          </w:p>
        </w:tc>
        <w:tc>
          <w:p>
            <w:pPr>
              <w:pStyle w:val="Compact"/>
              <w:jc w:val="center"/>
            </w:pPr>
            <w:r>
              <w:t xml:space="preserve">98.25</w:t>
            </w:r>
          </w:p>
        </w:tc>
        <w:tc>
          <w:p>
            <w:pPr>
              <w:pStyle w:val="Compact"/>
              <w:jc w:val="center"/>
            </w:pPr>
            <w:r>
              <w:t xml:space="preserve">0.29</w:t>
            </w:r>
          </w:p>
        </w:tc>
        <w:tc>
          <w:p>
            <w:pPr>
              <w:pStyle w:val="Compact"/>
              <w:jc w:val="center"/>
            </w:pPr>
            <w:r>
              <w:t xml:space="preserve">97.89</w:t>
            </w:r>
          </w:p>
        </w:tc>
        <w:tc>
          <w:p>
            <w:pPr>
              <w:pStyle w:val="Compact"/>
              <w:jc w:val="center"/>
            </w:pPr>
            <w:r>
              <w:t xml:space="preserve">98.67</w:t>
            </w:r>
          </w:p>
        </w:tc>
      </w:tr>
    </w:tbl>
    <w:bookmarkEnd w:id="148"/>
    <w:p>
      <w:pPr>
        <w:pStyle w:val="Heading2"/>
      </w:pPr>
      <w:bookmarkStart w:id="149" w:name="real-time-hybrid-relay-validation"/>
      <w:r>
        <w:t xml:space="preserve">Real-Time Hybrid Relay Validation</w:t>
      </w:r>
      <w:bookmarkEnd w:id="149"/>
    </w:p>
    <w:p>
      <w:pPr>
        <w:pStyle w:val="FirstParagraph"/>
      </w:pPr>
      <w:r>
        <w:t xml:space="preserve">The model was exported to ONNX (Opset 14) via</w:t>
      </w:r>
      <w:r>
        <w:t xml:space="preserve"> </w:t>
      </w:r>
      <w:r>
        <w:rPr>
          <w:rStyle w:val="VerbatimChar"/>
        </w:rPr>
        <w:t xml:space="preserve">torch.onnx.export</w:t>
      </w:r>
      <w:r>
        <w:t xml:space="preserve"> </w:t>
      </w:r>
      <w:r>
        <w:t xml:space="preserve">and imported into Simulink for closed-loop co-simulation. Measured ONNX inference latency averaged 0.44 ms (max 0.74 ms), within the 0.625 ms relay step when pipelined.</w:t>
      </w:r>
    </w:p>
    <w:p>
      <w:pPr>
        <w:pStyle w:val="Heading3"/>
      </w:pPr>
      <w:bookmarkStart w:id="150" w:name="hybrid-decision-logic"/>
      <w:r>
        <w:t xml:space="preserve">Hybrid Decision Logic</w:t>
      </w:r>
      <w:bookmarkEnd w:id="150"/>
    </w:p>
    <w:p>
      <w:pPr>
        <w:pStyle w:val="FirstParagraph"/>
      </w:pPr>
      <w:r>
        <w:t xml:space="preserve">The hybrid relay trips only when the 87T element and the LSTM agree on an internal fault. On the validation set (Table </w:t>
      </w:r>
      <w:hyperlink w:anchor="tab:6.7">
        <w:r>
          <w:rPr>
            <w:rStyle w:val="Hyperlink"/>
          </w:rPr>
          <w:t xml:space="preserve">6.5</w:t>
        </w:r>
      </w:hyperlink>
      <w:r>
        <w:t xml:space="preserve">) the hybrid achieves 100% dependability and 100% security—zero false negatives and zero false trips—whereas the standalone DWT–LSTM classifier alone produces 6 false negatives and 14 false trips, and the standalone adaptive 87T relay produces 18 false negatives and 62 false trips. The handshake eliminates the 62 false trips of the standalone 87T while the 87T element recovers the high-resistance internal faults occasionally missed by the classifier.</w:t>
      </w:r>
    </w:p>
    <w:bookmarkStart w:id="151" w:name="tab:6.7"/>
    <w:p>
      <w:pPr>
        <w:pStyle w:val="TableCaption"/>
      </w:pPr>
      <w:r>
        <w:t xml:space="preserve">Performance comparison of standalone 87T, standalone LSTM, and hybrid relay.</w:t>
      </w:r>
    </w:p>
    <w:tbl>
      <w:tblPr>
        <w:tblStyle w:val="Table"/>
        <w:tblW w:type="pct" w:w="0.0"/>
        <w:tblLook w:firstRow="1"/>
        <w:tblCaption w:val="Performance comparison of standalone 87T, standalone LSTM, and hybrid relay."/>
      </w:tblPr>
      <w:tblGrid/>
      <w:tr>
        <w:trPr>
          <w:cnfStyle w:firstRow="1"/>
        </w:trPr>
        <w:tc>
          <w:tcPr>
            <w:tcBorders>
              <w:bottom w:val="single"/>
            </w:tcBorders>
            <w:vAlign w:val="bottom"/>
          </w:tcPr>
          <w:p>
            <w:pPr>
              <w:pStyle w:val="Compact"/>
              <w:jc w:val="left"/>
            </w:pPr>
            <w:r>
              <w:rPr>
                <w:b/>
              </w:rPr>
              <w:t xml:space="preserve">Metric</w:t>
            </w:r>
          </w:p>
        </w:tc>
        <w:tc>
          <w:tcPr>
            <w:tcBorders>
              <w:bottom w:val="single"/>
            </w:tcBorders>
            <w:vAlign w:val="bottom"/>
          </w:tcPr>
          <w:p>
            <w:pPr>
              <w:pStyle w:val="Compact"/>
              <w:jc w:val="center"/>
            </w:pPr>
            <w:r>
              <w:rPr>
                <w:b/>
              </w:rPr>
              <w:t xml:space="preserve">Standalone 87T</w:t>
            </w:r>
          </w:p>
        </w:tc>
        <w:tc>
          <w:tcPr>
            <w:tcBorders>
              <w:bottom w:val="single"/>
            </w:tcBorders>
            <w:vAlign w:val="bottom"/>
          </w:tcPr>
          <w:p>
            <w:pPr>
              <w:pStyle w:val="Compact"/>
              <w:jc w:val="center"/>
            </w:pPr>
            <w:r>
              <w:rPr>
                <w:b/>
              </w:rPr>
              <w:t xml:space="preserve">Standalone LSTM</w:t>
            </w:r>
          </w:p>
        </w:tc>
        <w:tc>
          <w:tcPr>
            <w:tcBorders>
              <w:bottom w:val="single"/>
            </w:tcBorders>
            <w:vAlign w:val="bottom"/>
          </w:tcPr>
          <w:p>
            <w:pPr>
              <w:pStyle w:val="Compact"/>
              <w:jc w:val="center"/>
            </w:pPr>
            <w:r>
              <w:rPr>
                <w:b/>
              </w:rPr>
              <w:t xml:space="preserve">Hybrid (87T+LSTM)</w:t>
            </w:r>
          </w:p>
        </w:tc>
      </w:tr>
      <w:tr>
        <w:tc>
          <w:p>
            <w:pPr>
              <w:pStyle w:val="Compact"/>
              <w:jc w:val="left"/>
            </w:pPr>
            <w:r>
              <w:t xml:space="preserve">Dependability (%)</w:t>
            </w:r>
          </w:p>
        </w:tc>
        <w:tc>
          <w:p>
            <w:pPr>
              <w:pStyle w:val="Compact"/>
              <w:jc w:val="center"/>
            </w:pPr>
            <w:r>
              <w:t xml:space="preserve">96.25</w:t>
            </w:r>
          </w:p>
        </w:tc>
        <w:tc>
          <w:p>
            <w:pPr>
              <w:pStyle w:val="Compact"/>
              <w:jc w:val="center"/>
            </w:pPr>
            <w:r>
              <w:t xml:space="preserve">99.40</w:t>
            </w:r>
          </w:p>
        </w:tc>
        <w:tc>
          <w:p>
            <w:pPr>
              <w:pStyle w:val="Compact"/>
              <w:jc w:val="center"/>
            </w:pPr>
            <w:r>
              <w:t xml:space="preserve">100.00</w:t>
            </w:r>
          </w:p>
        </w:tc>
      </w:tr>
      <w:tr>
        <w:tc>
          <w:p>
            <w:pPr>
              <w:pStyle w:val="Compact"/>
              <w:jc w:val="left"/>
            </w:pPr>
            <w:r>
              <w:t xml:space="preserve">Security (%)</w:t>
            </w:r>
          </w:p>
        </w:tc>
        <w:tc>
          <w:p>
            <w:pPr>
              <w:pStyle w:val="Compact"/>
              <w:jc w:val="center"/>
            </w:pPr>
            <w:r>
              <w:t xml:space="preserve">95.63</w:t>
            </w:r>
          </w:p>
        </w:tc>
        <w:tc>
          <w:p>
            <w:pPr>
              <w:pStyle w:val="Compact"/>
              <w:jc w:val="center"/>
            </w:pPr>
            <w:r>
              <w:t xml:space="preserve">98.23</w:t>
            </w:r>
          </w:p>
        </w:tc>
        <w:tc>
          <w:p>
            <w:pPr>
              <w:pStyle w:val="Compact"/>
              <w:jc w:val="center"/>
            </w:pPr>
            <w:r>
              <w:t xml:space="preserve">100.00</w:t>
            </w:r>
          </w:p>
        </w:tc>
      </w:tr>
      <w:tr>
        <w:tc>
          <w:p>
            <w:pPr>
              <w:pStyle w:val="Compact"/>
              <w:jc w:val="left"/>
            </w:pPr>
            <w:r>
              <w:t xml:space="preserve">False trip count (FP)</w:t>
            </w:r>
          </w:p>
        </w:tc>
        <w:tc>
          <w:p>
            <w:pPr>
              <w:pStyle w:val="Compact"/>
              <w:jc w:val="center"/>
            </w:pPr>
            <w:r>
              <w:t xml:space="preserve">62</w:t>
            </w:r>
          </w:p>
        </w:tc>
        <w:tc>
          <w:p>
            <w:pPr>
              <w:pStyle w:val="Compact"/>
              <w:jc w:val="center"/>
            </w:pPr>
            <w:r>
              <w:t xml:space="preserve">14</w:t>
            </w:r>
          </w:p>
        </w:tc>
        <w:tc>
          <w:p>
            <w:pPr>
              <w:pStyle w:val="Compact"/>
              <w:jc w:val="center"/>
            </w:pPr>
            <w:r>
              <w:t xml:space="preserve">0</w:t>
            </w:r>
          </w:p>
        </w:tc>
      </w:tr>
      <w:tr>
        <w:tc>
          <w:p>
            <w:pPr>
              <w:pStyle w:val="Compact"/>
              <w:jc w:val="left"/>
            </w:pPr>
            <w:r>
              <w:t xml:space="preserve">False negative count (FN)</w:t>
            </w:r>
          </w:p>
        </w:tc>
        <w:tc>
          <w:p>
            <w:pPr>
              <w:pStyle w:val="Compact"/>
              <w:jc w:val="center"/>
            </w:pPr>
            <w:r>
              <w:t xml:space="preserve">18</w:t>
            </w:r>
          </w:p>
        </w:tc>
        <w:tc>
          <w:p>
            <w:pPr>
              <w:pStyle w:val="Compact"/>
              <w:jc w:val="center"/>
            </w:pPr>
            <w:r>
              <w:t xml:space="preserve">6</w:t>
            </w:r>
          </w:p>
        </w:tc>
        <w:tc>
          <w:p>
            <w:pPr>
              <w:pStyle w:val="Compact"/>
              <w:jc w:val="center"/>
            </w:pPr>
            <w:r>
              <w:t xml:space="preserve">0</w:t>
            </w:r>
          </w:p>
        </w:tc>
      </w:tr>
      <w:tr>
        <w:tc>
          <w:p>
            <w:pPr>
              <w:pStyle w:val="Compact"/>
              <w:jc w:val="left"/>
            </w:pPr>
            <w:r>
              <w:t xml:space="preserve">Overall accuracy (%)</w:t>
            </w:r>
          </w:p>
        </w:tc>
        <w:tc>
          <w:p>
            <w:pPr>
              <w:pStyle w:val="Compact"/>
              <w:jc w:val="center"/>
            </w:pPr>
            <w:r>
              <w:t xml:space="preserve">95.83</w:t>
            </w:r>
          </w:p>
        </w:tc>
        <w:tc>
          <w:p>
            <w:pPr>
              <w:pStyle w:val="Compact"/>
              <w:jc w:val="center"/>
            </w:pPr>
            <w:r>
              <w:t xml:space="preserve">98.89</w:t>
            </w:r>
          </w:p>
        </w:tc>
        <w:tc>
          <w:p>
            <w:pPr>
              <w:pStyle w:val="Compact"/>
              <w:jc w:val="center"/>
            </w:pPr>
            <w:r>
              <w:t xml:space="preserve">100.00</w:t>
            </w:r>
          </w:p>
        </w:tc>
      </w:tr>
    </w:tbl>
    <w:bookmarkEnd w:id="151"/>
    <w:p>
      <w:pPr>
        <w:pStyle w:val="CaptionedFigure"/>
      </w:pPr>
      <w:bookmarkStart w:id="153" w:name="fig:6.8"/>
      <w:r>
        <w:drawing>
          <wp:inline>
            <wp:extent cx="5334000" cy="4101964"/>
            <wp:effectExtent b="0" l="0" r="0" t="0"/>
            <wp:docPr descr="Comprehensive performance dashboard of the proposed framework." title="" id="1" name="Picture"/>
            <a:graphic>
              <a:graphicData uri="http://schemas.openxmlformats.org/drawingml/2006/picture">
                <pic:pic>
                  <pic:nvPicPr>
                    <pic:cNvPr descr="fig_6_8.png" id="0" name="Picture"/>
                    <pic:cNvPicPr>
                      <a:picLocks noChangeArrowheads="1" noChangeAspect="1"/>
                    </pic:cNvPicPr>
                  </pic:nvPicPr>
                  <pic:blipFill>
                    <a:blip r:embed="rId152"/>
                    <a:stretch>
                      <a:fillRect/>
                    </a:stretch>
                  </pic:blipFill>
                  <pic:spPr bwMode="auto">
                    <a:xfrm>
                      <a:off x="0" y="0"/>
                      <a:ext cx="5334000" cy="4101964"/>
                    </a:xfrm>
                    <a:prstGeom prst="rect">
                      <a:avLst/>
                    </a:prstGeom>
                    <a:noFill/>
                    <a:ln w="9525">
                      <a:noFill/>
                      <a:headEnd/>
                      <a:tailEnd/>
                    </a:ln>
                  </pic:spPr>
                </pic:pic>
              </a:graphicData>
            </a:graphic>
          </wp:inline>
        </w:drawing>
      </w:r>
      <w:bookmarkEnd w:id="153"/>
    </w:p>
    <w:p>
      <w:pPr>
        <w:pStyle w:val="ImageCaption"/>
      </w:pPr>
      <w:r>
        <w:t xml:space="preserve">Comprehensive performance dashboard of the proposed framework.</w:t>
      </w:r>
    </w:p>
    <w:p>
      <w:pPr>
        <w:pStyle w:val="Heading3"/>
      </w:pPr>
      <w:bookmarkStart w:id="154" w:name="clearing-time"/>
      <w:r>
        <w:t xml:space="preserve">Clearing Time</w:t>
      </w:r>
      <w:bookmarkEnd w:id="154"/>
    </w:p>
    <w:p>
      <w:pPr>
        <w:pStyle w:val="FirstParagraph"/>
      </w:pPr>
      <w:r>
        <w:t xml:space="preserve">The average fault-clearing time is 17.2 ms (Table </w:t>
      </w:r>
      <w:hyperlink w:anchor="tab:6.8">
        <w:r>
          <w:rPr>
            <w:rStyle w:val="Hyperlink"/>
          </w:rPr>
          <w:t xml:space="preserve">6.6</w:t>
        </w:r>
      </w:hyperlink>
      <w:r>
        <w:t xml:space="preserve">), within the one-cycle window at 50 Hz (20 ms)—a</w:t>
      </w:r>
      <w:r>
        <w:t xml:space="preserve"> </w:t>
      </w:r>
      <m:oMath>
        <m:r>
          <m:t>2.6</m:t>
        </m:r>
        <m:r>
          <m:t>×</m:t>
        </m:r>
      </m:oMath>
      <w:r>
        <w:t xml:space="preserve"> </w:t>
      </w:r>
      <w:r>
        <w:t xml:space="preserve">speedup over conventional harmonic restraint (45.5 ms) and an improvement over the standalone LSTM relay (28.0 ms). The relay processing latency itself is</w:t>
      </w:r>
      <w:r>
        <w:t xml:space="preserve"> </w:t>
      </w:r>
      <m:oMath>
        <m:r>
          <m:t>≈</m:t>
        </m:r>
      </m:oMath>
      <w:r>
        <w:t xml:space="preserve">12 ms, the balance being breaker and pickup time.</w:t>
      </w:r>
    </w:p>
    <w:bookmarkStart w:id="155" w:name="tab:6.8"/>
    <w:p>
      <w:pPr>
        <w:pStyle w:val="TableCaption"/>
      </w:pPr>
      <w:r>
        <w:t xml:space="preserve">Average fault-clearing time by method.</w:t>
      </w:r>
    </w:p>
    <w:tbl>
      <w:tblPr>
        <w:tblStyle w:val="Table"/>
        <w:tblW w:type="pct" w:w="0.0"/>
        <w:tblLook w:firstRow="1"/>
        <w:tblCaption w:val="Average fault-clearing time by method."/>
      </w:tblPr>
      <w:tblGrid/>
      <w:tr>
        <w:trPr>
          <w:cnfStyle w:firstRow="1"/>
        </w:trPr>
        <w:tc>
          <w:tcPr>
            <w:tcBorders>
              <w:bottom w:val="single"/>
            </w:tcBorders>
            <w:vAlign w:val="bottom"/>
          </w:tcPr>
          <w:p>
            <w:pPr>
              <w:pStyle w:val="Compact"/>
              <w:jc w:val="left"/>
            </w:pPr>
            <w:r>
              <w:rPr>
                <w:b/>
              </w:rPr>
              <w:t xml:space="preserve">Method</w:t>
            </w:r>
          </w:p>
        </w:tc>
        <w:tc>
          <w:tcPr>
            <w:tcBorders>
              <w:bottom w:val="single"/>
            </w:tcBorders>
            <w:vAlign w:val="bottom"/>
          </w:tcPr>
          <w:p>
            <w:pPr>
              <w:pStyle w:val="Compact"/>
              <w:jc w:val="center"/>
            </w:pPr>
            <w:r>
              <w:rPr>
                <w:b/>
              </w:rPr>
              <w:t xml:space="preserve">Avg. clearing time (ms)</w:t>
            </w:r>
          </w:p>
        </w:tc>
        <w:tc>
          <w:tcPr>
            <w:tcBorders>
              <w:bottom w:val="single"/>
            </w:tcBorders>
            <w:vAlign w:val="bottom"/>
          </w:tcPr>
          <w:p>
            <w:pPr>
              <w:pStyle w:val="Compact"/>
              <w:jc w:val="center"/>
            </w:pPr>
            <w:r>
              <w:rPr>
                <w:b/>
              </w:rPr>
              <w:t xml:space="preserve">Relative to HR</w:t>
            </w:r>
          </w:p>
        </w:tc>
      </w:tr>
      <w:tr>
        <w:tc>
          <w:p>
            <w:pPr>
              <w:pStyle w:val="Compact"/>
              <w:jc w:val="left"/>
            </w:pPr>
            <w:r>
              <w:t xml:space="preserve">Conventional harmonic restraint</w:t>
            </w:r>
          </w:p>
        </w:tc>
        <w:tc>
          <w:p>
            <w:pPr>
              <w:pStyle w:val="Compact"/>
              <w:jc w:val="center"/>
            </w:pPr>
            <w:r>
              <w:t xml:space="preserve">45.5</w:t>
            </w:r>
          </w:p>
        </w:tc>
        <w:tc>
          <w:p>
            <w:pPr>
              <w:pStyle w:val="Compact"/>
              <w:jc w:val="center"/>
            </w:pPr>
            <w:r>
              <w:t xml:space="preserve">1.0</w:t>
            </w:r>
            <m:oMath>
              <m:r>
                <m:t>×</m:t>
              </m:r>
            </m:oMath>
          </w:p>
        </w:tc>
      </w:tr>
      <w:tr>
        <w:tc>
          <w:p>
            <w:pPr>
              <w:pStyle w:val="Compact"/>
              <w:jc w:val="left"/>
            </w:pPr>
            <w:r>
              <w:t xml:space="preserve">Standalone DWT–LSTM relay</w:t>
            </w:r>
          </w:p>
        </w:tc>
        <w:tc>
          <w:p>
            <w:pPr>
              <w:pStyle w:val="Compact"/>
              <w:jc w:val="center"/>
            </w:pPr>
            <w:r>
              <w:t xml:space="preserve">28.0</w:t>
            </w:r>
          </w:p>
        </w:tc>
        <w:tc>
          <w:p>
            <w:pPr>
              <w:pStyle w:val="Compact"/>
              <w:jc w:val="center"/>
            </w:pPr>
            <w:r>
              <w:t xml:space="preserve">1.6</w:t>
            </w:r>
            <m:oMath>
              <m:r>
                <m:t>×</m:t>
              </m:r>
            </m:oMath>
            <w:r>
              <w:t xml:space="preserve"> </w:t>
            </w:r>
            <w:r>
              <w:t xml:space="preserve">faster</w:t>
            </w:r>
          </w:p>
        </w:tc>
      </w:tr>
      <w:tr>
        <w:tc>
          <w:p>
            <w:pPr>
              <w:pStyle w:val="Compact"/>
              <w:jc w:val="left"/>
            </w:pPr>
            <w:r>
              <w:t xml:space="preserve">Proposed hybrid relay</w:t>
            </w:r>
          </w:p>
        </w:tc>
        <w:tc>
          <w:p>
            <w:pPr>
              <w:pStyle w:val="Compact"/>
              <w:jc w:val="center"/>
            </w:pPr>
            <w:r>
              <w:t xml:space="preserve">17.2</w:t>
            </w:r>
          </w:p>
        </w:tc>
        <w:tc>
          <w:p>
            <w:pPr>
              <w:pStyle w:val="Compact"/>
              <w:jc w:val="center"/>
            </w:pPr>
            <w:r>
              <w:t xml:space="preserve">2.6</w:t>
            </w:r>
            <m:oMath>
              <m:r>
                <m:t>×</m:t>
              </m:r>
            </m:oMath>
            <w:r>
              <w:t xml:space="preserve"> </w:t>
            </w:r>
            <w:r>
              <w:t xml:space="preserve">faster</w:t>
            </w:r>
          </w:p>
        </w:tc>
      </w:tr>
    </w:tbl>
    <w:bookmarkEnd w:id="155"/>
    <w:p>
      <w:pPr>
        <w:pStyle w:val="Heading3"/>
      </w:pPr>
      <w:bookmarkStart w:id="156" w:name="X72f47ccbba958dbb18bfc2561bb4b4cd0f11040"/>
      <w:r>
        <w:t xml:space="preserve">Per-Category Validation and Before/After Behaviour</w:t>
      </w:r>
      <w:bookmarkEnd w:id="156"/>
    </w:p>
    <w:p>
      <w:pPr>
        <w:pStyle w:val="FirstParagraph"/>
      </w:pPr>
      <w:r>
        <w:t xml:space="preserve">Figure </w:t>
      </w:r>
      <w:hyperlink w:anchor="fig:6.hcm">
        <w:r>
          <w:rPr>
            <w:rStyle w:val="Hyperlink"/>
          </w:rPr>
          <w:t xml:space="preserve">6.9</w:t>
        </w:r>
      </w:hyperlink>
      <w:r>
        <w:t xml:space="preserve"> </w:t>
      </w:r>
      <w:r>
        <w:t xml:space="preserve">shows the hybrid relay’s per-category confusion on a balanced 500-case evaluation (125 per category): the four operating conditions—normal, inrush, internal fault, and external fault—are each resolved without error, confirming that the hybrid trips only on internal faults while blocking the three non-fault categories. The same figure compares fault-clearing times, showing the hybrid relay at 17.2 ms against 28.0 ms for the standalone LSTM relay and 45.5 ms for conventional harmonic restraint. Figure </w:t>
      </w:r>
      <w:hyperlink w:anchor="fig:6.ba">
        <w:r>
          <w:rPr>
            <w:rStyle w:val="Hyperlink"/>
          </w:rPr>
          <w:t xml:space="preserve">6.10</w:t>
        </w:r>
      </w:hyperlink>
      <w:r>
        <w:t xml:space="preserve"> </w:t>
      </w:r>
      <w:r>
        <w:t xml:space="preserve">contrasts behaviour on a stressed case: the conventional standalone 87T relay false-trips during an external fault with</w:t>
      </w:r>
      <w:r>
        <w:t xml:space="preserve"> </w:t>
      </w:r>
      <m:oMath>
        <m:r>
          <m:t>+</m:t>
        </m:r>
        <m:r>
          <m:t>95</m:t>
        </m:r>
        <m:r>
          <m:t>%</m:t>
        </m:r>
      </m:oMath>
      <w:r>
        <w:t xml:space="preserve"> </w:t>
      </w:r>
      <w:r>
        <w:t xml:space="preserve">remanence, deep CT saturation, and 20 dB noise, whereas the hybrid scheme vetoes the false trip while retaining dependability for a genuine internal fault.</w:t>
      </w:r>
    </w:p>
    <w:p>
      <w:pPr>
        <w:pStyle w:val="CaptionedFigure"/>
      </w:pPr>
      <w:bookmarkStart w:id="158" w:name="fig:6.hcm"/>
      <w:r>
        <w:drawing>
          <wp:inline>
            <wp:extent cx="5334000" cy="2428654"/>
            <wp:effectExtent b="0" l="0" r="0" t="0"/>
            <wp:docPr descr="Hybrid relay per-category confusion matrix and fault-clearing-time comparison." title="" id="1" name="Picture"/>
            <a:graphic>
              <a:graphicData uri="http://schemas.openxmlformats.org/drawingml/2006/picture">
                <pic:pic>
                  <pic:nvPicPr>
                    <pic:cNvPr descr="hybrid_cm_time.png" id="0" name="Picture"/>
                    <pic:cNvPicPr>
                      <a:picLocks noChangeArrowheads="1" noChangeAspect="1"/>
                    </pic:cNvPicPr>
                  </pic:nvPicPr>
                  <pic:blipFill>
                    <a:blip r:embed="rId157"/>
                    <a:stretch>
                      <a:fillRect/>
                    </a:stretch>
                  </pic:blipFill>
                  <pic:spPr bwMode="auto">
                    <a:xfrm>
                      <a:off x="0" y="0"/>
                      <a:ext cx="5334000" cy="2428654"/>
                    </a:xfrm>
                    <a:prstGeom prst="rect">
                      <a:avLst/>
                    </a:prstGeom>
                    <a:noFill/>
                    <a:ln w="9525">
                      <a:noFill/>
                      <a:headEnd/>
                      <a:tailEnd/>
                    </a:ln>
                  </pic:spPr>
                </pic:pic>
              </a:graphicData>
            </a:graphic>
          </wp:inline>
        </w:drawing>
      </w:r>
      <w:bookmarkEnd w:id="158"/>
    </w:p>
    <w:p>
      <w:pPr>
        <w:pStyle w:val="ImageCaption"/>
      </w:pPr>
      <w:r>
        <w:t xml:space="preserve">Hybrid relay per-category confusion matrix and fault-clearing-time comparison.</w:t>
      </w:r>
    </w:p>
    <w:p>
      <w:pPr>
        <w:pStyle w:val="CaptionedFigure"/>
      </w:pPr>
      <w:bookmarkStart w:id="160" w:name="fig:6.ba"/>
      <w:r>
        <w:drawing>
          <wp:inline>
            <wp:extent cx="5334000" cy="3529069"/>
            <wp:effectExtent b="0" l="0" r="0" t="0"/>
            <wp:docPr descr="Before/after comparison: conventional standalone 87T versus the hybrid adaptive 87T + DWT–LSTM supervisor." title="" id="1" name="Picture"/>
            <a:graphic>
              <a:graphicData uri="http://schemas.openxmlformats.org/drawingml/2006/picture">
                <pic:pic>
                  <pic:nvPicPr>
                    <pic:cNvPr descr="before_after.png" id="0" name="Picture"/>
                    <pic:cNvPicPr>
                      <a:picLocks noChangeArrowheads="1" noChangeAspect="1"/>
                    </pic:cNvPicPr>
                  </pic:nvPicPr>
                  <pic:blipFill>
                    <a:blip r:embed="rId159"/>
                    <a:stretch>
                      <a:fillRect/>
                    </a:stretch>
                  </pic:blipFill>
                  <pic:spPr bwMode="auto">
                    <a:xfrm>
                      <a:off x="0" y="0"/>
                      <a:ext cx="5334000" cy="3529069"/>
                    </a:xfrm>
                    <a:prstGeom prst="rect">
                      <a:avLst/>
                    </a:prstGeom>
                    <a:noFill/>
                    <a:ln w="9525">
                      <a:noFill/>
                      <a:headEnd/>
                      <a:tailEnd/>
                    </a:ln>
                  </pic:spPr>
                </pic:pic>
              </a:graphicData>
            </a:graphic>
          </wp:inline>
        </w:drawing>
      </w:r>
      <w:bookmarkEnd w:id="160"/>
    </w:p>
    <w:p>
      <w:pPr>
        <w:pStyle w:val="ImageCaption"/>
      </w:pPr>
      <w:r>
        <w:t xml:space="preserve">Before/after comparison: conventional standalone 87T versus the hybrid adaptive 87T + DWT–LSTM supervisor.</w:t>
      </w:r>
    </w:p>
    <w:p>
      <w:pPr>
        <w:pStyle w:val="Heading3"/>
      </w:pPr>
      <w:bookmarkStart w:id="161" w:name="reliability-and-economic-impact"/>
      <w:r>
        <w:t xml:space="preserve">Reliability and Economic Impact</w:t>
      </w:r>
      <w:bookmarkEnd w:id="161"/>
    </w:p>
    <w:p>
      <w:pPr>
        <w:pStyle w:val="FirstParagraph"/>
      </w:pPr>
      <w:r>
        <w:t xml:space="preserve">The protection performance translates into quantifiable reliability and economic benefits. Eliminating false trips removes unnecessary service interruptions and transformer de-energisation cycles; in multi-transformer substations, sympathetic-inrush false trips are a recognised cause of cascading disconnection, so the 100% hybrid security directly improves substation availability. On the dependability side, the 17.2 ms clearing time reduces the through-fault energy</w:t>
      </w:r>
      <w:r>
        <w:t xml:space="preserve"> </w:t>
      </w:r>
      <m:oMath>
        <m:r>
          <m:t>∫</m:t>
        </m:r>
        <m:sSup>
          <m:e>
            <m:r>
              <m:t>i</m:t>
            </m:r>
          </m:e>
          <m:sup>
            <m:r>
              <m:t>2</m:t>
            </m:r>
          </m:sup>
        </m:sSup>
        <m:r>
          <m:t>(</m:t>
        </m:r>
        <m:r>
          <m:t>t</m:t>
        </m:r>
        <m:r>
          <m:t>)</m:t>
        </m:r>
        <m:r>
          <m:t> </m:t>
        </m:r>
        <m:r>
          <m:t>d</m:t>
        </m:r>
        <m:r>
          <m:t>t</m:t>
        </m:r>
      </m:oMath>
      <w:r>
        <w:t xml:space="preserve"> </w:t>
      </w:r>
      <w:r>
        <w:t xml:space="preserve">absorbed by the winding relative to 30–45 ms harmonic-restraint relays, lowering insulation ageing and the mechanical forces that drive winding deformation. For a 300 MVA transmission transformer, avoiding a single major fault escalation or unnecessary outage carries an economic value commonly estimated in the millions of dollars, so even a modest reduction in maloperation frequency yields a favourable cost–benefit balance. Equally important for adoption is interpretability: each of the six features maps to a specific frequency band and phase, the attention weights expose which time steps drive a decision, and the final trip requires the concurrence of a certified classical element—transparency that addresses a principal barrier to machine-learning adoption in safety-critical protection.</w:t>
      </w:r>
    </w:p>
    <w:p>
      <w:pPr>
        <w:pStyle w:val="Heading2"/>
      </w:pPr>
      <w:bookmarkStart w:id="162" w:name="Xf5ded3578e9a9281a493bcb6cc5b07353e96c16"/>
      <w:r>
        <w:t xml:space="preserve">Stress Testing and Out-of-Distribution Robustness</w:t>
      </w:r>
      <w:bookmarkEnd w:id="162"/>
    </w:p>
    <w:p>
      <w:pPr>
        <w:pStyle w:val="FirstParagraph"/>
      </w:pPr>
      <w:r>
        <w:t xml:space="preserve">Figure </w:t>
      </w:r>
      <w:hyperlink w:anchor="fig:6.7">
        <w:r>
          <w:rPr>
            <w:rStyle w:val="Hyperlink"/>
          </w:rPr>
          <w:t xml:space="preserve">6.11</w:t>
        </w:r>
      </w:hyperlink>
      <w:r>
        <w:t xml:space="preserve"> </w:t>
      </w:r>
      <w:r>
        <w:t xml:space="preserve">summarizes operational robustness. Accuracy degrades gracefully with noise (Table </w:t>
      </w:r>
      <w:hyperlink w:anchor="tab:6.12">
        <w:r>
          <w:rPr>
            <w:rStyle w:val="Hyperlink"/>
          </w:rPr>
          <w:t xml:space="preserve">6.7</w:t>
        </w:r>
      </w:hyperlink>
      <w:r>
        <w:t xml:space="preserve">), from 99.3% clean to 98.6% at 20 dB and 97.1% at 0 dB SNR; the DWT half-cycle energy integration provides inherent filtering. Internal-fault recall (Table </w:t>
      </w:r>
      <w:hyperlink w:anchor="tab:6.13">
        <w:r>
          <w:rPr>
            <w:rStyle w:val="Hyperlink"/>
          </w:rPr>
          <w:t xml:space="preserve">6.8</w:t>
        </w:r>
      </w:hyperlink>
      <w:r>
        <w:t xml:space="preserve">) remains</w:t>
      </w:r>
      <w:r>
        <w:t xml:space="preserve"> </w:t>
      </w:r>
      <m:oMath>
        <m:r>
          <m:t>≥</m:t>
        </m:r>
      </m:oMath>
      <w:r>
        <w:t xml:space="preserve">99% up to 20 </w:t>
      </w:r>
      <m:oMath>
        <m:r>
          <m:t>Ω</m:t>
        </m:r>
      </m:oMath>
      <w:r>
        <w:t xml:space="preserve">, declining to 94.4% (50–80 </w:t>
      </w:r>
      <m:oMath>
        <m:r>
          <m:t>Ω</m:t>
        </m:r>
      </m:oMath>
      <w:r>
        <w:t xml:space="preserve">) and 88.0% (</w:t>
      </w:r>
      <m:oMath>
        <m:r>
          <m:t>&gt;</m:t>
        </m:r>
      </m:oMath>
      <w:r>
        <w:t xml:space="preserve">80 </w:t>
      </w:r>
      <m:oMath>
        <m:r>
          <m:t>Ω</m:t>
        </m:r>
      </m:oMath>
      <w:r>
        <w:t xml:space="preserve">), for an overall recall of 99.40%; the hybrid 87T element recovers high-resistance cases.</w:t>
      </w:r>
    </w:p>
    <w:p>
      <w:pPr>
        <w:pStyle w:val="CaptionedFigure"/>
      </w:pPr>
      <w:bookmarkStart w:id="164" w:name="fig:6.7"/>
      <w:r>
        <w:drawing>
          <wp:inline>
            <wp:extent cx="5334000" cy="1722141"/>
            <wp:effectExtent b="0" l="0" r="0" t="0"/>
            <wp:docPr descr="Operational robustness: accuracy vs. SNR, zone-level performance, and cumulative detection rate." title="" id="1" name="Picture"/>
            <a:graphic>
              <a:graphicData uri="http://schemas.openxmlformats.org/drawingml/2006/picture">
                <pic:pic>
                  <pic:nvPicPr>
                    <pic:cNvPr descr="fig_6_7.png" id="0" name="Picture"/>
                    <pic:cNvPicPr>
                      <a:picLocks noChangeArrowheads="1" noChangeAspect="1"/>
                    </pic:cNvPicPr>
                  </pic:nvPicPr>
                  <pic:blipFill>
                    <a:blip r:embed="rId163"/>
                    <a:stretch>
                      <a:fillRect/>
                    </a:stretch>
                  </pic:blipFill>
                  <pic:spPr bwMode="auto">
                    <a:xfrm>
                      <a:off x="0" y="0"/>
                      <a:ext cx="5334000" cy="1722141"/>
                    </a:xfrm>
                    <a:prstGeom prst="rect">
                      <a:avLst/>
                    </a:prstGeom>
                    <a:noFill/>
                    <a:ln w="9525">
                      <a:noFill/>
                      <a:headEnd/>
                      <a:tailEnd/>
                    </a:ln>
                  </pic:spPr>
                </pic:pic>
              </a:graphicData>
            </a:graphic>
          </wp:inline>
        </w:drawing>
      </w:r>
      <w:bookmarkEnd w:id="164"/>
    </w:p>
    <w:p>
      <w:pPr>
        <w:pStyle w:val="ImageCaption"/>
      </w:pPr>
      <w:r>
        <w:t xml:space="preserve">Operational robustness: accuracy vs. SNR, zone-level performance, and cumulative detection rate.</w:t>
      </w:r>
    </w:p>
    <w:p>
      <w:pPr>
        <w:pStyle w:val="CaptionedFigure"/>
      </w:pPr>
      <w:bookmarkStart w:id="166" w:name="fig:6.7b"/>
      <w:r>
        <w:drawing>
          <wp:inline>
            <wp:extent cx="5334000" cy="3331151"/>
            <wp:effectExtent b="0" l="0" r="0" t="0"/>
            <wp:docPr descr="Internal-fault detection-rate heatmap across fault resistance and inception angle." title="" id="1" name="Picture"/>
            <a:graphic>
              <a:graphicData uri="http://schemas.openxmlformats.org/drawingml/2006/picture">
                <pic:pic>
                  <pic:nvPicPr>
                    <pic:cNvPr descr="heatmap.png" id="0" name="Picture"/>
                    <pic:cNvPicPr>
                      <a:picLocks noChangeArrowheads="1" noChangeAspect="1"/>
                    </pic:cNvPicPr>
                  </pic:nvPicPr>
                  <pic:blipFill>
                    <a:blip r:embed="rId165"/>
                    <a:stretch>
                      <a:fillRect/>
                    </a:stretch>
                  </pic:blipFill>
                  <pic:spPr bwMode="auto">
                    <a:xfrm>
                      <a:off x="0" y="0"/>
                      <a:ext cx="5334000" cy="3331151"/>
                    </a:xfrm>
                    <a:prstGeom prst="rect">
                      <a:avLst/>
                    </a:prstGeom>
                    <a:noFill/>
                    <a:ln w="9525">
                      <a:noFill/>
                      <a:headEnd/>
                      <a:tailEnd/>
                    </a:ln>
                  </pic:spPr>
                </pic:pic>
              </a:graphicData>
            </a:graphic>
          </wp:inline>
        </w:drawing>
      </w:r>
      <w:bookmarkEnd w:id="166"/>
    </w:p>
    <w:p>
      <w:pPr>
        <w:pStyle w:val="ImageCaption"/>
      </w:pPr>
      <w:r>
        <w:t xml:space="preserve">Internal-fault detection-rate heatmap across fault resistance and inception angle.</w:t>
      </w:r>
    </w:p>
    <w:bookmarkStart w:id="167" w:name="tab:6.12"/>
    <w:p>
      <w:pPr>
        <w:pStyle w:val="TableCaption"/>
      </w:pPr>
      <w:r>
        <w:t xml:space="preserve">Classification accuracy under additive white Gaussian noise.</w:t>
      </w:r>
    </w:p>
    <w:tbl>
      <w:tblPr>
        <w:tblStyle w:val="Table"/>
        <w:tblW w:type="pct" w:w="0.0"/>
        <w:tblLook w:firstRow="1"/>
        <w:tblCaption w:val="Classification accuracy under additive white Gaussian noise."/>
      </w:tblPr>
      <w:tblGrid/>
      <w:tr>
        <w:trPr>
          <w:cnfStyle w:firstRow="1"/>
        </w:trPr>
        <w:tc>
          <w:tcPr>
            <w:tcBorders>
              <w:bottom w:val="single"/>
            </w:tcBorders>
            <w:vAlign w:val="bottom"/>
          </w:tcPr>
          <w:p>
            <w:pPr>
              <w:pStyle w:val="Compact"/>
              <w:jc w:val="left"/>
            </w:pPr>
            <w:r>
              <w:rPr>
                <w:b/>
              </w:rPr>
              <w:t xml:space="preserve">SNR (dB)</w:t>
            </w:r>
          </w:p>
        </w:tc>
        <w:tc>
          <w:tcPr>
            <w:tcBorders>
              <w:bottom w:val="single"/>
            </w:tcBorders>
            <w:vAlign w:val="bottom"/>
          </w:tcPr>
          <w:p>
            <w:pPr>
              <w:pStyle w:val="Compact"/>
              <w:jc w:val="center"/>
            </w:pPr>
            <w:r>
              <w:t xml:space="preserve">Clean</w:t>
            </w:r>
          </w:p>
        </w:tc>
        <w:tc>
          <w:tcPr>
            <w:tcBorders>
              <w:bottom w:val="single"/>
            </w:tcBorders>
            <w:vAlign w:val="bottom"/>
          </w:tcPr>
          <w:p>
            <w:pPr>
              <w:pStyle w:val="Compact"/>
              <w:jc w:val="center"/>
            </w:pPr>
            <w:r>
              <w:t xml:space="preserve">50</w:t>
            </w:r>
          </w:p>
        </w:tc>
        <w:tc>
          <w:tcPr>
            <w:tcBorders>
              <w:bottom w:val="single"/>
            </w:tcBorders>
            <w:vAlign w:val="bottom"/>
          </w:tcPr>
          <w:p>
            <w:pPr>
              <w:pStyle w:val="Compact"/>
              <w:jc w:val="center"/>
            </w:pPr>
            <w:r>
              <w:t xml:space="preserve">40</w:t>
            </w:r>
          </w:p>
        </w:tc>
        <w:tc>
          <w:tcPr>
            <w:tcBorders>
              <w:bottom w:val="single"/>
            </w:tcBorders>
            <w:vAlign w:val="bottom"/>
          </w:tcPr>
          <w:p>
            <w:pPr>
              <w:pStyle w:val="Compact"/>
              <w:jc w:val="center"/>
            </w:pPr>
            <w:r>
              <w:t xml:space="preserve">30</w:t>
            </w:r>
          </w:p>
        </w:tc>
        <w:tc>
          <w:tcPr>
            <w:tcBorders>
              <w:bottom w:val="single"/>
            </w:tcBorders>
            <w:vAlign w:val="bottom"/>
          </w:tcPr>
          <w:p>
            <w:pPr>
              <w:pStyle w:val="Compact"/>
              <w:jc w:val="center"/>
            </w:pPr>
            <w:r>
              <w:t xml:space="preserve">20</w:t>
            </w:r>
          </w:p>
        </w:tc>
        <w:tc>
          <w:tcPr>
            <w:tcBorders>
              <w:bottom w:val="single"/>
            </w:tcBorders>
            <w:vAlign w:val="bottom"/>
          </w:tcPr>
          <w:p>
            <w:pPr>
              <w:pStyle w:val="Compact"/>
              <w:jc w:val="center"/>
            </w:pPr>
            <w:r>
              <w:t xml:space="preserve">10</w:t>
            </w:r>
          </w:p>
        </w:tc>
        <w:tc>
          <w:tcPr>
            <w:tcBorders>
              <w:bottom w:val="single"/>
            </w:tcBorders>
            <w:vAlign w:val="bottom"/>
          </w:tcPr>
          <w:p>
            <w:pPr>
              <w:pStyle w:val="Compact"/>
              <w:jc w:val="center"/>
            </w:pPr>
            <w:r>
              <w:t xml:space="preserve">0</w:t>
            </w:r>
          </w:p>
        </w:tc>
      </w:tr>
      <w:tr>
        <w:tc>
          <w:p>
            <w:pPr>
              <w:pStyle w:val="Compact"/>
              <w:jc w:val="left"/>
            </w:pPr>
            <w:r>
              <w:rPr>
                <w:b/>
              </w:rPr>
              <w:t xml:space="preserve">Accuracy (%)</w:t>
            </w:r>
          </w:p>
        </w:tc>
        <w:tc>
          <w:p>
            <w:pPr>
              <w:pStyle w:val="Compact"/>
              <w:jc w:val="center"/>
            </w:pPr>
            <w:r>
              <w:t xml:space="preserve">99.3</w:t>
            </w:r>
          </w:p>
        </w:tc>
        <w:tc>
          <w:p>
            <w:pPr>
              <w:pStyle w:val="Compact"/>
              <w:jc w:val="center"/>
            </w:pPr>
            <w:r>
              <w:t xml:space="preserve">99.3</w:t>
            </w:r>
          </w:p>
        </w:tc>
        <w:tc>
          <w:p>
            <w:pPr>
              <w:pStyle w:val="Compact"/>
              <w:jc w:val="center"/>
            </w:pPr>
            <w:r>
              <w:t xml:space="preserve">99.2</w:t>
            </w:r>
          </w:p>
        </w:tc>
        <w:tc>
          <w:p>
            <w:pPr>
              <w:pStyle w:val="Compact"/>
              <w:jc w:val="center"/>
            </w:pPr>
            <w:r>
              <w:t xml:space="preserve">99.0</w:t>
            </w:r>
          </w:p>
        </w:tc>
        <w:tc>
          <w:p>
            <w:pPr>
              <w:pStyle w:val="Compact"/>
              <w:jc w:val="center"/>
            </w:pPr>
            <w:r>
              <w:t xml:space="preserve">98.6</w:t>
            </w:r>
          </w:p>
        </w:tc>
        <w:tc>
          <w:p>
            <w:pPr>
              <w:pStyle w:val="Compact"/>
              <w:jc w:val="center"/>
            </w:pPr>
            <w:r>
              <w:t xml:space="preserve">97.9</w:t>
            </w:r>
          </w:p>
        </w:tc>
        <w:tc>
          <w:p>
            <w:pPr>
              <w:pStyle w:val="Compact"/>
              <w:jc w:val="center"/>
            </w:pPr>
            <w:r>
              <w:t xml:space="preserve">97.1</w:t>
            </w:r>
          </w:p>
        </w:tc>
      </w:tr>
    </w:tbl>
    <w:bookmarkEnd w:id="167"/>
    <w:bookmarkStart w:id="168" w:name="tab:6.13"/>
    <w:p>
      <w:pPr>
        <w:pStyle w:val="TableCaption"/>
      </w:pPr>
      <w:r>
        <w:t xml:space="preserve">Internal-fault detection rate (recall) versus fault-resistance bin.</w:t>
      </w:r>
    </w:p>
    <w:tbl>
      <w:tblPr>
        <w:tblStyle w:val="Table"/>
        <w:tblW w:type="pct" w:w="0.0"/>
        <w:tblLook w:firstRow="1"/>
        <w:tblCaption w:val="Internal-fault detection rate (recall) versus fault-resistance bin."/>
      </w:tblPr>
      <w:tblGrid/>
      <w:tr>
        <w:trPr>
          <w:cnfStyle w:firstRow="1"/>
        </w:trPr>
        <w:tc>
          <w:tcPr>
            <w:tcBorders>
              <w:bottom w:val="single"/>
            </w:tcBorders>
            <w:vAlign w:val="bottom"/>
          </w:tcPr>
          <w:p>
            <w:pPr>
              <w:pStyle w:val="Compact"/>
              <w:jc w:val="left"/>
            </w:pPr>
            <w:r>
              <w:rPr>
                <w:b/>
              </w:rPr>
              <w:t xml:space="preserve">Resistance bin</w:t>
            </w:r>
          </w:p>
        </w:tc>
        <w:tc>
          <w:tcPr>
            <w:tcBorders>
              <w:bottom w:val="single"/>
            </w:tcBorders>
            <w:vAlign w:val="bottom"/>
          </w:tcPr>
          <w:p>
            <w:pPr>
              <w:pStyle w:val="Compact"/>
              <w:jc w:val="center"/>
            </w:pPr>
            <m:oMath>
              <m:r>
                <m:t>&lt;</m:t>
              </m:r>
              <m:r>
                <m:t>1</m:t>
              </m:r>
              <m:r>
                <m:t> </m:t>
              </m:r>
              <m:r>
                <m:t>Ω</m:t>
              </m:r>
            </m:oMath>
          </w:p>
        </w:tc>
        <w:tc>
          <w:tcPr>
            <w:tcBorders>
              <w:bottom w:val="single"/>
            </w:tcBorders>
            <w:vAlign w:val="bottom"/>
          </w:tcPr>
          <w:p>
            <w:pPr>
              <w:pStyle w:val="Compact"/>
              <w:jc w:val="center"/>
            </w:pPr>
            <m:oMath>
              <m:r>
                <m:t>1</m:t>
              </m:r>
            </m:oMath>
            <w:r>
              <w:t xml:space="preserve">–</w:t>
            </w:r>
            <m:oMath>
              <m:r>
                <m:t>5</m:t>
              </m:r>
            </m:oMath>
          </w:p>
        </w:tc>
        <w:tc>
          <w:tcPr>
            <w:tcBorders>
              <w:bottom w:val="single"/>
            </w:tcBorders>
            <w:vAlign w:val="bottom"/>
          </w:tcPr>
          <w:p>
            <w:pPr>
              <w:pStyle w:val="Compact"/>
              <w:jc w:val="center"/>
            </w:pPr>
            <m:oMath>
              <m:r>
                <m:t>5</m:t>
              </m:r>
            </m:oMath>
            <w:r>
              <w:t xml:space="preserve">–</w:t>
            </w:r>
            <m:oMath>
              <m:r>
                <m:t>10</m:t>
              </m:r>
            </m:oMath>
          </w:p>
        </w:tc>
        <w:tc>
          <w:tcPr>
            <w:tcBorders>
              <w:bottom w:val="single"/>
            </w:tcBorders>
            <w:vAlign w:val="bottom"/>
          </w:tcPr>
          <w:p>
            <w:pPr>
              <w:pStyle w:val="Compact"/>
              <w:jc w:val="center"/>
            </w:pPr>
            <m:oMath>
              <m:r>
                <m:t>10</m:t>
              </m:r>
            </m:oMath>
            <w:r>
              <w:t xml:space="preserve">–</w:t>
            </w:r>
            <m:oMath>
              <m:r>
                <m:t>20</m:t>
              </m:r>
            </m:oMath>
          </w:p>
        </w:tc>
        <w:tc>
          <w:tcPr>
            <w:tcBorders>
              <w:bottom w:val="single"/>
            </w:tcBorders>
            <w:vAlign w:val="bottom"/>
          </w:tcPr>
          <w:p>
            <w:pPr>
              <w:pStyle w:val="Compact"/>
              <w:jc w:val="center"/>
            </w:pPr>
            <m:oMath>
              <m:r>
                <m:t>20</m:t>
              </m:r>
            </m:oMath>
            <w:r>
              <w:t xml:space="preserve">–</w:t>
            </w:r>
            <m:oMath>
              <m:r>
                <m:t>50</m:t>
              </m:r>
            </m:oMath>
          </w:p>
        </w:tc>
        <w:tc>
          <w:tcPr>
            <w:tcBorders>
              <w:bottom w:val="single"/>
            </w:tcBorders>
            <w:vAlign w:val="bottom"/>
          </w:tcPr>
          <w:p>
            <w:pPr>
              <w:pStyle w:val="Compact"/>
              <w:jc w:val="center"/>
            </w:pPr>
            <m:oMath>
              <m:r>
                <m:t>50</m:t>
              </m:r>
            </m:oMath>
            <w:r>
              <w:t xml:space="preserve">–</w:t>
            </w:r>
            <m:oMath>
              <m:r>
                <m:t>80</m:t>
              </m:r>
            </m:oMath>
          </w:p>
        </w:tc>
        <w:tc>
          <w:tcPr>
            <w:tcBorders>
              <w:bottom w:val="single"/>
            </w:tcBorders>
            <w:vAlign w:val="bottom"/>
          </w:tcPr>
          <w:p>
            <w:pPr>
              <w:pStyle w:val="Compact"/>
              <w:jc w:val="center"/>
            </w:pPr>
            <m:oMath>
              <m:r>
                <m:t>&gt;</m:t>
              </m:r>
              <m:r>
                <m:t>80</m:t>
              </m:r>
              <m:r>
                <m:t> </m:t>
              </m:r>
              <m:r>
                <m:t>Ω</m:t>
              </m:r>
            </m:oMath>
          </w:p>
        </w:tc>
      </w:tr>
      <w:tr>
        <w:tc>
          <w:p>
            <w:pPr>
              <w:pStyle w:val="Compact"/>
              <w:jc w:val="left"/>
            </w:pPr>
            <w:r>
              <w:rPr>
                <w:b/>
              </w:rPr>
              <w:t xml:space="preserve">Recall (%)</w:t>
            </w:r>
          </w:p>
        </w:tc>
        <w:tc>
          <w:p>
            <w:pPr>
              <w:pStyle w:val="Compact"/>
              <w:jc w:val="center"/>
            </w:pPr>
            <w:r>
              <w:t xml:space="preserve">100.0</w:t>
            </w:r>
          </w:p>
        </w:tc>
        <w:tc>
          <w:p>
            <w:pPr>
              <w:pStyle w:val="Compact"/>
              <w:jc w:val="center"/>
            </w:pPr>
            <w:r>
              <w:t xml:space="preserve">99.8</w:t>
            </w:r>
          </w:p>
        </w:tc>
        <w:tc>
          <w:p>
            <w:pPr>
              <w:pStyle w:val="Compact"/>
              <w:jc w:val="center"/>
            </w:pPr>
            <w:r>
              <w:t xml:space="preserve">99.5</w:t>
            </w:r>
          </w:p>
        </w:tc>
        <w:tc>
          <w:p>
            <w:pPr>
              <w:pStyle w:val="Compact"/>
              <w:jc w:val="center"/>
            </w:pPr>
            <w:r>
              <w:t xml:space="preserve">99.2</w:t>
            </w:r>
          </w:p>
        </w:tc>
        <w:tc>
          <w:p>
            <w:pPr>
              <w:pStyle w:val="Compact"/>
              <w:jc w:val="center"/>
            </w:pPr>
            <w:r>
              <w:t xml:space="preserve">97.6</w:t>
            </w:r>
          </w:p>
        </w:tc>
        <w:tc>
          <w:p>
            <w:pPr>
              <w:pStyle w:val="Compact"/>
              <w:jc w:val="center"/>
            </w:pPr>
            <w:r>
              <w:t xml:space="preserve">94.4</w:t>
            </w:r>
          </w:p>
        </w:tc>
        <w:tc>
          <w:p>
            <w:pPr>
              <w:pStyle w:val="Compact"/>
              <w:jc w:val="center"/>
            </w:pPr>
            <w:r>
              <w:t xml:space="preserve">88.0</w:t>
            </w:r>
          </w:p>
        </w:tc>
      </w:tr>
    </w:tbl>
    <w:bookmarkEnd w:id="168"/>
    <w:p>
      <w:pPr>
        <w:pStyle w:val="Heading2"/>
      </w:pPr>
      <w:bookmarkStart w:id="169" w:name="comparative-benchmarking"/>
      <w:r>
        <w:t xml:space="preserve">Comparative Benchmarking</w:t>
      </w:r>
      <w:bookmarkEnd w:id="169"/>
    </w:p>
    <w:p>
      <w:pPr>
        <w:pStyle w:val="FirstParagraph"/>
      </w:pPr>
      <w:r>
        <w:t xml:space="preserve">Table </w:t>
      </w:r>
      <w:hyperlink w:anchor="tab:6.14">
        <w:r>
          <w:rPr>
            <w:rStyle w:val="Hyperlink"/>
          </w:rPr>
          <w:t xml:space="preserve">6.9</w:t>
        </w:r>
      </w:hyperlink>
      <w:r>
        <w:t xml:space="preserve"> </w:t>
      </w:r>
      <w:r>
        <w:t xml:space="preserve">compares all evaluated methods on the unified dataset. The proposed hybrid is the only method achieving simultaneous 100% dependability, 100% security, and the fastest clearing time (17.2 ms). Conventional methods suffer dependability–security trade-offs, and AI-only methods produce both false negatives and false trips; the hybrid AND gate eliminates both failure modes.</w:t>
      </w:r>
    </w:p>
    <w:bookmarkStart w:id="170" w:name="tab:6.14"/>
    <w:p>
      <w:pPr>
        <w:pStyle w:val="TableCaption"/>
      </w:pPr>
      <w:r>
        <w:t xml:space="preserve">Comprehensive performance comparison of all evaluated methods.</w:t>
      </w:r>
    </w:p>
    <w:tbl>
      <w:tblPr>
        <w:tblStyle w:val="Table"/>
        <w:tblW w:type="pct" w:w="0.0"/>
        <w:tblLook w:firstRow="1"/>
        <w:tblCaption w:val="Comprehensive performance comparison of all evaluated methods."/>
      </w:tblPr>
      <w:tblGrid/>
      <w:tr>
        <w:trPr>
          <w:cnfStyle w:firstRow="1"/>
        </w:trPr>
        <w:tc>
          <w:tcPr>
            <w:tcBorders>
              <w:bottom w:val="single"/>
            </w:tcBorders>
            <w:vAlign w:val="bottom"/>
          </w:tcPr>
          <w:p>
            <w:pPr>
              <w:pStyle w:val="Compact"/>
              <w:jc w:val="left"/>
            </w:pPr>
            <w:r>
              <w:rPr>
                <w:b/>
              </w:rPr>
              <w:t xml:space="preserve">Method</w:t>
            </w:r>
          </w:p>
        </w:tc>
        <w:tc>
          <w:tcPr>
            <w:tcBorders>
              <w:bottom w:val="single"/>
            </w:tcBorders>
            <w:vAlign w:val="bottom"/>
          </w:tcPr>
          <w:p>
            <w:pPr>
              <w:pStyle w:val="Compact"/>
              <w:jc w:val="center"/>
            </w:pPr>
            <w:r>
              <w:rPr>
                <w:b/>
              </w:rPr>
              <w:t xml:space="preserve">Acc.</w:t>
            </w:r>
          </w:p>
        </w:tc>
        <w:tc>
          <w:tcPr>
            <w:tcBorders>
              <w:bottom w:val="single"/>
            </w:tcBorders>
            <w:vAlign w:val="bottom"/>
          </w:tcPr>
          <w:p>
            <w:pPr>
              <w:pStyle w:val="Compact"/>
              <w:jc w:val="center"/>
            </w:pPr>
            <w:r>
              <w:rPr>
                <w:b/>
              </w:rPr>
              <w:t xml:space="preserve">Dep.</w:t>
            </w:r>
          </w:p>
        </w:tc>
        <w:tc>
          <w:tcPr>
            <w:tcBorders>
              <w:bottom w:val="single"/>
            </w:tcBorders>
            <w:vAlign w:val="bottom"/>
          </w:tcPr>
          <w:p>
            <w:pPr>
              <w:pStyle w:val="Compact"/>
              <w:jc w:val="center"/>
            </w:pPr>
            <w:r>
              <w:rPr>
                <w:b/>
              </w:rPr>
              <w:t xml:space="preserve">Sec.</w:t>
            </w:r>
          </w:p>
        </w:tc>
        <w:tc>
          <w:tcPr>
            <w:tcBorders>
              <w:bottom w:val="single"/>
            </w:tcBorders>
            <w:vAlign w:val="bottom"/>
          </w:tcPr>
          <w:p>
            <w:pPr>
              <w:pStyle w:val="Compact"/>
              <w:jc w:val="center"/>
            </w:pPr>
            <w:r>
              <w:rPr>
                <w:b/>
              </w:rPr>
              <w:t xml:space="preserve">FN</w:t>
            </w:r>
          </w:p>
        </w:tc>
        <w:tc>
          <w:tcPr>
            <w:tcBorders>
              <w:bottom w:val="single"/>
            </w:tcBorders>
            <w:vAlign w:val="bottom"/>
          </w:tcPr>
          <w:p>
            <w:pPr>
              <w:pStyle w:val="Compact"/>
              <w:jc w:val="center"/>
            </w:pPr>
            <w:r>
              <w:rPr>
                <w:b/>
              </w:rPr>
              <w:t xml:space="preserve">FP</w:t>
            </w:r>
          </w:p>
        </w:tc>
        <w:tc>
          <w:tcPr>
            <w:tcBorders>
              <w:bottom w:val="single"/>
            </w:tcBorders>
            <w:vAlign w:val="bottom"/>
          </w:tcPr>
          <w:p>
            <w:pPr>
              <w:pStyle w:val="Compact"/>
              <w:jc w:val="center"/>
            </w:pPr>
            <w:r>
              <w:rPr>
                <w:b/>
              </w:rPr>
              <w:t xml:space="preserve">Time (ms)</w:t>
            </w:r>
          </w:p>
        </w:tc>
      </w:tr>
      <w:tr>
        <w:tc>
          <w:p>
            <w:pPr>
              <w:pStyle w:val="Compact"/>
              <w:jc w:val="left"/>
            </w:pPr>
            <w:r>
              <w:t xml:space="preserve">HR (15% threshold)</w:t>
            </w:r>
          </w:p>
        </w:tc>
        <w:tc>
          <w:p>
            <w:pPr>
              <w:pStyle w:val="Compact"/>
              <w:jc w:val="center"/>
            </w:pPr>
            <w:r>
              <w:t xml:space="preserve">93.54</w:t>
            </w:r>
          </w:p>
        </w:tc>
        <w:tc>
          <w:p>
            <w:pPr>
              <w:pStyle w:val="Compact"/>
              <w:jc w:val="center"/>
            </w:pPr>
            <w:r>
              <w:t xml:space="preserve">94.58</w:t>
            </w:r>
          </w:p>
        </w:tc>
        <w:tc>
          <w:p>
            <w:pPr>
              <w:pStyle w:val="Compact"/>
              <w:jc w:val="center"/>
            </w:pPr>
            <w:r>
              <w:t xml:space="preserve">92.92</w:t>
            </w:r>
          </w:p>
        </w:tc>
        <w:tc>
          <w:p>
            <w:pPr>
              <w:pStyle w:val="Compact"/>
              <w:jc w:val="center"/>
            </w:pPr>
            <w:r>
              <w:t xml:space="preserve">26</w:t>
            </w:r>
          </w:p>
        </w:tc>
        <w:tc>
          <w:p>
            <w:pPr>
              <w:pStyle w:val="Compact"/>
              <w:jc w:val="center"/>
            </w:pPr>
            <w:r>
              <w:t xml:space="preserve">102</w:t>
            </w:r>
          </w:p>
        </w:tc>
        <w:tc>
          <w:p>
            <w:pPr>
              <w:pStyle w:val="Compact"/>
              <w:jc w:val="center"/>
            </w:pPr>
            <w:r>
              <w:t xml:space="preserve">38.5</w:t>
            </w:r>
          </w:p>
        </w:tc>
      </w:tr>
      <w:tr>
        <w:tc>
          <w:p>
            <w:pPr>
              <w:pStyle w:val="Compact"/>
              <w:jc w:val="left"/>
            </w:pPr>
            <w:r>
              <w:t xml:space="preserve">HR (cross-blocking)</w:t>
            </w:r>
          </w:p>
        </w:tc>
        <w:tc>
          <w:p>
            <w:pPr>
              <w:pStyle w:val="Compact"/>
              <w:jc w:val="center"/>
            </w:pPr>
            <w:r>
              <w:t xml:space="preserve">95.21</w:t>
            </w:r>
          </w:p>
        </w:tc>
        <w:tc>
          <w:p>
            <w:pPr>
              <w:pStyle w:val="Compact"/>
              <w:jc w:val="center"/>
            </w:pPr>
            <w:r>
              <w:t xml:space="preserve">94.58</w:t>
            </w:r>
          </w:p>
        </w:tc>
        <w:tc>
          <w:p>
            <w:pPr>
              <w:pStyle w:val="Compact"/>
              <w:jc w:val="center"/>
            </w:pPr>
            <w:r>
              <w:t xml:space="preserve">95.42</w:t>
            </w:r>
          </w:p>
        </w:tc>
        <w:tc>
          <w:p>
            <w:pPr>
              <w:pStyle w:val="Compact"/>
              <w:jc w:val="center"/>
            </w:pPr>
            <w:r>
              <w:t xml:space="preserve">26</w:t>
            </w:r>
          </w:p>
        </w:tc>
        <w:tc>
          <w:p>
            <w:pPr>
              <w:pStyle w:val="Compact"/>
              <w:jc w:val="center"/>
            </w:pPr>
            <w:r>
              <w:t xml:space="preserve">70</w:t>
            </w:r>
          </w:p>
        </w:tc>
        <w:tc>
          <w:p>
            <w:pPr>
              <w:pStyle w:val="Compact"/>
              <w:jc w:val="center"/>
            </w:pPr>
            <w:r>
              <w:t xml:space="preserve">38.5</w:t>
            </w:r>
          </w:p>
        </w:tc>
      </w:tr>
      <w:tr>
        <w:tc>
          <w:p>
            <w:pPr>
              <w:pStyle w:val="Compact"/>
              <w:jc w:val="left"/>
            </w:pPr>
            <w:r>
              <w:t xml:space="preserve">Wavelet-ANN (36 feat.)</w:t>
            </w:r>
          </w:p>
        </w:tc>
        <w:tc>
          <w:p>
            <w:pPr>
              <w:pStyle w:val="Compact"/>
              <w:jc w:val="center"/>
            </w:pPr>
            <w:r>
              <w:t xml:space="preserve">98.65</w:t>
            </w:r>
          </w:p>
        </w:tc>
        <w:tc>
          <w:p>
            <w:pPr>
              <w:pStyle w:val="Compact"/>
              <w:jc w:val="center"/>
            </w:pPr>
            <w:r>
              <w:t xml:space="preserve">99.79</w:t>
            </w:r>
          </w:p>
        </w:tc>
        <w:tc>
          <w:p>
            <w:pPr>
              <w:pStyle w:val="Compact"/>
              <w:jc w:val="center"/>
            </w:pPr>
            <w:r>
              <w:t xml:space="preserve">98.13</w:t>
            </w:r>
          </w:p>
        </w:tc>
        <w:tc>
          <w:p>
            <w:pPr>
              <w:pStyle w:val="Compact"/>
              <w:jc w:val="center"/>
            </w:pPr>
            <w:r>
              <w:t xml:space="preserve">1</w:t>
            </w:r>
          </w:p>
        </w:tc>
        <w:tc>
          <w:p>
            <w:pPr>
              <w:pStyle w:val="Compact"/>
              <w:jc w:val="center"/>
            </w:pPr>
            <w:r>
              <w:t xml:space="preserve">20</w:t>
            </w:r>
          </w:p>
        </w:tc>
        <w:tc>
          <w:p>
            <w:pPr>
              <w:pStyle w:val="Compact"/>
              <w:jc w:val="center"/>
            </w:pPr>
            <w:r>
              <w:t xml:space="preserve">0.18</w:t>
            </w:r>
          </w:p>
        </w:tc>
      </w:tr>
      <w:tr>
        <w:tc>
          <w:p>
            <w:pPr>
              <w:pStyle w:val="Compact"/>
              <w:jc w:val="left"/>
            </w:pPr>
            <w:r>
              <w:t xml:space="preserve">Wavelet-ANN (6 feat.)</w:t>
            </w:r>
          </w:p>
        </w:tc>
        <w:tc>
          <w:p>
            <w:pPr>
              <w:pStyle w:val="Compact"/>
              <w:jc w:val="center"/>
            </w:pPr>
            <w:r>
              <w:t xml:space="preserve">96.56</w:t>
            </w:r>
          </w:p>
        </w:tc>
        <w:tc>
          <w:p>
            <w:pPr>
              <w:pStyle w:val="Compact"/>
              <w:jc w:val="center"/>
            </w:pPr>
            <w:r>
              <w:t xml:space="preserve">99.17</w:t>
            </w:r>
          </w:p>
        </w:tc>
        <w:tc>
          <w:p>
            <w:pPr>
              <w:pStyle w:val="Compact"/>
              <w:jc w:val="center"/>
            </w:pPr>
            <w:r>
              <w:t xml:space="preserve">95.42</w:t>
            </w:r>
          </w:p>
        </w:tc>
        <w:tc>
          <w:p>
            <w:pPr>
              <w:pStyle w:val="Compact"/>
              <w:jc w:val="center"/>
            </w:pPr>
            <w:r>
              <w:t xml:space="preserve">4</w:t>
            </w:r>
          </w:p>
        </w:tc>
        <w:tc>
          <w:p>
            <w:pPr>
              <w:pStyle w:val="Compact"/>
              <w:jc w:val="center"/>
            </w:pPr>
            <w:r>
              <w:t xml:space="preserve">42</w:t>
            </w:r>
          </w:p>
        </w:tc>
        <w:tc>
          <w:p>
            <w:pPr>
              <w:pStyle w:val="Compact"/>
              <w:jc w:val="center"/>
            </w:pPr>
            <w:r>
              <w:t xml:space="preserve">0.12</w:t>
            </w:r>
          </w:p>
        </w:tc>
      </w:tr>
      <w:tr>
        <w:tc>
          <w:p>
            <w:pPr>
              <w:pStyle w:val="Compact"/>
              <w:jc w:val="left"/>
            </w:pPr>
            <w:r>
              <w:t xml:space="preserve">Wavelet-SVM (RBF)</w:t>
            </w:r>
          </w:p>
        </w:tc>
        <w:tc>
          <w:p>
            <w:pPr>
              <w:pStyle w:val="Compact"/>
              <w:jc w:val="center"/>
            </w:pPr>
            <w:r>
              <w:t xml:space="preserve">98.23</w:t>
            </w:r>
          </w:p>
        </w:tc>
        <w:tc>
          <w:p>
            <w:pPr>
              <w:pStyle w:val="Compact"/>
              <w:jc w:val="center"/>
            </w:pPr>
            <w:r>
              <w:t xml:space="preserve">99.17</w:t>
            </w:r>
          </w:p>
        </w:tc>
        <w:tc>
          <w:p>
            <w:pPr>
              <w:pStyle w:val="Compact"/>
              <w:jc w:val="center"/>
            </w:pPr>
            <w:r>
              <w:t xml:space="preserve">97.92</w:t>
            </w:r>
          </w:p>
        </w:tc>
        <w:tc>
          <w:p>
            <w:pPr>
              <w:pStyle w:val="Compact"/>
              <w:jc w:val="center"/>
            </w:pPr>
            <w:r>
              <w:t xml:space="preserve">4</w:t>
            </w:r>
          </w:p>
        </w:tc>
        <w:tc>
          <w:p>
            <w:pPr>
              <w:pStyle w:val="Compact"/>
              <w:jc w:val="center"/>
            </w:pPr>
            <w:r>
              <w:t xml:space="preserve">29</w:t>
            </w:r>
          </w:p>
        </w:tc>
        <w:tc>
          <w:p>
            <w:pPr>
              <w:pStyle w:val="Compact"/>
              <w:jc w:val="center"/>
            </w:pPr>
            <w:r>
              <w:t xml:space="preserve">0.08</w:t>
            </w:r>
          </w:p>
        </w:tc>
      </w:tr>
      <w:tr>
        <w:tc>
          <w:p>
            <w:pPr>
              <w:pStyle w:val="Compact"/>
              <w:jc w:val="left"/>
            </w:pPr>
            <w:r>
              <w:t xml:space="preserve">Wavelet-CNN</w:t>
            </w:r>
          </w:p>
        </w:tc>
        <w:tc>
          <w:p>
            <w:pPr>
              <w:pStyle w:val="Compact"/>
              <w:jc w:val="center"/>
            </w:pPr>
            <w:r>
              <w:t xml:space="preserve">98.85</w:t>
            </w:r>
          </w:p>
        </w:tc>
        <w:tc>
          <w:p>
            <w:pPr>
              <w:pStyle w:val="Compact"/>
              <w:jc w:val="center"/>
            </w:pPr>
            <w:r>
              <w:t xml:space="preserve">99.58</w:t>
            </w:r>
          </w:p>
        </w:tc>
        <w:tc>
          <w:p>
            <w:pPr>
              <w:pStyle w:val="Compact"/>
              <w:jc w:val="center"/>
            </w:pPr>
            <w:r>
              <w:t xml:space="preserve">98.54</w:t>
            </w:r>
          </w:p>
        </w:tc>
        <w:tc>
          <w:p>
            <w:pPr>
              <w:pStyle w:val="Compact"/>
              <w:jc w:val="center"/>
            </w:pPr>
            <w:r>
              <w:t xml:space="preserve">2</w:t>
            </w:r>
          </w:p>
        </w:tc>
        <w:tc>
          <w:p>
            <w:pPr>
              <w:pStyle w:val="Compact"/>
              <w:jc w:val="center"/>
            </w:pPr>
            <w:r>
              <w:t xml:space="preserve">15</w:t>
            </w:r>
          </w:p>
        </w:tc>
        <w:tc>
          <w:p>
            <w:pPr>
              <w:pStyle w:val="Compact"/>
              <w:jc w:val="center"/>
            </w:pPr>
            <w:r>
              <w:t xml:space="preserve">0.35</w:t>
            </w:r>
          </w:p>
        </w:tc>
      </w:tr>
      <w:tr>
        <w:tc>
          <w:p>
            <w:pPr>
              <w:pStyle w:val="Compact"/>
              <w:jc w:val="left"/>
            </w:pPr>
            <w:r>
              <w:t xml:space="preserve">Wavelet-PNN</w:t>
            </w:r>
          </w:p>
        </w:tc>
        <w:tc>
          <w:p>
            <w:pPr>
              <w:pStyle w:val="Compact"/>
              <w:jc w:val="center"/>
            </w:pPr>
            <w:r>
              <w:t xml:space="preserve">97.44</w:t>
            </w:r>
          </w:p>
        </w:tc>
        <w:tc>
          <w:p>
            <w:pPr>
              <w:pStyle w:val="Compact"/>
              <w:jc w:val="center"/>
            </w:pPr>
            <w:r>
              <w:t xml:space="preserve">98.75</w:t>
            </w:r>
          </w:p>
        </w:tc>
        <w:tc>
          <w:p>
            <w:pPr>
              <w:pStyle w:val="Compact"/>
              <w:jc w:val="center"/>
            </w:pPr>
            <w:r>
              <w:t xml:space="preserve">97.08</w:t>
            </w:r>
          </w:p>
        </w:tc>
        <w:tc>
          <w:p>
            <w:pPr>
              <w:pStyle w:val="Compact"/>
              <w:jc w:val="center"/>
            </w:pPr>
            <w:r>
              <w:t xml:space="preserve">6</w:t>
            </w:r>
          </w:p>
        </w:tc>
        <w:tc>
          <w:p>
            <w:pPr>
              <w:pStyle w:val="Compact"/>
              <w:jc w:val="center"/>
            </w:pPr>
            <w:r>
              <w:t xml:space="preserve">38</w:t>
            </w:r>
          </w:p>
        </w:tc>
        <w:tc>
          <w:p>
            <w:pPr>
              <w:pStyle w:val="Compact"/>
              <w:jc w:val="center"/>
            </w:pPr>
            <w:r>
              <w:t xml:space="preserve">0.06</w:t>
            </w:r>
          </w:p>
        </w:tc>
      </w:tr>
      <w:tr>
        <w:tc>
          <w:p>
            <w:pPr>
              <w:pStyle w:val="Compact"/>
              <w:jc w:val="left"/>
            </w:pPr>
            <w:r>
              <w:t xml:space="preserve">Standalone 87T</w:t>
            </w:r>
          </w:p>
        </w:tc>
        <w:tc>
          <w:p>
            <w:pPr>
              <w:pStyle w:val="Compact"/>
              <w:jc w:val="center"/>
            </w:pPr>
            <w:r>
              <w:t xml:space="preserve">95.83</w:t>
            </w:r>
          </w:p>
        </w:tc>
        <w:tc>
          <w:p>
            <w:pPr>
              <w:pStyle w:val="Compact"/>
              <w:jc w:val="center"/>
            </w:pPr>
            <w:r>
              <w:t xml:space="preserve">96.25</w:t>
            </w:r>
          </w:p>
        </w:tc>
        <w:tc>
          <w:p>
            <w:pPr>
              <w:pStyle w:val="Compact"/>
              <w:jc w:val="center"/>
            </w:pPr>
            <w:r>
              <w:t xml:space="preserve">95.63</w:t>
            </w:r>
          </w:p>
        </w:tc>
        <w:tc>
          <w:p>
            <w:pPr>
              <w:pStyle w:val="Compact"/>
              <w:jc w:val="center"/>
            </w:pPr>
            <w:r>
              <w:t xml:space="preserve">18</w:t>
            </w:r>
          </w:p>
        </w:tc>
        <w:tc>
          <w:p>
            <w:pPr>
              <w:pStyle w:val="Compact"/>
              <w:jc w:val="center"/>
            </w:pPr>
            <w:r>
              <w:t xml:space="preserve">62</w:t>
            </w:r>
          </w:p>
        </w:tc>
        <w:tc>
          <w:p>
            <w:pPr>
              <w:pStyle w:val="Compact"/>
              <w:jc w:val="center"/>
            </w:pPr>
            <w:r>
              <w:t xml:space="preserve">0.10</w:t>
            </w:r>
          </w:p>
        </w:tc>
      </w:tr>
      <w:tr>
        <w:tc>
          <w:p>
            <w:pPr>
              <w:pStyle w:val="Compact"/>
              <w:jc w:val="left"/>
            </w:pPr>
            <w:r>
              <w:t xml:space="preserve">Standalone 87T (optimized)</w:t>
            </w:r>
          </w:p>
        </w:tc>
        <w:tc>
          <w:p>
            <w:pPr>
              <w:pStyle w:val="Compact"/>
              <w:jc w:val="center"/>
            </w:pPr>
            <w:r>
              <w:t xml:space="preserve">96.67</w:t>
            </w:r>
          </w:p>
        </w:tc>
        <w:tc>
          <w:p>
            <w:pPr>
              <w:pStyle w:val="Compact"/>
              <w:jc w:val="center"/>
            </w:pPr>
            <w:r>
              <w:t xml:space="preserve">97.08</w:t>
            </w:r>
          </w:p>
        </w:tc>
        <w:tc>
          <w:p>
            <w:pPr>
              <w:pStyle w:val="Compact"/>
              <w:jc w:val="center"/>
            </w:pPr>
            <w:r>
              <w:t xml:space="preserve">96.46</w:t>
            </w:r>
          </w:p>
        </w:tc>
        <w:tc>
          <w:p>
            <w:pPr>
              <w:pStyle w:val="Compact"/>
              <w:jc w:val="center"/>
            </w:pPr>
            <w:r>
              <w:t xml:space="preserve">14</w:t>
            </w:r>
          </w:p>
        </w:tc>
        <w:tc>
          <w:p>
            <w:pPr>
              <w:pStyle w:val="Compact"/>
              <w:jc w:val="center"/>
            </w:pPr>
            <w:r>
              <w:t xml:space="preserve">51</w:t>
            </w:r>
          </w:p>
        </w:tc>
        <w:tc>
          <w:p>
            <w:pPr>
              <w:pStyle w:val="Compact"/>
              <w:jc w:val="center"/>
            </w:pPr>
            <w:r>
              <w:t xml:space="preserve">0.10</w:t>
            </w:r>
          </w:p>
        </w:tc>
      </w:tr>
      <w:tr>
        <w:tc>
          <w:p>
            <w:pPr>
              <w:pStyle w:val="Compact"/>
              <w:jc w:val="left"/>
            </w:pPr>
            <w:r>
              <w:t xml:space="preserve">Standalone DWT–LSTM</w:t>
            </w:r>
          </w:p>
        </w:tc>
        <w:tc>
          <w:p>
            <w:pPr>
              <w:pStyle w:val="Compact"/>
              <w:jc w:val="center"/>
            </w:pPr>
            <w:r>
              <w:t xml:space="preserve">98.89</w:t>
            </w:r>
          </w:p>
        </w:tc>
        <w:tc>
          <w:p>
            <w:pPr>
              <w:pStyle w:val="Compact"/>
              <w:jc w:val="center"/>
            </w:pPr>
            <w:r>
              <w:t xml:space="preserve">99.40</w:t>
            </w:r>
          </w:p>
        </w:tc>
        <w:tc>
          <w:p>
            <w:pPr>
              <w:pStyle w:val="Compact"/>
              <w:jc w:val="center"/>
            </w:pPr>
            <w:r>
              <w:t xml:space="preserve">98.23</w:t>
            </w:r>
          </w:p>
        </w:tc>
        <w:tc>
          <w:p>
            <w:pPr>
              <w:pStyle w:val="Compact"/>
              <w:jc w:val="center"/>
            </w:pPr>
            <w:r>
              <w:t xml:space="preserve">6</w:t>
            </w:r>
          </w:p>
        </w:tc>
        <w:tc>
          <w:p>
            <w:pPr>
              <w:pStyle w:val="Compact"/>
              <w:jc w:val="center"/>
            </w:pPr>
            <w:r>
              <w:t xml:space="preserve">14</w:t>
            </w:r>
          </w:p>
        </w:tc>
        <w:tc>
          <w:p>
            <w:pPr>
              <w:pStyle w:val="Compact"/>
              <w:jc w:val="center"/>
            </w:pPr>
            <w:r>
              <w:t xml:space="preserve">0.44</w:t>
            </w:r>
          </w:p>
        </w:tc>
      </w:tr>
      <w:tr>
        <w:tc>
          <w:p>
            <w:pPr>
              <w:pStyle w:val="Compact"/>
              <w:jc w:val="left"/>
            </w:pPr>
            <w:r>
              <w:rPr>
                <w:b/>
              </w:rPr>
              <w:t xml:space="preserve">Proposed Hybrid</w:t>
            </w:r>
          </w:p>
        </w:tc>
        <w:tc>
          <w:p>
            <w:pPr>
              <w:pStyle w:val="Compact"/>
              <w:jc w:val="center"/>
            </w:pPr>
            <w:r>
              <w:rPr>
                <w:b/>
              </w:rPr>
              <w:t xml:space="preserve">100.00</w:t>
            </w:r>
          </w:p>
        </w:tc>
        <w:tc>
          <w:p>
            <w:pPr>
              <w:pStyle w:val="Compact"/>
              <w:jc w:val="center"/>
            </w:pPr>
            <w:r>
              <w:rPr>
                <w:b/>
              </w:rPr>
              <w:t xml:space="preserve">100.00</w:t>
            </w:r>
          </w:p>
        </w:tc>
        <w:tc>
          <w:p>
            <w:pPr>
              <w:pStyle w:val="Compact"/>
              <w:jc w:val="center"/>
            </w:pPr>
            <w:r>
              <w:rPr>
                <w:b/>
              </w:rPr>
              <w:t xml:space="preserve">100.00</w:t>
            </w:r>
          </w:p>
        </w:tc>
        <w:tc>
          <w:p>
            <w:pPr>
              <w:pStyle w:val="Compact"/>
              <w:jc w:val="center"/>
            </w:pPr>
            <w:r>
              <w:rPr>
                <w:b/>
              </w:rPr>
              <w:t xml:space="preserve">0</w:t>
            </w:r>
          </w:p>
        </w:tc>
        <w:tc>
          <w:p>
            <w:pPr>
              <w:pStyle w:val="Compact"/>
              <w:jc w:val="center"/>
            </w:pPr>
            <w:r>
              <w:rPr>
                <w:b/>
              </w:rPr>
              <w:t xml:space="preserve">0</w:t>
            </w:r>
          </w:p>
        </w:tc>
        <w:tc>
          <w:p>
            <w:pPr>
              <w:pStyle w:val="Compact"/>
              <w:jc w:val="center"/>
            </w:pPr>
            <w:r>
              <w:t xml:space="preserve">17.2</w:t>
            </w:r>
          </w:p>
        </w:tc>
      </w:tr>
    </w:tbl>
    <w:bookmarkEnd w:id="170"/>
    <w:p>
      <w:pPr>
        <w:pStyle w:val="Heading2"/>
      </w:pPr>
      <w:bookmarkStart w:id="171" w:name="X63d13a5f19feb5c5975a7101d82baa2a7d9b233"/>
      <w:r>
        <w:t xml:space="preserve">Detailed Comparison with Prior Published Work</w:t>
      </w:r>
      <w:bookmarkEnd w:id="171"/>
    </w:p>
    <w:p>
      <w:pPr>
        <w:pStyle w:val="FirstParagraph"/>
      </w:pPr>
      <w:r>
        <w:t xml:space="preserve">Table </w:t>
      </w:r>
      <w:hyperlink w:anchor="tab:6.15">
        <w:r>
          <w:rPr>
            <w:rStyle w:val="Hyperlink"/>
          </w:rPr>
          <w:t xml:space="preserve">6.10</w:t>
        </w:r>
      </w:hyperlink>
      <w:r>
        <w:t xml:space="preserve"> </w:t>
      </w:r>
      <w:r>
        <w:t xml:space="preserve">broadens the comparison to the cited literature, examining capabilities that determine field viability. Wavelet-plus-shallow-learning studies [6,9,13,18,19,20] treat each window independently and do not integrate with a conventional relay; the LSTM-based works [1,2,3,23] model temporal dependencies and report the highest standalone accuracies but issue the trip from the network alone with a static threshold and unquantified security. The proposed framework is the only scheme that simultaneously provides explicit temporal modeling, an adaptive threshold, a quantified security figure, and a supervisory handshake with a certified 87T element.</w:t>
      </w:r>
    </w:p>
    <w:bookmarkStart w:id="172" w:name="tab:6.15"/>
    <w:p>
      <w:pPr>
        <w:pStyle w:val="TableCaption"/>
      </w:pPr>
      <w:r>
        <w:t xml:space="preserve">Capability-level comparison against representative prior studies (</w:t>
      </w:r>
      <m:oMath>
        <m:r>
          <m:t>✓</m:t>
        </m:r>
      </m:oMath>
      <w:r>
        <w:t xml:space="preserve"> </w:t>
      </w:r>
      <w:r>
        <w:t xml:space="preserve">present,</w:t>
      </w:r>
      <w:r>
        <w:t xml:space="preserve"> </w:t>
      </w:r>
      <m:oMath>
        <m:r>
          <m:t>×</m:t>
        </m:r>
      </m:oMath>
      <w:r>
        <w:t xml:space="preserve"> </w:t>
      </w:r>
      <w:r>
        <w:t xml:space="preserve">absent,</w:t>
      </w:r>
      <w:r>
        <w:t xml:space="preserve"> </w:t>
      </w:r>
      <m:oMath>
        <m:r>
          <m:t>∘</m:t>
        </m:r>
      </m:oMath>
      <w:r>
        <w:t xml:space="preserve"> </w:t>
      </w:r>
      <w:r>
        <w:t xml:space="preserve">partial).</w:t>
      </w:r>
    </w:p>
    <w:tbl>
      <w:tblPr>
        <w:tblStyle w:val="Table"/>
        <w:tblW w:type="pct" w:w="0.0"/>
        <w:tblLook w:firstRow="1"/>
        <w:tblCaption w:val="Capability-level comparison against representative prior studies (\checkmark present, \times absent, \circ partial)."/>
      </w:tblPr>
      <w:tblGrid/>
      <w:tr>
        <w:trPr>
          <w:cnfStyle w:firstRow="1"/>
        </w:trPr>
        <w:tc>
          <w:tcPr>
            <w:tcBorders>
              <w:bottom w:val="single"/>
            </w:tcBorders>
            <w:vAlign w:val="bottom"/>
          </w:tcPr>
          <w:p>
            <w:pPr>
              <w:pStyle w:val="Compact"/>
              <w:jc w:val="center"/>
            </w:pPr>
            <w:r>
              <w:rPr>
                <w:b/>
              </w:rPr>
              <w:t xml:space="preserve">Ref.</w:t>
            </w:r>
          </w:p>
        </w:tc>
        <w:tc>
          <w:tcPr>
            <w:tcBorders>
              <w:bottom w:val="single"/>
            </w:tcBorders>
            <w:vAlign w:val="bottom"/>
          </w:tcPr>
          <w:p>
            <w:pPr>
              <w:pStyle w:val="Compact"/>
              <w:jc w:val="left"/>
            </w:pPr>
            <w:r>
              <w:rPr>
                <w:b/>
              </w:rPr>
              <w:t xml:space="preserve">Method</w:t>
            </w:r>
          </w:p>
        </w:tc>
        <w:tc>
          <w:tcPr>
            <w:tcBorders>
              <w:bottom w:val="single"/>
            </w:tcBorders>
            <w:vAlign w:val="bottom"/>
          </w:tcPr>
          <w:p>
            <w:pPr>
              <w:pStyle w:val="Compact"/>
              <w:jc w:val="left"/>
            </w:pPr>
            <w:r>
              <w:rPr>
                <w:b/>
              </w:rPr>
              <w:t xml:space="preserve">Temporal model</w:t>
            </w:r>
          </w:p>
        </w:tc>
        <w:tc>
          <w:tcPr>
            <w:tcBorders>
              <w:bottom w:val="single"/>
            </w:tcBorders>
            <w:vAlign w:val="bottom"/>
          </w:tcPr>
          <w:p>
            <w:pPr>
              <w:pStyle w:val="Compact"/>
              <w:jc w:val="left"/>
            </w:pPr>
            <w:r>
              <w:rPr>
                <w:b/>
              </w:rPr>
              <w:t xml:space="preserve">Adaptive thresh.</w:t>
            </w:r>
          </w:p>
        </w:tc>
        <w:tc>
          <w:tcPr>
            <w:tcBorders>
              <w:bottom w:val="single"/>
            </w:tcBorders>
            <w:vAlign w:val="bottom"/>
          </w:tcPr>
          <w:p>
            <w:pPr>
              <w:pStyle w:val="Compact"/>
              <w:jc w:val="left"/>
            </w:pPr>
            <w:r>
              <w:rPr>
                <w:b/>
              </w:rPr>
              <w:t xml:space="preserve">Security quant.</w:t>
            </w:r>
          </w:p>
        </w:tc>
        <w:tc>
          <w:tcPr>
            <w:tcBorders>
              <w:bottom w:val="single"/>
            </w:tcBorders>
            <w:vAlign w:val="bottom"/>
          </w:tcPr>
          <w:p>
            <w:pPr>
              <w:pStyle w:val="Compact"/>
              <w:jc w:val="left"/>
            </w:pPr>
            <w:r>
              <w:rPr>
                <w:b/>
              </w:rPr>
              <w:t xml:space="preserve">87T hybrid</w:t>
            </w:r>
          </w:p>
        </w:tc>
        <w:tc>
          <w:tcPr>
            <w:tcBorders>
              <w:bottom w:val="single"/>
            </w:tcBorders>
            <w:vAlign w:val="bottom"/>
          </w:tcPr>
          <w:p>
            <w:pPr>
              <w:pStyle w:val="Compact"/>
              <w:jc w:val="left"/>
            </w:pPr>
            <w:r>
              <w:rPr>
                <w:b/>
              </w:rPr>
              <w:t xml:space="preserve">Acc. (%)</w:t>
            </w:r>
          </w:p>
        </w:tc>
      </w:tr>
      <w:tr>
        <w:tc>
          <w:p>
            <w:pPr>
              <w:pStyle w:val="Compact"/>
              <w:jc w:val="center"/>
            </w:pPr>
            <w:r>
              <w:t xml:space="preserve">[6]</w:t>
            </w:r>
          </w:p>
        </w:tc>
        <w:tc>
          <w:p>
            <w:pPr>
              <w:pStyle w:val="Compact"/>
              <w:jc w:val="left"/>
            </w:pPr>
            <w:r>
              <w:t xml:space="preserve">db4 DWT + thresholds</w:t>
            </w:r>
          </w:p>
        </w:tc>
        <w:tc>
          <w:p>
            <w:pPr>
              <w:pStyle w:val="Compact"/>
              <w:jc w:val="left"/>
            </w:pPr>
            <m:oMath>
              <m:r>
                <m:t>×</m:t>
              </m:r>
            </m:oMath>
          </w:p>
        </w:tc>
        <w:tc>
          <w:p>
            <w:pPr>
              <w:pStyle w:val="Compact"/>
              <w:jc w:val="left"/>
            </w:pPr>
            <m:oMath>
              <m:r>
                <m:t>×</m:t>
              </m:r>
            </m:oMath>
          </w:p>
        </w:tc>
        <w:tc>
          <w:p>
            <w:pPr>
              <w:pStyle w:val="Compact"/>
              <w:jc w:val="left"/>
            </w:pPr>
            <m:oMath>
              <m:r>
                <m:t>×</m:t>
              </m:r>
            </m:oMath>
          </w:p>
        </w:tc>
        <w:tc>
          <w:p>
            <w:pPr>
              <w:pStyle w:val="Compact"/>
              <w:jc w:val="left"/>
            </w:pPr>
            <m:oMath>
              <m:r>
                <m:t>×</m:t>
              </m:r>
            </m:oMath>
          </w:p>
        </w:tc>
        <w:tc>
          <w:p>
            <w:pPr>
              <w:pStyle w:val="Compact"/>
              <w:jc w:val="left"/>
            </w:pPr>
            <m:oMath>
              <m:r>
                <m:t>∼</m:t>
              </m:r>
            </m:oMath>
            <w:r>
              <w:t xml:space="preserve">97</w:t>
            </w:r>
          </w:p>
        </w:tc>
      </w:tr>
      <w:tr>
        <w:tc>
          <w:p>
            <w:pPr>
              <w:pStyle w:val="Compact"/>
              <w:jc w:val="center"/>
            </w:pPr>
            <w:r>
              <w:t xml:space="preserve">[18]</w:t>
            </w:r>
          </w:p>
        </w:tc>
        <w:tc>
          <w:p>
            <w:pPr>
              <w:pStyle w:val="Compact"/>
              <w:jc w:val="left"/>
            </w:pPr>
            <w:r>
              <w:t xml:space="preserve">Wavelet stats + ANN</w:t>
            </w:r>
          </w:p>
        </w:tc>
        <w:tc>
          <w:p>
            <w:pPr>
              <w:pStyle w:val="Compact"/>
              <w:jc w:val="left"/>
            </w:pPr>
            <m:oMath>
              <m:r>
                <m:t>×</m:t>
              </m:r>
            </m:oMath>
          </w:p>
        </w:tc>
        <w:tc>
          <w:p>
            <w:pPr>
              <w:pStyle w:val="Compact"/>
              <w:jc w:val="left"/>
            </w:pPr>
            <m:oMath>
              <m:r>
                <m:t>×</m:t>
              </m:r>
            </m:oMath>
          </w:p>
        </w:tc>
        <w:tc>
          <w:p>
            <w:pPr>
              <w:pStyle w:val="Compact"/>
              <w:jc w:val="left"/>
            </w:pPr>
            <m:oMath>
              <m:r>
                <m:t>∘</m:t>
              </m:r>
            </m:oMath>
          </w:p>
        </w:tc>
        <w:tc>
          <w:p>
            <w:pPr>
              <w:pStyle w:val="Compact"/>
              <w:jc w:val="left"/>
            </w:pPr>
            <m:oMath>
              <m:r>
                <m:t>×</m:t>
              </m:r>
            </m:oMath>
          </w:p>
        </w:tc>
        <w:tc>
          <w:p/>
        </w:tc>
      </w:tr>
      <w:tr>
        <w:tc>
          <w:p>
            <w:pPr>
              <w:pStyle w:val="Compact"/>
              <w:jc w:val="center"/>
            </w:pPr>
            <w:r>
              <w:t xml:space="preserve">[13]</w:t>
            </w:r>
          </w:p>
        </w:tc>
        <w:tc>
          <w:p>
            <w:pPr>
              <w:pStyle w:val="Compact"/>
              <w:jc w:val="left"/>
            </w:pPr>
            <w:r>
              <w:t xml:space="preserve">Wavelet + SVM</w:t>
            </w:r>
          </w:p>
        </w:tc>
        <w:tc>
          <w:p>
            <w:pPr>
              <w:pStyle w:val="Compact"/>
              <w:jc w:val="left"/>
            </w:pPr>
            <m:oMath>
              <m:r>
                <m:t>×</m:t>
              </m:r>
            </m:oMath>
          </w:p>
        </w:tc>
        <w:tc>
          <w:p>
            <w:pPr>
              <w:pStyle w:val="Compact"/>
              <w:jc w:val="left"/>
            </w:pPr>
            <m:oMath>
              <m:r>
                <m:t>×</m:t>
              </m:r>
            </m:oMath>
          </w:p>
        </w:tc>
        <w:tc>
          <w:p>
            <w:pPr>
              <w:pStyle w:val="Compact"/>
              <w:jc w:val="left"/>
            </w:pPr>
            <m:oMath>
              <m:r>
                <m:t>∘</m:t>
              </m:r>
            </m:oMath>
          </w:p>
        </w:tc>
        <w:tc>
          <w:p>
            <w:pPr>
              <w:pStyle w:val="Compact"/>
              <w:jc w:val="left"/>
            </w:pPr>
            <m:oMath>
              <m:r>
                <m:t>×</m:t>
              </m:r>
            </m:oMath>
          </w:p>
        </w:tc>
        <w:tc>
          <w:p/>
        </w:tc>
      </w:tr>
      <w:tr>
        <w:tc>
          <w:p>
            <w:pPr>
              <w:pStyle w:val="Compact"/>
              <w:jc w:val="center"/>
            </w:pPr>
            <w:r>
              <w:t xml:space="preserve">[16]</w:t>
            </w:r>
          </w:p>
        </w:tc>
        <w:tc>
          <w:p>
            <w:pPr>
              <w:pStyle w:val="Compact"/>
              <w:jc w:val="left"/>
            </w:pPr>
            <w:r>
              <w:t xml:space="preserve">Accelerated DNN (CNN)</w:t>
            </w:r>
          </w:p>
        </w:tc>
        <w:tc>
          <w:p>
            <w:pPr>
              <w:pStyle w:val="Compact"/>
              <w:jc w:val="left"/>
            </w:pPr>
            <m:oMath>
              <m:r>
                <m:t>∘</m:t>
              </m:r>
            </m:oMath>
          </w:p>
        </w:tc>
        <w:tc>
          <w:p>
            <w:pPr>
              <w:pStyle w:val="Compact"/>
              <w:jc w:val="left"/>
            </w:pPr>
            <m:oMath>
              <m:r>
                <m:t>×</m:t>
              </m:r>
            </m:oMath>
          </w:p>
        </w:tc>
        <w:tc>
          <w:p>
            <w:pPr>
              <w:pStyle w:val="Compact"/>
              <w:jc w:val="left"/>
            </w:pPr>
            <m:oMath>
              <m:r>
                <m:t>∘</m:t>
              </m:r>
            </m:oMath>
          </w:p>
        </w:tc>
        <w:tc>
          <w:p>
            <w:pPr>
              <w:pStyle w:val="Compact"/>
              <w:jc w:val="left"/>
            </w:pPr>
            <m:oMath>
              <m:r>
                <m:t>×</m:t>
              </m:r>
            </m:oMath>
          </w:p>
        </w:tc>
        <w:tc>
          <w:p/>
        </w:tc>
      </w:tr>
      <w:tr>
        <w:tc>
          <w:p>
            <w:pPr>
              <w:pStyle w:val="Compact"/>
              <w:jc w:val="center"/>
            </w:pPr>
            <w:r>
              <w:t xml:space="preserve">[3]</w:t>
            </w:r>
          </w:p>
        </w:tc>
        <w:tc>
          <w:p>
            <w:pPr>
              <w:pStyle w:val="Compact"/>
              <w:jc w:val="left"/>
            </w:pPr>
            <w:r>
              <w:t xml:space="preserve">Wavelet + LSTM</w:t>
            </w:r>
          </w:p>
        </w:tc>
        <w:tc>
          <w:p>
            <w:pPr>
              <w:pStyle w:val="Compact"/>
              <w:jc w:val="left"/>
            </w:pPr>
            <m:oMath>
              <m:r>
                <m:t>✓</m:t>
              </m:r>
            </m:oMath>
          </w:p>
        </w:tc>
        <w:tc>
          <w:p>
            <w:pPr>
              <w:pStyle w:val="Compact"/>
              <w:jc w:val="left"/>
            </w:pPr>
            <m:oMath>
              <m:r>
                <m:t>×</m:t>
              </m:r>
            </m:oMath>
          </w:p>
        </w:tc>
        <w:tc>
          <w:p>
            <w:pPr>
              <w:pStyle w:val="Compact"/>
              <w:jc w:val="left"/>
            </w:pPr>
            <m:oMath>
              <m:r>
                <m:t>∘</m:t>
              </m:r>
            </m:oMath>
          </w:p>
        </w:tc>
        <w:tc>
          <w:p>
            <w:pPr>
              <w:pStyle w:val="Compact"/>
              <w:jc w:val="left"/>
            </w:pPr>
            <m:oMath>
              <m:r>
                <m:t>×</m:t>
              </m:r>
            </m:oMath>
          </w:p>
        </w:tc>
        <w:tc>
          <w:p/>
        </w:tc>
      </w:tr>
      <w:tr>
        <w:tc>
          <w:p>
            <w:pPr>
              <w:pStyle w:val="Compact"/>
              <w:jc w:val="center"/>
            </w:pPr>
            <w:r>
              <w:t xml:space="preserve">[1,2]</w:t>
            </w:r>
          </w:p>
        </w:tc>
        <w:tc>
          <w:p>
            <w:pPr>
              <w:pStyle w:val="Compact"/>
              <w:jc w:val="left"/>
            </w:pPr>
            <w:r>
              <w:t xml:space="preserve">Improved wavelet + LSTM</w:t>
            </w:r>
          </w:p>
        </w:tc>
        <w:tc>
          <w:p>
            <w:pPr>
              <w:pStyle w:val="Compact"/>
              <w:jc w:val="left"/>
            </w:pPr>
            <m:oMath>
              <m:r>
                <m:t>✓</m:t>
              </m:r>
            </m:oMath>
          </w:p>
        </w:tc>
        <w:tc>
          <w:p>
            <w:pPr>
              <w:pStyle w:val="Compact"/>
              <w:jc w:val="left"/>
            </w:pPr>
            <m:oMath>
              <m:r>
                <m:t>×</m:t>
              </m:r>
            </m:oMath>
          </w:p>
        </w:tc>
        <w:tc>
          <w:p>
            <w:pPr>
              <w:pStyle w:val="Compact"/>
              <w:jc w:val="left"/>
            </w:pPr>
            <m:oMath>
              <m:r>
                <m:t>∘</m:t>
              </m:r>
            </m:oMath>
          </w:p>
        </w:tc>
        <w:tc>
          <w:p>
            <w:pPr>
              <w:pStyle w:val="Compact"/>
              <w:jc w:val="left"/>
            </w:pPr>
            <m:oMath>
              <m:r>
                <m:t>×</m:t>
              </m:r>
            </m:oMath>
          </w:p>
        </w:tc>
        <w:tc>
          <w:p>
            <w:pPr>
              <w:pStyle w:val="Compact"/>
              <w:jc w:val="left"/>
            </w:pPr>
            <m:oMath>
              <m:r>
                <m:t>∼</m:t>
              </m:r>
            </m:oMath>
            <w:r>
              <w:t xml:space="preserve">99.5</w:t>
            </w:r>
          </w:p>
        </w:tc>
      </w:tr>
      <w:tr>
        <w:tc>
          <w:p>
            <w:pPr>
              <w:pStyle w:val="Compact"/>
              <w:jc w:val="center"/>
            </w:pPr>
            <w:r>
              <w:t xml:space="preserve">[23]</w:t>
            </w:r>
          </w:p>
        </w:tc>
        <w:tc>
          <w:p>
            <w:pPr>
              <w:pStyle w:val="Compact"/>
              <w:jc w:val="left"/>
            </w:pPr>
            <w:r>
              <w:t xml:space="preserve">Dual DNN (2-class)</w:t>
            </w:r>
          </w:p>
        </w:tc>
        <w:tc>
          <w:p>
            <w:pPr>
              <w:pStyle w:val="Compact"/>
              <w:jc w:val="left"/>
            </w:pPr>
            <m:oMath>
              <m:r>
                <m:t>✓</m:t>
              </m:r>
            </m:oMath>
          </w:p>
        </w:tc>
        <w:tc>
          <w:p>
            <w:pPr>
              <w:pStyle w:val="Compact"/>
              <w:jc w:val="left"/>
            </w:pPr>
            <m:oMath>
              <m:r>
                <m:t>×</m:t>
              </m:r>
            </m:oMath>
          </w:p>
        </w:tc>
        <w:tc>
          <w:p>
            <w:pPr>
              <w:pStyle w:val="Compact"/>
              <w:jc w:val="left"/>
            </w:pPr>
            <m:oMath>
              <m:r>
                <m:t>∘</m:t>
              </m:r>
            </m:oMath>
          </w:p>
        </w:tc>
        <w:tc>
          <w:p>
            <w:pPr>
              <w:pStyle w:val="Compact"/>
              <w:jc w:val="left"/>
            </w:pPr>
            <m:oMath>
              <m:r>
                <m:t>×</m:t>
              </m:r>
            </m:oMath>
          </w:p>
        </w:tc>
        <w:tc>
          <w:p>
            <w:pPr>
              <w:pStyle w:val="Compact"/>
              <w:jc w:val="left"/>
            </w:pPr>
            <m:oMath>
              <m:r>
                <m:t>∼</m:t>
              </m:r>
            </m:oMath>
            <w:r>
              <w:t xml:space="preserve">99.4</w:t>
            </w:r>
          </w:p>
        </w:tc>
      </w:tr>
      <w:tr>
        <w:tc>
          <w:p>
            <w:pPr>
              <w:pStyle w:val="Compact"/>
              <w:jc w:val="center"/>
            </w:pPr>
            <w:r>
              <w:t xml:space="preserve">[21]</w:t>
            </w:r>
          </w:p>
        </w:tc>
        <w:tc>
          <w:p>
            <w:pPr>
              <w:pStyle w:val="Compact"/>
              <w:jc w:val="left"/>
            </w:pPr>
            <w:r>
              <w:t xml:space="preserve">Multi-region adaptive relay</w:t>
            </w:r>
          </w:p>
        </w:tc>
        <w:tc>
          <w:p>
            <w:pPr>
              <w:pStyle w:val="Compact"/>
              <w:jc w:val="left"/>
            </w:pPr>
            <m:oMath>
              <m:r>
                <m:t>×</m:t>
              </m:r>
            </m:oMath>
          </w:p>
        </w:tc>
        <w:tc>
          <w:p>
            <w:pPr>
              <w:pStyle w:val="Compact"/>
              <w:jc w:val="left"/>
            </w:pPr>
            <m:oMath>
              <m:r>
                <m:t>✓</m:t>
              </m:r>
            </m:oMath>
          </w:p>
        </w:tc>
        <w:tc>
          <w:p>
            <w:pPr>
              <w:pStyle w:val="Compact"/>
              <w:jc w:val="left"/>
            </w:pPr>
            <m:oMath>
              <m:r>
                <m:t>∘</m:t>
              </m:r>
            </m:oMath>
          </w:p>
        </w:tc>
        <w:tc>
          <w:p>
            <w:pPr>
              <w:pStyle w:val="Compact"/>
              <w:jc w:val="left"/>
            </w:pPr>
            <m:oMath>
              <m:r>
                <m:t>×</m:t>
              </m:r>
            </m:oMath>
          </w:p>
        </w:tc>
        <w:tc>
          <w:p>
            <w:pPr>
              <w:pStyle w:val="Compact"/>
              <w:jc w:val="left"/>
            </w:pPr>
            <w:r>
              <w:t xml:space="preserve">—</w:t>
            </w:r>
          </w:p>
        </w:tc>
      </w:tr>
      <w:tr>
        <w:tc>
          <w:p>
            <w:pPr>
              <w:pStyle w:val="Compact"/>
              <w:jc w:val="center"/>
            </w:pPr>
            <w:r>
              <w:rPr>
                <w:b/>
              </w:rPr>
              <w:t xml:space="preserve">This work</w:t>
            </w:r>
          </w:p>
        </w:tc>
        <w:tc>
          <w:p>
            <w:pPr>
              <w:pStyle w:val="Compact"/>
              <w:jc w:val="left"/>
            </w:pPr>
            <w:r>
              <w:t xml:space="preserve">DWT energy + LSTM + 87T</w:t>
            </w:r>
          </w:p>
        </w:tc>
        <w:tc>
          <w:p>
            <w:pPr>
              <w:pStyle w:val="Compact"/>
              <w:jc w:val="left"/>
            </w:pPr>
            <m:oMath>
              <m:r>
                <m:t>✓</m:t>
              </m:r>
            </m:oMath>
          </w:p>
        </w:tc>
        <w:tc>
          <w:p>
            <w:pPr>
              <w:pStyle w:val="Compact"/>
              <w:jc w:val="left"/>
            </w:pPr>
            <m:oMath>
              <m:r>
                <m:t>✓</m:t>
              </m:r>
            </m:oMath>
          </w:p>
        </w:tc>
        <w:tc>
          <w:p>
            <w:pPr>
              <w:pStyle w:val="Compact"/>
              <w:jc w:val="left"/>
            </w:pPr>
            <m:oMath>
              <m:r>
                <m:t>✓</m:t>
              </m:r>
            </m:oMath>
          </w:p>
        </w:tc>
        <w:tc>
          <w:p>
            <w:pPr>
              <w:pStyle w:val="Compact"/>
              <w:jc w:val="left"/>
            </w:pPr>
            <m:oMath>
              <m:r>
                <m:t>✓</m:t>
              </m:r>
            </m:oMath>
          </w:p>
        </w:tc>
        <w:tc>
          <w:p>
            <w:pPr>
              <w:pStyle w:val="Compact"/>
              <w:jc w:val="left"/>
            </w:pPr>
            <w:r>
              <w:t xml:space="preserve">/100</w:t>
            </w:r>
          </w:p>
        </w:tc>
      </w:tr>
    </w:tbl>
    <w:bookmarkEnd w:id="172"/>
    <w:p>
      <w:pPr>
        <w:pStyle w:val="Heading3"/>
      </w:pPr>
      <w:bookmarkStart w:id="173" w:name="X2fca96802d49791013b277b4c4da6b7fef119e4"/>
      <w:r>
        <w:t xml:space="preserve">Discussion Relative to Specific LSTM Studies</w:t>
      </w:r>
      <w:bookmarkEnd w:id="173"/>
    </w:p>
    <w:p>
      <w:pPr>
        <w:pStyle w:val="FirstParagraph"/>
      </w:pPr>
      <w:r>
        <w:t xml:space="preserve">The works most closely related to this thesis are the wavelet–LSTM schemes of Atiyah</w:t>
      </w:r>
      <w:r>
        <w:t xml:space="preserve"> </w:t>
      </w:r>
      <w:r>
        <w:rPr>
          <w:i/>
        </w:rPr>
        <w:t xml:space="preserve">et al.</w:t>
      </w:r>
      <w:r>
        <w:t xml:space="preserve"> [3] and Alhamd</w:t>
      </w:r>
      <w:r>
        <w:t xml:space="preserve"> </w:t>
      </w:r>
      <w:r>
        <w:rPr>
          <w:i/>
        </w:rPr>
        <w:t xml:space="preserve">et al.</w:t>
      </w:r>
      <w:r>
        <w:t xml:space="preserve"> [1,2], which established that an LSTM ingesting wavelet-derived features attains roughly 99.3–99.5% accuracy on simulated transformer data. The present work departs from them in three respects. First, the feature representation is reduced to a physics-informed six-dimensional energy vector—markedly more compact than the multi-component descriptors used previously—yet, as the ablation below shows, this compact set sacrifices no discriminative power. Second, the LSTM is not the final arbiter: its output is gated by the adaptive 87T element, eliminating the false trips an isolated classifier inevitably produces under deep CT saturation and sympathetic inrush. Third, the model is deployed back into the electromagnetic-transient simulator through ONNX and exercised in closed loop, rather than scored offline, providing a substantially more realistic end-to-end validation. The dual-DNN scheme of Key</w:t>
      </w:r>
      <w:r>
        <w:t xml:space="preserve"> </w:t>
      </w:r>
      <w:r>
        <w:rPr>
          <w:i/>
        </w:rPr>
        <w:t xml:space="preserve">et al.</w:t>
      </w:r>
      <w:r>
        <w:t xml:space="preserve"> [23] achieves comparable accuracy but addresses only the binary inrush-versus-internal problem; the present formulation additionally resolves external faults and normal operation, which is necessary for a complete protection function.</w:t>
      </w:r>
    </w:p>
    <w:p>
      <w:pPr>
        <w:pStyle w:val="Heading2"/>
      </w:pPr>
      <w:bookmarkStart w:id="174" w:name="ablation-and-sensitivity-studies"/>
      <w:r>
        <w:t xml:space="preserve">Ablation and Sensitivity Studies</w:t>
      </w:r>
      <w:bookmarkEnd w:id="174"/>
    </w:p>
    <w:p>
      <w:pPr>
        <w:pStyle w:val="FirstParagraph"/>
      </w:pPr>
      <w:r>
        <w:t xml:space="preserve">Removing the attention layer reduces accuracy by 0.71 pp; a single 64-unit layer costs 1.34 pp; and the approximation-only feature set collapses to 91.24% (Table </w:t>
      </w:r>
      <w:hyperlink w:anchor="tab:6.16">
        <w:r>
          <w:rPr>
            <w:rStyle w:val="Hyperlink"/>
          </w:rPr>
          <w:t xml:space="preserve">6.11</w:t>
        </w:r>
      </w:hyperlink>
      <w:r>
        <w:t xml:space="preserve">). No configuration retaining the detail-energy features falls below 99% Trip recall. A wavelet/level grid search (Table </w:t>
      </w:r>
      <w:hyperlink w:anchor="tab:6.17">
        <w:r>
          <w:rPr>
            <w:rStyle w:val="Hyperlink"/>
          </w:rPr>
          <w:t xml:space="preserve">6.12</w:t>
        </w:r>
      </w:hyperlink>
      <w:r>
        <w:t xml:space="preserve">) confirms db4 at three levels as the best accuracy–compactness trade-off, corroborating [6,14].</w:t>
      </w:r>
    </w:p>
    <w:bookmarkStart w:id="175" w:name="tab:6.16"/>
    <w:p>
      <w:pPr>
        <w:pStyle w:val="TableCaption"/>
      </w:pPr>
      <w:r>
        <w:t xml:space="preserve">Ablation study: effect of removing or altering individual components (unified test set).</w:t>
      </w:r>
    </w:p>
    <w:tbl>
      <w:tblPr>
        <w:tblStyle w:val="Table"/>
        <w:tblW w:type="pct" w:w="0.0"/>
        <w:tblLook w:firstRow="1"/>
        <w:tblCaption w:val="Ablation study: effect of removing or altering individual components (unified test set)."/>
      </w:tblPr>
      <w:tblGrid/>
      <w:tr>
        <w:trPr>
          <w:cnfStyle w:firstRow="1"/>
        </w:trPr>
        <w:tc>
          <w:tcPr>
            <w:tcBorders>
              <w:bottom w:val="single"/>
            </w:tcBorders>
            <w:vAlign w:val="bottom"/>
          </w:tcPr>
          <w:p>
            <w:pPr>
              <w:pStyle w:val="Compact"/>
              <w:jc w:val="left"/>
            </w:pPr>
            <w:r>
              <w:rPr>
                <w:b/>
              </w:rPr>
              <w:t xml:space="preserve">Configuration</w:t>
            </w:r>
          </w:p>
        </w:tc>
        <w:tc>
          <w:tcPr>
            <w:tcBorders>
              <w:bottom w:val="single"/>
            </w:tcBorders>
            <w:vAlign w:val="bottom"/>
          </w:tcPr>
          <w:p>
            <w:pPr>
              <w:pStyle w:val="Compact"/>
              <w:jc w:val="center"/>
            </w:pPr>
            <w:r>
              <w:rPr>
                <w:b/>
              </w:rPr>
              <w:t xml:space="preserve">Accuracy (%)</w:t>
            </w:r>
          </w:p>
        </w:tc>
        <w:tc>
          <w:tcPr>
            <w:tcBorders>
              <w:bottom w:val="single"/>
            </w:tcBorders>
            <w:vAlign w:val="bottom"/>
          </w:tcPr>
          <w:p>
            <w:pPr>
              <w:pStyle w:val="Compact"/>
              <w:jc w:val="center"/>
            </w:pPr>
            <m:oMath>
              <m:r>
                <m:t>Δ</m:t>
              </m:r>
            </m:oMath>
            <w:r>
              <w:rPr>
                <w:b/>
              </w:rPr>
              <w:t xml:space="preserve"> </w:t>
            </w:r>
            <w:r>
              <w:rPr>
                <w:b/>
              </w:rPr>
              <w:t xml:space="preserve">(pp)</w:t>
            </w:r>
          </w:p>
        </w:tc>
      </w:tr>
      <w:tr>
        <w:tc>
          <w:p>
            <w:pPr>
              <w:pStyle w:val="Compact"/>
              <w:jc w:val="left"/>
            </w:pPr>
            <w:r>
              <w:t xml:space="preserve">Full model (proposed)</w:t>
            </w:r>
          </w:p>
        </w:tc>
        <w:tc>
          <w:p>
            <w:pPr>
              <w:pStyle w:val="Compact"/>
              <w:jc w:val="center"/>
            </w:pPr>
            <w:r>
              <w:t xml:space="preserve">98.89</w:t>
            </w:r>
          </w:p>
        </w:tc>
        <w:tc>
          <w:p>
            <w:pPr>
              <w:pStyle w:val="Compact"/>
              <w:jc w:val="center"/>
            </w:pPr>
            <w:r>
              <w:t xml:space="preserve">—</w:t>
            </w:r>
          </w:p>
        </w:tc>
      </w:tr>
      <w:tr>
        <w:tc>
          <w:p>
            <w:pPr>
              <w:pStyle w:val="Compact"/>
              <w:jc w:val="left"/>
            </w:pPr>
            <w:r>
              <w:t xml:space="preserve">Without attention layer</w:t>
            </w:r>
          </w:p>
        </w:tc>
        <w:tc>
          <w:p>
            <w:pPr>
              <w:pStyle w:val="Compact"/>
              <w:jc w:val="center"/>
            </w:pPr>
            <w:r>
              <w:t xml:space="preserve">98.18</w:t>
            </w:r>
          </w:p>
        </w:tc>
        <w:tc>
          <w:p>
            <w:pPr>
              <w:pStyle w:val="Compact"/>
              <w:jc w:val="center"/>
            </w:pPr>
            <m:oMath>
              <m:r>
                <m:t>−</m:t>
              </m:r>
              <m:r>
                <m:t>0.71</m:t>
              </m:r>
            </m:oMath>
          </w:p>
        </w:tc>
      </w:tr>
      <w:tr>
        <w:tc>
          <w:p>
            <w:pPr>
              <w:pStyle w:val="Compact"/>
              <w:jc w:val="left"/>
            </w:pPr>
            <w:r>
              <w:t xml:space="preserve">Single LSTM layer (64 units)</w:t>
            </w:r>
          </w:p>
        </w:tc>
        <w:tc>
          <w:p>
            <w:pPr>
              <w:pStyle w:val="Compact"/>
              <w:jc w:val="center"/>
            </w:pPr>
            <w:r>
              <w:t xml:space="preserve">97.55</w:t>
            </w:r>
          </w:p>
        </w:tc>
        <w:tc>
          <w:p>
            <w:pPr>
              <w:pStyle w:val="Compact"/>
              <w:jc w:val="center"/>
            </w:pPr>
            <m:oMath>
              <m:r>
                <m:t>−</m:t>
              </m:r>
              <m:r>
                <m:t>1.34</m:t>
              </m:r>
            </m:oMath>
          </w:p>
        </w:tc>
      </w:tr>
      <w:tr>
        <w:tc>
          <w:p>
            <w:pPr>
              <w:pStyle w:val="Compact"/>
              <w:jc w:val="left"/>
            </w:pPr>
            <w:r>
              <w:t xml:space="preserve">Detail-energy features only</w:t>
            </w:r>
          </w:p>
        </w:tc>
        <w:tc>
          <w:p>
            <w:pPr>
              <w:pStyle w:val="Compact"/>
              <w:jc w:val="center"/>
            </w:pPr>
            <w:r>
              <w:t xml:space="preserve">98.45</w:t>
            </w:r>
          </w:p>
        </w:tc>
        <w:tc>
          <w:p>
            <w:pPr>
              <w:pStyle w:val="Compact"/>
              <w:jc w:val="center"/>
            </w:pPr>
            <m:oMath>
              <m:r>
                <m:t>−</m:t>
              </m:r>
              <m:r>
                <m:t>0.44</m:t>
              </m:r>
            </m:oMath>
          </w:p>
        </w:tc>
      </w:tr>
      <w:tr>
        <w:tc>
          <w:p>
            <w:pPr>
              <w:pStyle w:val="Compact"/>
              <w:jc w:val="left"/>
            </w:pPr>
            <w:r>
              <w:t xml:space="preserve">Approximation-energy features only</w:t>
            </w:r>
          </w:p>
        </w:tc>
        <w:tc>
          <w:p>
            <w:pPr>
              <w:pStyle w:val="Compact"/>
              <w:jc w:val="center"/>
            </w:pPr>
            <w:r>
              <w:t xml:space="preserve">91.24</w:t>
            </w:r>
          </w:p>
        </w:tc>
        <w:tc>
          <w:p>
            <w:pPr>
              <w:pStyle w:val="Compact"/>
              <w:jc w:val="center"/>
            </w:pPr>
            <m:oMath>
              <m:r>
                <m:t>−</m:t>
              </m:r>
              <m:r>
                <m:t>7.65</m:t>
              </m:r>
            </m:oMath>
          </w:p>
        </w:tc>
      </w:tr>
      <w:tr>
        <w:tc>
          <w:p>
            <w:pPr>
              <w:pStyle w:val="Compact"/>
              <w:jc w:val="left"/>
            </w:pPr>
            <w:r>
              <w:t xml:space="preserve">Without</w:t>
            </w:r>
            <w:r>
              <w:t xml:space="preserve"> </w:t>
            </w:r>
            <m:oMath>
              <m:r>
                <m:t>z</m:t>
              </m:r>
            </m:oMath>
            <w:r>
              <w:t xml:space="preserve">-score normalization</w:t>
            </w:r>
          </w:p>
        </w:tc>
        <w:tc>
          <w:p>
            <w:pPr>
              <w:pStyle w:val="Compact"/>
              <w:jc w:val="center"/>
            </w:pPr>
            <w:r>
              <w:t xml:space="preserve">96.02</w:t>
            </w:r>
          </w:p>
        </w:tc>
        <w:tc>
          <w:p>
            <w:pPr>
              <w:pStyle w:val="Compact"/>
              <w:jc w:val="center"/>
            </w:pPr>
            <m:oMath>
              <m:r>
                <m:t>−</m:t>
              </m:r>
              <m:r>
                <m:t>2.87</m:t>
              </m:r>
            </m:oMath>
          </w:p>
        </w:tc>
      </w:tr>
      <w:tr>
        <w:tc>
          <w:p>
            <w:pPr>
              <w:pStyle w:val="Compact"/>
              <w:jc w:val="left"/>
            </w:pPr>
            <w:r>
              <w:t xml:space="preserve">2-level DWT (instead of 3-level)</w:t>
            </w:r>
          </w:p>
        </w:tc>
        <w:tc>
          <w:p>
            <w:pPr>
              <w:pStyle w:val="Compact"/>
              <w:jc w:val="center"/>
            </w:pPr>
            <w:r>
              <w:t xml:space="preserve">98.33</w:t>
            </w:r>
          </w:p>
        </w:tc>
        <w:tc>
          <w:p>
            <w:pPr>
              <w:pStyle w:val="Compact"/>
              <w:jc w:val="center"/>
            </w:pPr>
            <m:oMath>
              <m:r>
                <m:t>−</m:t>
              </m:r>
              <m:r>
                <m:t>0.56</m:t>
              </m:r>
            </m:oMath>
          </w:p>
        </w:tc>
      </w:tr>
    </w:tbl>
    <w:bookmarkEnd w:id="175"/>
    <w:bookmarkStart w:id="176" w:name="tab:6.17"/>
    <w:p>
      <w:pPr>
        <w:pStyle w:val="TableCaption"/>
      </w:pPr>
      <w:r>
        <w:t xml:space="preserve">Classification accuracy versus mother wavelet and decomposition level (%).</w:t>
      </w:r>
    </w:p>
    <w:tbl>
      <w:tblPr>
        <w:tblStyle w:val="Table"/>
        <w:tblW w:type="pct" w:w="0.0"/>
        <w:tblLook w:firstRow="1"/>
        <w:tblCaption w:val="Classification accuracy versus mother wavelet and decomposition level (%)."/>
      </w:tblPr>
      <w:tblGrid/>
      <w:tr>
        <w:trPr>
          <w:cnfStyle w:firstRow="1"/>
        </w:trPr>
        <w:tc>
          <w:tcPr>
            <w:tcBorders>
              <w:bottom w:val="single"/>
            </w:tcBorders>
            <w:vAlign w:val="bottom"/>
          </w:tcPr>
          <w:p>
            <w:pPr>
              <w:pStyle w:val="Compact"/>
              <w:jc w:val="left"/>
            </w:pPr>
            <w:r>
              <w:rPr>
                <w:b/>
              </w:rPr>
              <w:t xml:space="preserve">Wavelet</w:t>
            </w:r>
          </w:p>
        </w:tc>
        <w:tc>
          <w:tcPr>
            <w:tcBorders>
              <w:bottom w:val="single"/>
            </w:tcBorders>
            <w:vAlign w:val="bottom"/>
          </w:tcPr>
          <w:p>
            <w:pPr>
              <w:pStyle w:val="Compact"/>
              <w:jc w:val="center"/>
            </w:pPr>
            <w:r>
              <w:rPr>
                <w:b/>
              </w:rPr>
              <w:t xml:space="preserve">2-level</w:t>
            </w:r>
          </w:p>
        </w:tc>
        <w:tc>
          <w:tcPr>
            <w:tcBorders>
              <w:bottom w:val="single"/>
            </w:tcBorders>
            <w:vAlign w:val="bottom"/>
          </w:tcPr>
          <w:p>
            <w:pPr>
              <w:pStyle w:val="Compact"/>
              <w:jc w:val="center"/>
            </w:pPr>
            <w:r>
              <w:rPr>
                <w:b/>
              </w:rPr>
              <w:t xml:space="preserve">3-level</w:t>
            </w:r>
          </w:p>
        </w:tc>
        <w:tc>
          <w:tcPr>
            <w:tcBorders>
              <w:bottom w:val="single"/>
            </w:tcBorders>
            <w:vAlign w:val="bottom"/>
          </w:tcPr>
          <w:p>
            <w:pPr>
              <w:pStyle w:val="Compact"/>
              <w:jc w:val="center"/>
            </w:pPr>
            <w:r>
              <w:rPr>
                <w:b/>
              </w:rPr>
              <w:t xml:space="preserve">4-level</w:t>
            </w:r>
          </w:p>
        </w:tc>
      </w:tr>
      <w:tr>
        <w:tc>
          <w:p>
            <w:pPr>
              <w:pStyle w:val="Compact"/>
              <w:jc w:val="left"/>
            </w:pPr>
            <w:r>
              <w:t xml:space="preserve">Haar (db1)</w:t>
            </w:r>
          </w:p>
        </w:tc>
        <w:tc>
          <w:p>
            <w:pPr>
              <w:pStyle w:val="Compact"/>
              <w:jc w:val="center"/>
            </w:pPr>
            <w:r>
              <w:t xml:space="preserve">95.10</w:t>
            </w:r>
          </w:p>
        </w:tc>
        <w:tc>
          <w:p>
            <w:pPr>
              <w:pStyle w:val="Compact"/>
              <w:jc w:val="center"/>
            </w:pPr>
            <w:r>
              <w:t xml:space="preserve">96.02</w:t>
            </w:r>
          </w:p>
        </w:tc>
        <w:tc>
          <w:p>
            <w:pPr>
              <w:pStyle w:val="Compact"/>
              <w:jc w:val="center"/>
            </w:pPr>
            <w:r>
              <w:t xml:space="preserve">95.88</w:t>
            </w:r>
          </w:p>
        </w:tc>
      </w:tr>
      <w:tr>
        <w:tc>
          <w:p>
            <w:pPr>
              <w:pStyle w:val="Compact"/>
              <w:jc w:val="left"/>
            </w:pPr>
            <w:r>
              <w:t xml:space="preserve">db4 (selected)</w:t>
            </w:r>
          </w:p>
        </w:tc>
        <w:tc>
          <w:p>
            <w:pPr>
              <w:pStyle w:val="Compact"/>
              <w:jc w:val="center"/>
            </w:pPr>
            <w:r>
              <w:t xml:space="preserve">98.10</w:t>
            </w:r>
          </w:p>
        </w:tc>
        <w:tc>
          <w:p>
            <w:pPr>
              <w:pStyle w:val="Compact"/>
              <w:jc w:val="center"/>
            </w:pPr>
            <w:r>
              <w:rPr>
                <w:b/>
              </w:rPr>
              <w:t xml:space="preserve">98.89</w:t>
            </w:r>
          </w:p>
        </w:tc>
        <w:tc>
          <w:p>
            <w:pPr>
              <w:pStyle w:val="Compact"/>
              <w:jc w:val="center"/>
            </w:pPr>
            <w:r>
              <w:t xml:space="preserve">98.40</w:t>
            </w:r>
          </w:p>
        </w:tc>
      </w:tr>
      <w:tr>
        <w:tc>
          <w:p>
            <w:pPr>
              <w:pStyle w:val="Compact"/>
              <w:jc w:val="left"/>
            </w:pPr>
            <w:r>
              <w:t xml:space="preserve">db6</w:t>
            </w:r>
          </w:p>
        </w:tc>
        <w:tc>
          <w:p>
            <w:pPr>
              <w:pStyle w:val="Compact"/>
              <w:jc w:val="center"/>
            </w:pPr>
            <w:r>
              <w:t xml:space="preserve">97.95</w:t>
            </w:r>
          </w:p>
        </w:tc>
        <w:tc>
          <w:p>
            <w:pPr>
              <w:pStyle w:val="Compact"/>
              <w:jc w:val="center"/>
            </w:pPr>
            <w:r>
              <w:t xml:space="preserve">98.71</w:t>
            </w:r>
          </w:p>
        </w:tc>
        <w:tc>
          <w:p>
            <w:pPr>
              <w:pStyle w:val="Compact"/>
              <w:jc w:val="center"/>
            </w:pPr>
            <w:r>
              <w:t xml:space="preserve">98.27</w:t>
            </w:r>
          </w:p>
        </w:tc>
      </w:tr>
      <w:tr>
        <w:tc>
          <w:p>
            <w:pPr>
              <w:pStyle w:val="Compact"/>
              <w:jc w:val="left"/>
            </w:pPr>
            <w:r>
              <w:t xml:space="preserve">sym4</w:t>
            </w:r>
          </w:p>
        </w:tc>
        <w:tc>
          <w:p>
            <w:pPr>
              <w:pStyle w:val="Compact"/>
              <w:jc w:val="center"/>
            </w:pPr>
            <w:r>
              <w:t xml:space="preserve">97.80</w:t>
            </w:r>
          </w:p>
        </w:tc>
        <w:tc>
          <w:p>
            <w:pPr>
              <w:pStyle w:val="Compact"/>
              <w:jc w:val="center"/>
            </w:pPr>
            <w:r>
              <w:t xml:space="preserve">98.55</w:t>
            </w:r>
          </w:p>
        </w:tc>
        <w:tc>
          <w:p>
            <w:pPr>
              <w:pStyle w:val="Compact"/>
              <w:jc w:val="center"/>
            </w:pPr>
            <w:r>
              <w:t xml:space="preserve">98.10</w:t>
            </w:r>
          </w:p>
        </w:tc>
      </w:tr>
      <w:tr>
        <w:tc>
          <w:p>
            <w:pPr>
              <w:pStyle w:val="Compact"/>
              <w:jc w:val="left"/>
            </w:pPr>
            <w:r>
              <w:t xml:space="preserve">coif3</w:t>
            </w:r>
          </w:p>
        </w:tc>
        <w:tc>
          <w:p>
            <w:pPr>
              <w:pStyle w:val="Compact"/>
              <w:jc w:val="center"/>
            </w:pPr>
            <w:r>
              <w:t xml:space="preserve">97.60</w:t>
            </w:r>
          </w:p>
        </w:tc>
        <w:tc>
          <w:p>
            <w:pPr>
              <w:pStyle w:val="Compact"/>
              <w:jc w:val="center"/>
            </w:pPr>
            <w:r>
              <w:t xml:space="preserve">98.45</w:t>
            </w:r>
          </w:p>
        </w:tc>
        <w:tc>
          <w:p>
            <w:pPr>
              <w:pStyle w:val="Compact"/>
              <w:jc w:val="center"/>
            </w:pPr>
            <w:r>
              <w:t xml:space="preserve">98.05</w:t>
            </w:r>
          </w:p>
        </w:tc>
      </w:tr>
    </w:tbl>
    <w:bookmarkEnd w:id="176"/>
    <w:p>
      <w:pPr>
        <w:pStyle w:val="CaptionedFigure"/>
      </w:pPr>
      <w:bookmarkStart w:id="178" w:name="fig:6.9"/>
      <w:r>
        <w:drawing>
          <wp:inline>
            <wp:extent cx="5334000" cy="3002184"/>
            <wp:effectExtent b="0" l="0" r="0" t="0"/>
            <wp:docPr descr="Ablation sensitivity of classification accuracy to individual design choices." title="" id="1" name="Picture"/>
            <a:graphic>
              <a:graphicData uri="http://schemas.openxmlformats.org/drawingml/2006/picture">
                <pic:pic>
                  <pic:nvPicPr>
                    <pic:cNvPr descr="fig_6_9.png" id="0" name="Picture"/>
                    <pic:cNvPicPr>
                      <a:picLocks noChangeArrowheads="1" noChangeAspect="1"/>
                    </pic:cNvPicPr>
                  </pic:nvPicPr>
                  <pic:blipFill>
                    <a:blip r:embed="rId177"/>
                    <a:stretch>
                      <a:fillRect/>
                    </a:stretch>
                  </pic:blipFill>
                  <pic:spPr bwMode="auto">
                    <a:xfrm>
                      <a:off x="0" y="0"/>
                      <a:ext cx="5334000" cy="3002184"/>
                    </a:xfrm>
                    <a:prstGeom prst="rect">
                      <a:avLst/>
                    </a:prstGeom>
                    <a:noFill/>
                    <a:ln w="9525">
                      <a:noFill/>
                      <a:headEnd/>
                      <a:tailEnd/>
                    </a:ln>
                  </pic:spPr>
                </pic:pic>
              </a:graphicData>
            </a:graphic>
          </wp:inline>
        </w:drawing>
      </w:r>
      <w:bookmarkEnd w:id="178"/>
    </w:p>
    <w:p>
      <w:pPr>
        <w:pStyle w:val="ImageCaption"/>
      </w:pPr>
      <w:r>
        <w:t xml:space="preserve">Ablation sensitivity of classification accuracy to individual design choices.</w:t>
      </w:r>
    </w:p>
    <w:p>
      <w:pPr>
        <w:pStyle w:val="Heading2"/>
      </w:pPr>
      <w:bookmarkStart w:id="179" w:name="roc-and-confidence-threshold-analysis"/>
      <w:r>
        <w:t xml:space="preserve">ROC and Confidence-Threshold Analysis</w:t>
      </w:r>
      <w:bookmarkEnd w:id="179"/>
    </w:p>
    <w:p>
      <w:pPr>
        <w:pStyle w:val="FirstParagraph"/>
      </w:pPr>
      <w:r>
        <w:t xml:space="preserve">A receiver-operating-characteristic analysis gives an AUC of 0.9999 (Figure </w:t>
      </w:r>
      <w:hyperlink w:anchor="fig:6.10">
        <w:r>
          <w:rPr>
            <w:rStyle w:val="Hyperlink"/>
          </w:rPr>
          <w:t xml:space="preserve">6.14</w:t>
        </w:r>
      </w:hyperlink>
      <w:r>
        <w:t xml:space="preserve">); the selected operating point</w:t>
      </w:r>
      <w:r>
        <w:t xml:space="preserve"> </w:t>
      </w:r>
      <m:oMath>
        <m:sSub>
          <m:e>
            <m:r>
              <m:t>θ</m:t>
            </m:r>
          </m:e>
          <m:sub>
            <m:r>
              <m:t>c</m:t>
            </m:r>
            <m:r>
              <m:t>o</m:t>
            </m:r>
            <m:r>
              <m:t>n</m:t>
            </m:r>
            <m:r>
              <m:t>f</m:t>
            </m:r>
          </m:sub>
        </m:sSub>
        <m:r>
          <m:t>=</m:t>
        </m:r>
        <m:r>
          <m:t>0.85</m:t>
        </m:r>
      </m:oMath>
      <w:r>
        <w:t xml:space="preserve"> </w:t>
      </w:r>
      <w:r>
        <w:t xml:space="preserve">lies on the flat upper-left knee where performance is insensitive to small threshold perturbations. The confidence distribution (Figure </w:t>
      </w:r>
      <w:hyperlink w:anchor="fig:6.11">
        <w:r>
          <w:rPr>
            <w:rStyle w:val="Hyperlink"/>
          </w:rPr>
          <w:t xml:space="preserve">6.15</w:t>
        </w:r>
      </w:hyperlink>
      <w:r>
        <w:t xml:space="preserve">) is sharply bimodal, separating confident Trip and No-Trip decisions, with predictive entropy flagging the few ambiguous events for conservative handling.</w:t>
      </w:r>
    </w:p>
    <w:p>
      <w:pPr>
        <w:pStyle w:val="CaptionedFigure"/>
      </w:pPr>
      <w:bookmarkStart w:id="181" w:name="fig:6.10"/>
      <w:r>
        <w:drawing>
          <wp:inline>
            <wp:extent cx="5334000" cy="2089502"/>
            <wp:effectExtent b="0" l="0" r="0" t="0"/>
            <wp:docPr descr="ROC and precision–recall curves for internal-fault detection (AUC =0.9999)." title="" id="1" name="Picture"/>
            <a:graphic>
              <a:graphicData uri="http://schemas.openxmlformats.org/drawingml/2006/picture">
                <pic:pic>
                  <pic:nvPicPr>
                    <pic:cNvPr descr="fig_6_10.png" id="0" name="Picture"/>
                    <pic:cNvPicPr>
                      <a:picLocks noChangeArrowheads="1" noChangeAspect="1"/>
                    </pic:cNvPicPr>
                  </pic:nvPicPr>
                  <pic:blipFill>
                    <a:blip r:embed="rId180"/>
                    <a:stretch>
                      <a:fillRect/>
                    </a:stretch>
                  </pic:blipFill>
                  <pic:spPr bwMode="auto">
                    <a:xfrm>
                      <a:off x="0" y="0"/>
                      <a:ext cx="5334000" cy="2089502"/>
                    </a:xfrm>
                    <a:prstGeom prst="rect">
                      <a:avLst/>
                    </a:prstGeom>
                    <a:noFill/>
                    <a:ln w="9525">
                      <a:noFill/>
                      <a:headEnd/>
                      <a:tailEnd/>
                    </a:ln>
                  </pic:spPr>
                </pic:pic>
              </a:graphicData>
            </a:graphic>
          </wp:inline>
        </w:drawing>
      </w:r>
      <w:bookmarkEnd w:id="181"/>
    </w:p>
    <w:p>
      <w:pPr>
        <w:pStyle w:val="ImageCaption"/>
      </w:pPr>
      <w:r>
        <w:t xml:space="preserve">ROC and precision–recall curves for internal-fault detection (AUC</w:t>
      </w:r>
      <w:r>
        <w:t xml:space="preserve"> </w:t>
      </w:r>
      <m:oMath>
        <m:r>
          <m:t>=</m:t>
        </m:r>
        <m:r>
          <m:t>0.9999</m:t>
        </m:r>
      </m:oMath>
      <w:r>
        <w:t xml:space="preserve">).</w:t>
      </w:r>
    </w:p>
    <w:p>
      <w:pPr>
        <w:pStyle w:val="CaptionedFigure"/>
      </w:pPr>
      <w:bookmarkStart w:id="183" w:name="fig:6.11"/>
      <w:r>
        <w:drawing>
          <wp:inline>
            <wp:extent cx="5334000" cy="2092016"/>
            <wp:effectExtent b="0" l="0" r="0" t="0"/>
            <wp:docPr descr="Confidence-score distribution for Trip and No-Trip decisions." title="" id="1" name="Picture"/>
            <a:graphic>
              <a:graphicData uri="http://schemas.openxmlformats.org/drawingml/2006/picture">
                <pic:pic>
                  <pic:nvPicPr>
                    <pic:cNvPr descr="fig_6_11.png" id="0" name="Picture"/>
                    <pic:cNvPicPr>
                      <a:picLocks noChangeArrowheads="1" noChangeAspect="1"/>
                    </pic:cNvPicPr>
                  </pic:nvPicPr>
                  <pic:blipFill>
                    <a:blip r:embed="rId182"/>
                    <a:stretch>
                      <a:fillRect/>
                    </a:stretch>
                  </pic:blipFill>
                  <pic:spPr bwMode="auto">
                    <a:xfrm>
                      <a:off x="0" y="0"/>
                      <a:ext cx="5334000" cy="2092016"/>
                    </a:xfrm>
                    <a:prstGeom prst="rect">
                      <a:avLst/>
                    </a:prstGeom>
                    <a:noFill/>
                    <a:ln w="9525">
                      <a:noFill/>
                      <a:headEnd/>
                      <a:tailEnd/>
                    </a:ln>
                  </pic:spPr>
                </pic:pic>
              </a:graphicData>
            </a:graphic>
          </wp:inline>
        </w:drawing>
      </w:r>
      <w:bookmarkEnd w:id="183"/>
    </w:p>
    <w:p>
      <w:pPr>
        <w:pStyle w:val="ImageCaption"/>
      </w:pPr>
      <w:r>
        <w:t xml:space="preserve">Confidence-score distribution for Trip and No-Trip decisions.</w:t>
      </w:r>
    </w:p>
    <w:p>
      <w:pPr>
        <w:pStyle w:val="Heading2"/>
      </w:pPr>
      <w:bookmarkStart w:id="184" w:name="discussion-of-results"/>
      <w:r>
        <w:t xml:space="preserve">Discussion of Results</w:t>
      </w:r>
      <w:bookmarkEnd w:id="184"/>
    </w:p>
    <w:p>
      <w:pPr>
        <w:pStyle w:val="FirstParagraph"/>
      </w:pPr>
      <w:r>
        <w:t xml:space="preserve">The hybrid DWT–LSTM + adaptive 87T architecture achieves zero false negatives (100% dependability), zero false trips (100% security), and the fastest clearing time (17.2 ms), while the standalone classifier attains 98.89% accuracy (F1</w:t>
      </w:r>
      <w:r>
        <w:t xml:space="preserve"> </w:t>
      </w:r>
      <m:oMath>
        <m:r>
          <m:t>=</m:t>
        </m:r>
        <m:r>
          <m:t>0.9901</m:t>
        </m:r>
      </m:oMath>
      <w:r>
        <w:t xml:space="preserve">, ROC–AUC</w:t>
      </w:r>
      <w:r>
        <w:t xml:space="preserve"> </w:t>
      </w:r>
      <m:oMath>
        <m:r>
          <m:t>=</m:t>
        </m:r>
        <m:r>
          <m:t>0.9999</m:t>
        </m:r>
      </m:oMath>
      <w:r>
        <w:t xml:space="preserve">). The compact six-feature representation provides robust, interpretable discrimination, with detail energy as the primary fault signature. Several limitations are acknowledged: the model was trained on a single 300 MVA, 230/11 kV, Yd1 transformer; inter-turn faults are not included; and all validation is simulation-based. Despite these, the complementary design resolves the dependability–security trade-off that limits existing methods.</w:t>
      </w:r>
    </w:p>
    <w:p>
      <w:pPr>
        <w:pStyle w:val="Heading2"/>
      </w:pPr>
      <w:bookmarkStart w:id="185" w:name="threats-to-validity"/>
      <w:r>
        <w:t xml:space="preserve">Threats to Validity</w:t>
      </w:r>
      <w:bookmarkEnd w:id="185"/>
    </w:p>
    <w:p>
      <w:pPr>
        <w:pStyle w:val="FirstParagraph"/>
      </w:pPr>
      <w:r>
        <w:rPr>
          <w:b/>
        </w:rPr>
        <w:t xml:space="preserve">Internal:</w:t>
      </w:r>
      <w:r>
        <w:t xml:space="preserve"> </w:t>
      </w:r>
      <w:r>
        <w:t xml:space="preserve">information leakage is prevented by splitting at the case level (never the window level) and computing normalization statistics on the training subset only; the zero-variance internal recall across folds argues against a fortunate split.</w:t>
      </w:r>
      <w:r>
        <w:t xml:space="preserve"> </w:t>
      </w:r>
      <w:r>
        <w:rPr>
          <w:b/>
        </w:rPr>
        <w:t xml:space="preserve">External:</w:t>
      </w:r>
      <w:r>
        <w:t xml:space="preserve"> </w:t>
      </w:r>
      <w:r>
        <w:t xml:space="preserve">the simulation-to-field gap is mitigated by physically grounded core/CT models, a realistic merging-unit chain, and a five-axis stress programme, though field-recorded and HIL validation remain essential.</w:t>
      </w:r>
      <w:r>
        <w:t xml:space="preserve"> </w:t>
      </w:r>
      <w:r>
        <w:rPr>
          <w:b/>
        </w:rPr>
        <w:t xml:space="preserve">Construct/statistical:</w:t>
      </w:r>
      <w:r>
        <w:t xml:space="preserve"> </w:t>
      </w:r>
      <w:r>
        <w:t xml:space="preserve">the adopted metrics map directly to protection requirements, and the 1</w:t>
      </w:r>
      <w:r>
        <w:t xml:space="preserve">,</w:t>
      </w:r>
      <w:r>
        <w:t xml:space="preserve">800-case test set yields narrow confidence intervals; cited external accuracies are flagged as non-commensurable.</w:t>
      </w:r>
    </w:p>
    <w:p>
      <w:pPr>
        <w:pStyle w:val="Heading1"/>
      </w:pPr>
      <w:bookmarkStart w:id="186" w:name="conclusion-and-future-scope"/>
      <w:r>
        <w:t xml:space="preserve">Conclusion and Future Scope</w:t>
      </w:r>
      <w:bookmarkEnd w:id="186"/>
    </w:p>
    <w:p>
      <w:pPr>
        <w:pStyle w:val="Heading2"/>
      </w:pPr>
      <w:bookmarkStart w:id="187" w:name="conclusion"/>
      <w:r>
        <w:t xml:space="preserve">Conclusion</w:t>
      </w:r>
      <w:bookmarkEnd w:id="187"/>
    </w:p>
    <w:p>
      <w:pPr>
        <w:pStyle w:val="FirstParagraph"/>
      </w:pPr>
      <w:r>
        <w:t xml:space="preserve">This thesis presented the design, development, and evaluation of a hybrid adaptive transformer differential protection (HATDP) framework combining a DWT–LSTM classifier with a conventional 87T relay. A detailed 300 MVA, 230/11 kV, Yd1 model was built in MATLAB/Simulink with realistic magnetization, CT saturation, and remanence; a 2</w:t>
      </w:r>
      <w:r>
        <w:t xml:space="preserve">,</w:t>
      </w:r>
      <w:r>
        <w:t xml:space="preserve">500-case base dataset was generated across four operating conditions. A three-level db4 DWT on 16-sample half-cycle windows yields six per-phase energy features; a two-layer LSTM (128–64) with global temporal attention, trained in PyTorch, attains 98.89% accuracy (F1</w:t>
      </w:r>
      <w:r>
        <w:t xml:space="preserve"> </w:t>
      </w:r>
      <m:oMath>
        <m:r>
          <m:t>=</m:t>
        </m:r>
        <m:r>
          <m:t>0.9901</m:t>
        </m:r>
      </m:oMath>
      <w:r>
        <w:t xml:space="preserve">, ROC–AUC</w:t>
      </w:r>
      <w:r>
        <w:t xml:space="preserve"> </w:t>
      </w:r>
      <m:oMath>
        <m:r>
          <m:t>=</m:t>
        </m:r>
        <m:r>
          <m:t>0.9999</m:t>
        </m:r>
      </m:oMath>
      <w:r>
        <w:t xml:space="preserve">) on the 1</w:t>
      </w:r>
      <w:r>
        <w:t xml:space="preserve">,</w:t>
      </w:r>
      <w:r>
        <w:t xml:space="preserve">800-case test set and is exported to ONNX (Opset 14) for Simulink deployment. The hybrid veto/AND-gate achieves 100% dependability and 100% security on the validation set with an average clearing time of 17.2 ms (a</w:t>
      </w:r>
      <w:r>
        <w:t xml:space="preserve"> </w:t>
      </w:r>
      <m:oMath>
        <m:r>
          <m:t>2.6</m:t>
        </m:r>
        <m:r>
          <m:t>×</m:t>
        </m:r>
      </m:oMath>
      <w:r>
        <w:t xml:space="preserve"> </w:t>
      </w:r>
      <w:r>
        <w:t xml:space="preserve">speedup over harmonic restraint), resolving the dependability–security trade-off.</w:t>
      </w:r>
    </w:p>
    <w:p>
      <w:pPr>
        <w:pStyle w:val="Heading2"/>
      </w:pPr>
      <w:bookmarkStart w:id="188" w:name="key-findings"/>
      <w:r>
        <w:t xml:space="preserve">Key Findings</w:t>
      </w:r>
      <w:bookmarkEnd w:id="188"/>
    </w:p>
    <w:p>
      <w:pPr>
        <w:pStyle w:val="FirstParagraph"/>
      </w:pPr>
      <w:r>
        <w:rPr>
          <w:b/>
        </w:rPr>
        <w:t xml:space="preserve">Feature robustness.</w:t>
      </w:r>
      <w:r>
        <w:t xml:space="preserve"> </w:t>
      </w:r>
      <w:r>
        <w:t xml:space="preserve">Six DWT energy features suffice for reliable discrimination; the detail-energy features achieve an inter-class separation ratio exceeding 500. The classifier degrades gracefully—</w:t>
      </w:r>
      <m:oMath>
        <m:r>
          <m:t>≥</m:t>
        </m:r>
      </m:oMath>
      <w:r>
        <w:t xml:space="preserve">97% accuracy down to 20 dB SNR and</w:t>
      </w:r>
      <w:r>
        <w:t xml:space="preserve"> </w:t>
      </w:r>
      <m:oMath>
        <m:r>
          <m:t>≥</m:t>
        </m:r>
      </m:oMath>
      <w:r>
        <w:t xml:space="preserve">99% internal-fault recall up to 20 </w:t>
      </w:r>
      <m:oMath>
        <m:r>
          <m:t>Ω</m:t>
        </m:r>
      </m:oMath>
      <w:r>
        <w:t xml:space="preserve">—while the 87T element preserves 100% relay-level dependability.</w:t>
      </w:r>
      <w:r>
        <w:t xml:space="preserve"> </w:t>
      </w:r>
      <w:r>
        <w:rPr>
          <w:b/>
        </w:rPr>
        <w:t xml:space="preserve">Security.</w:t>
      </w:r>
      <w:r>
        <w:t xml:space="preserve"> </w:t>
      </w:r>
      <w:r>
        <w:t xml:space="preserve">The standalone 87T produces 62 false trips and 18 false negatives; the classifier reduces these to 14 and 6; the hybrid eliminates both.</w:t>
      </w:r>
      <w:r>
        <w:t xml:space="preserve"> </w:t>
      </w:r>
      <w:r>
        <w:rPr>
          <w:b/>
        </w:rPr>
        <w:t xml:space="preserve">Real-time feasibility.</w:t>
      </w:r>
      <w:r>
        <w:t xml:space="preserve"> </w:t>
      </w:r>
      <w:r>
        <w:t xml:space="preserve">The processing latency is</w:t>
      </w:r>
      <w:r>
        <w:t xml:space="preserve"> </w:t>
      </w:r>
      <m:oMath>
        <m:r>
          <m:t>≈</m:t>
        </m:r>
      </m:oMath>
      <w:r>
        <w:t xml:space="preserve">12 ms and the total clearing time 17.2 ms, firmly within the one-cycle window, validated in closed-loop co-simulation.</w:t>
      </w:r>
    </w:p>
    <w:p>
      <w:pPr>
        <w:pStyle w:val="Heading2"/>
      </w:pPr>
      <w:bookmarkStart w:id="189" w:name="research-outcomes"/>
      <w:r>
        <w:t xml:space="preserve">Research Outcomes</w:t>
      </w:r>
      <w:bookmarkEnd w:id="189"/>
    </w:p>
    <w:p>
      <w:pPr>
        <w:pStyle w:val="FirstParagraph"/>
      </w:pPr>
      <w:r>
        <w:t xml:space="preserve">The architecture demonstrates that 100% dependability and 100% security can be achieved simultaneously, challenging the assumption that these must be traded off. The validated MATLAB</w:t>
      </w:r>
      <w:r>
        <w:t xml:space="preserve"> </w:t>
      </w:r>
      <m:oMath>
        <m:r>
          <m:t>→</m:t>
        </m:r>
      </m:oMath>
      <w:r>
        <w:t xml:space="preserve"> </w:t>
      </w:r>
      <w:r>
        <w:t xml:space="preserve">PyTorch</w:t>
      </w:r>
      <w:r>
        <w:t xml:space="preserve"> </w:t>
      </w:r>
      <m:oMath>
        <m:r>
          <m:t>→</m:t>
        </m:r>
      </m:oMath>
      <w:r>
        <w:t xml:space="preserve"> </w:t>
      </w:r>
      <w:r>
        <w:t xml:space="preserve">ONNX</w:t>
      </w:r>
      <w:r>
        <w:t xml:space="preserve"> </w:t>
      </w:r>
      <m:oMath>
        <m:r>
          <m:t>→</m:t>
        </m:r>
      </m:oMath>
      <w:r>
        <w:t xml:space="preserve"> </w:t>
      </w:r>
      <w:r>
        <w:t xml:space="preserve">Simulink pipeline is reproducible by relay manufacturers; fast clearing reduces</w:t>
      </w:r>
      <w:r>
        <w:t xml:space="preserve"> </w:t>
      </w:r>
      <m:oMath>
        <m:sSup>
          <m:e>
            <m:r>
              <m:t>I</m:t>
            </m:r>
          </m:e>
          <m:sup>
            <m:r>
              <m:t>2</m:t>
            </m:r>
          </m:sup>
        </m:sSup>
        <m:r>
          <m:t>t</m:t>
        </m:r>
      </m:oMath>
      <w:r>
        <w:t xml:space="preserve"> </w:t>
      </w:r>
      <w:r>
        <w:t xml:space="preserve">thermal stress; and the six physically interpretable features address a key barrier to ML adoption in safety-critical protection. The veto/AND-gate concept generalizes to busbar, line, and generator protection.</w:t>
      </w:r>
    </w:p>
    <w:p>
      <w:pPr>
        <w:pStyle w:val="Heading2"/>
      </w:pPr>
      <w:bookmarkStart w:id="190" w:name="limitations-of-the-study"/>
      <w:r>
        <w:t xml:space="preserve">Limitations of the Study</w:t>
      </w:r>
      <w:bookmarkEnd w:id="190"/>
    </w:p>
    <w:p>
      <w:pPr>
        <w:numPr>
          <w:ilvl w:val="0"/>
          <w:numId w:val="1002"/>
        </w:numPr>
      </w:pPr>
      <w:r>
        <w:t xml:space="preserve">Trained exclusively on a 300 MVA, 230/11 kV, Yd1 transformer; generalization unverified.</w:t>
      </w:r>
    </w:p>
    <w:p>
      <w:pPr>
        <w:numPr>
          <w:ilvl w:val="0"/>
          <w:numId w:val="1002"/>
        </w:numPr>
      </w:pPr>
      <w:r>
        <w:t xml:space="preserve">Inter-turn faults are not included.</w:t>
      </w:r>
    </w:p>
    <w:p>
      <w:pPr>
        <w:numPr>
          <w:ilvl w:val="0"/>
          <w:numId w:val="1002"/>
        </w:numPr>
      </w:pPr>
      <w:r>
        <w:t xml:space="preserve">Detection recall declines for fault resistances above 80 </w:t>
      </w:r>
      <m:oMath>
        <m:r>
          <m:t>Ω</m:t>
        </m:r>
      </m:oMath>
      <w:r>
        <w:t xml:space="preserve">.</w:t>
      </w:r>
    </w:p>
    <w:p>
      <w:pPr>
        <w:numPr>
          <w:ilvl w:val="0"/>
          <w:numId w:val="1002"/>
        </w:numPr>
      </w:pPr>
      <w:r>
        <w:t xml:space="preserve">All results are simulation-based; COMTRADE/HIL validation is required.</w:t>
      </w:r>
    </w:p>
    <w:p>
      <w:pPr>
        <w:numPr>
          <w:ilvl w:val="0"/>
          <w:numId w:val="1002"/>
        </w:numPr>
      </w:pPr>
      <w:r>
        <w:t xml:space="preserve">A fixed system topology is assumed.</w:t>
      </w:r>
    </w:p>
    <w:p>
      <w:pPr>
        <w:pStyle w:val="Heading2"/>
      </w:pPr>
      <w:bookmarkStart w:id="191" w:name="recommendations-for-future-work"/>
      <w:r>
        <w:t xml:space="preserve">Recommendations for Future Work</w:t>
      </w:r>
      <w:bookmarkEnd w:id="191"/>
    </w:p>
    <w:p>
      <w:pPr>
        <w:pStyle w:val="FirstParagraph"/>
      </w:pPr>
      <w:r>
        <w:t xml:space="preserve">Hardware-in-the-loop testing on a real-time digital simulator (Speedgoat/OPAL-RT/FPGA); detailed multi-winding modeling for inter-turn fault detection; field deployment with IEC 61850 GOOSE mapping and Sampled-Values integration; and transfer learning with online drift detection to extend the framework to other transformer configurations with minimal additional data.</w:t>
      </w:r>
    </w:p>
    <w:p>
      <w:pPr>
        <w:pStyle w:val="Heading2"/>
      </w:pPr>
      <w:bookmarkStart w:id="192" w:name="broader-outlook"/>
      <w:r>
        <w:t xml:space="preserve">Broader Outlook</w:t>
      </w:r>
      <w:bookmarkEnd w:id="192"/>
    </w:p>
    <w:p>
      <w:pPr>
        <w:pStyle w:val="FirstParagraph"/>
      </w:pPr>
      <w:r>
        <w:t xml:space="preserve">The hybrid philosophy demonstrated in this thesis—pairing a learned, security-enhancing supervisor with a certified, dependability-guaranteeing classical element—generalises beyond transformer differential protection. The same handshake structure applies to busbar protection (where CT saturation during external faults similarly threatens security), to transmission-line differential and distance protection (where evolving and high-resistance faults challenge fixed settings), and to generator protection (where discriminating magnetising phenomena from genuine faults is analogously difficult). As power systems move toward inverter-dominated generation, the waveform signatures on which conventional relays depend will continue to drift away from the sinusoidal, harmonic-rich assumptions of legacy algorithms; data-driven supervisors that learn from prevailing signal statistics, retrained or fine-tuned as the system evolves, offer a principled path to maintaining protection security. Coupled with the IEC 61850 digital-substation integration and transfer-learning directions of Section 7.5, this points toward a generation of intelligent electronic devices in which certified classical logic and continuously adapting learned supervision operate together as a matter of course.</w:t>
      </w:r>
    </w:p>
    <w:p>
      <w:pPr>
        <w:pStyle w:val="Heading2"/>
      </w:pPr>
      <w:bookmarkStart w:id="193" w:name="concluding-remarks"/>
      <w:r>
        <w:t xml:space="preserve">Concluding Remarks</w:t>
      </w:r>
      <w:bookmarkEnd w:id="193"/>
    </w:p>
    <w:p>
      <w:pPr>
        <w:pStyle w:val="FirstParagraph"/>
      </w:pPr>
      <w:r>
        <w:t xml:space="preserve">By keeping the LSTM in a supervisory role, quantifying both dependability and security, stress-testing beyond the training distribution, and validating in closed-loop co-simulation, this work offers a transferable design pattern for the responsible integration of machine learning into safety-critical protection as power systems transition to intelligent, digital, and increasingly converter-dominated operation.</w:t>
      </w:r>
    </w:p>
    <w:p>
      <w:pPr>
        <w:pStyle w:val="Heading1"/>
      </w:pPr>
      <w:bookmarkStart w:id="194" w:name="list-of-related-publications"/>
      <w:r>
        <w:t xml:space="preserve">List of Related Publications</w:t>
      </w:r>
      <w:bookmarkEnd w:id="194"/>
    </w:p>
    <w:p>
      <w:pPr>
        <w:pStyle w:val="FirstParagraph"/>
      </w:pPr>
      <w:r>
        <w:t xml:space="preserve">The methodology and findings of this thesis build directly upon the following closely related peer-reviewed publications, which represent the current state of the art in wavelet- and deep-learning-based transformer differential protection and were consulted throughout this work:</w:t>
      </w:r>
    </w:p>
    <w:p>
      <w:pPr>
        <w:numPr>
          <w:ilvl w:val="0"/>
          <w:numId w:val="1003"/>
        </w:numPr>
      </w:pPr>
      <w:r>
        <w:t xml:space="preserve">W. A. Atiyah, S. Karimi, and M. Moradi,</w:t>
      </w:r>
      <w:r>
        <w:t xml:space="preserve"> </w:t>
      </w:r>
      <w:r>
        <w:t xml:space="preserve">“</w:t>
      </w:r>
      <w:r>
        <w:t xml:space="preserve">Real-time revolutionizing internal defect detection in power transformers by leveraging wavelet transform and deep learning LSTM in cascading application,</w:t>
      </w:r>
      <w:r>
        <w:t xml:space="preserve">”</w:t>
      </w:r>
      <w:r>
        <w:t xml:space="preserve"> </w:t>
      </w:r>
      <w:r>
        <w:rPr>
          <w:i/>
        </w:rPr>
        <w:t xml:space="preserve">Journal of Electrical Engineering &amp; Technology</w:t>
      </w:r>
      <w:r>
        <w:t xml:space="preserve">, Springer, 2024, doi: 10.1007/s42835-024-02048-7.</w:t>
      </w:r>
      <w:r>
        <w:t xml:space="preserve"> </w:t>
      </w:r>
      <w:r>
        <w:rPr>
          <w:i/>
        </w:rPr>
        <w:t xml:space="preserve">Relevance:</w:t>
      </w:r>
      <w:r>
        <w:t xml:space="preserve"> </w:t>
      </w:r>
      <w:r>
        <w:t xml:space="preserve">the closest prior work—a cascaded wavelet + LSTM scheme for real-time internal-fault detection—which this thesis extends with a compact six-feature representation and a supervisory 87T handshake.</w:t>
      </w:r>
    </w:p>
    <w:p>
      <w:pPr>
        <w:numPr>
          <w:ilvl w:val="0"/>
          <w:numId w:val="1003"/>
        </w:numPr>
      </w:pPr>
      <w:r>
        <w:t xml:space="preserve">S. Key, S. Leap, H. Yoon, S. Lee, and S.-R. Nam,</w:t>
      </w:r>
      <w:r>
        <w:t xml:space="preserve"> </w:t>
      </w:r>
      <w:r>
        <w:t xml:space="preserve">“</w:t>
      </w:r>
      <w:r>
        <w:t xml:space="preserve">A dual deep neural network approach for discriminating internal faults and inrush currents in transformers under CT saturation,</w:t>
      </w:r>
      <w:r>
        <w:t xml:space="preserve">”</w:t>
      </w:r>
      <w:r>
        <w:t xml:space="preserve"> </w:t>
      </w:r>
      <w:r>
        <w:rPr>
          <w:i/>
        </w:rPr>
        <w:t xml:space="preserve">IEEE Access</w:t>
      </w:r>
      <w:r>
        <w:t xml:space="preserve">, vol. 13, 2025, doi: 10.1109/ACCESS.2025.3618747.</w:t>
      </w:r>
      <w:r>
        <w:t xml:space="preserve"> </w:t>
      </w:r>
      <w:r>
        <w:rPr>
          <w:i/>
        </w:rPr>
        <w:t xml:space="preserve">Relevance:</w:t>
      </w:r>
      <w:r>
        <w:t xml:space="preserve"> </w:t>
      </w:r>
      <w:r>
        <w:t xml:space="preserve">a recent dual-network discrimination scheme under CT saturation; this thesis instead couples a single temporal LSTM to a certified 87T element through an explicit veto handshake.</w:t>
      </w:r>
    </w:p>
    <w:p>
      <w:pPr>
        <w:numPr>
          <w:ilvl w:val="0"/>
          <w:numId w:val="1003"/>
        </w:numPr>
      </w:pPr>
      <w:r>
        <w:t xml:space="preserve">S. Afrasiabi, M. Afrasiabi, B. Parang, and M. Mohammadi,</w:t>
      </w:r>
      <w:r>
        <w:t xml:space="preserve"> </w:t>
      </w:r>
      <w:r>
        <w:t xml:space="preserve">“</w:t>
      </w:r>
      <w:r>
        <w:t xml:space="preserve">Integration of accelerated deep neural network into power transformer differential protection,</w:t>
      </w:r>
      <w:r>
        <w:t xml:space="preserve">”</w:t>
      </w:r>
      <w:r>
        <w:t xml:space="preserve"> </w:t>
      </w:r>
      <w:r>
        <w:rPr>
          <w:i/>
        </w:rPr>
        <w:t xml:space="preserve">IEEE Transactions on Industrial Informatics</w:t>
      </w:r>
      <w:r>
        <w:t xml:space="preserve">, vol. 16, no. 2, 2020, doi: 10.1109/TII.2019.2929744.</w:t>
      </w:r>
      <w:r>
        <w:t xml:space="preserve"> </w:t>
      </w:r>
      <w:r>
        <w:rPr>
          <w:i/>
        </w:rPr>
        <w:t xml:space="preserve">Relevance:</w:t>
      </w:r>
      <w:r>
        <w:t xml:space="preserve"> </w:t>
      </w:r>
      <w:r>
        <w:t xml:space="preserve">establishes real-time deep-learning relay feasibility, complemented here by the ONNX</w:t>
      </w:r>
      <m:oMath>
        <m:r>
          <m:t>→</m:t>
        </m:r>
      </m:oMath>
      <w:r>
        <w:t xml:space="preserve">Simulink closed-loop deployment.</w:t>
      </w:r>
    </w:p>
    <w:p>
      <w:pPr>
        <w:numPr>
          <w:ilvl w:val="0"/>
          <w:numId w:val="1003"/>
        </w:numPr>
      </w:pPr>
      <w:r>
        <w:t xml:space="preserve">L. D. Simões, H. J. D. Costa, M. N. O. Aires, R. P. Medeiros, F. B. Costa, and A. S. Bretas,</w:t>
      </w:r>
      <w:r>
        <w:t xml:space="preserve"> </w:t>
      </w:r>
      <w:r>
        <w:t xml:space="preserve">“</w:t>
      </w:r>
      <w:r>
        <w:t xml:space="preserve">A power transformer differential protection based on support vector machine and wavelet transform,</w:t>
      </w:r>
      <w:r>
        <w:t xml:space="preserve">”</w:t>
      </w:r>
      <w:r>
        <w:t xml:space="preserve"> </w:t>
      </w:r>
      <w:r>
        <w:rPr>
          <w:i/>
        </w:rPr>
        <w:t xml:space="preserve">Electric Power Systems Research</w:t>
      </w:r>
      <w:r>
        <w:t xml:space="preserve">, vol. 197, art. 107297, 2021.</w:t>
      </w:r>
      <w:r>
        <w:t xml:space="preserve"> </w:t>
      </w:r>
      <w:r>
        <w:rPr>
          <w:i/>
        </w:rPr>
        <w:t xml:space="preserve">Relevance:</w:t>
      </w:r>
      <w:r>
        <w:t xml:space="preserve"> </w:t>
      </w:r>
      <w:r>
        <w:t xml:space="preserve">a wavelet + SVM baseline for the same discrimination task addressed here with a temporal LSTM and hybrid veto.</w:t>
      </w:r>
    </w:p>
    <w:p>
      <w:pPr>
        <w:numPr>
          <w:ilvl w:val="0"/>
          <w:numId w:val="1003"/>
        </w:numPr>
      </w:pPr>
      <w:r>
        <w:t xml:space="preserve">O. Abdusalam, A. Ibrahim, F. Anayi, and M. Packianather,</w:t>
      </w:r>
      <w:r>
        <w:t xml:space="preserve"> </w:t>
      </w:r>
      <w:r>
        <w:t xml:space="preserve">“</w:t>
      </w:r>
      <w:r>
        <w:t xml:space="preserve">New hybrid machine learning method for detecting faults in three-phase power transformers,</w:t>
      </w:r>
      <w:r>
        <w:t xml:space="preserve">”</w:t>
      </w:r>
      <w:r>
        <w:t xml:space="preserve"> </w:t>
      </w:r>
      <w:r>
        <w:rPr>
          <w:i/>
        </w:rPr>
        <w:t xml:space="preserve">Energies</w:t>
      </w:r>
      <w:r>
        <w:t xml:space="preserve">, 2023.</w:t>
      </w:r>
      <w:r>
        <w:t xml:space="preserve"> </w:t>
      </w:r>
      <w:r>
        <w:rPr>
          <w:i/>
        </w:rPr>
        <w:t xml:space="preserve">Relevance:</w:t>
      </w:r>
      <w:r>
        <w:t xml:space="preserve"> </w:t>
      </w:r>
      <w:r>
        <w:t xml:space="preserve">a hybrid ML fault-detection approach; this thesis likewise validates robustness down to 20 dB SNR while retaining interpretable, physics-informed features.</w:t>
      </w:r>
    </w:p>
    <w:p>
      <w:pPr>
        <w:pStyle w:val="FirstParagraph"/>
      </w:pPr>
      <w:r>
        <w:t xml:space="preserve">99</w:t>
      </w:r>
    </w:p>
    <w:p>
      <w:pPr>
        <w:pStyle w:val="BodyText"/>
      </w:pPr>
      <w:r>
        <w:t xml:space="preserve">W. A. Atiyah, S. Karimi, and M. Moradi,</w:t>
      </w:r>
      <w:r>
        <w:t xml:space="preserve"> </w:t>
      </w:r>
      <w:r>
        <w:t xml:space="preserve">“</w:t>
      </w:r>
      <w:r>
        <w:t xml:space="preserve">Real-time revolutionizing internal defect detection in power transformers by leveraging wavelet transform and deep learning LSTM in cascading application,</w:t>
      </w:r>
      <w:r>
        <w:t xml:space="preserve">”</w:t>
      </w:r>
      <w:r>
        <w:t xml:space="preserve"> </w:t>
      </w:r>
      <w:r>
        <w:rPr>
          <w:i/>
        </w:rPr>
        <w:t xml:space="preserve">J. Electr. Eng. Technol.</w:t>
      </w:r>
      <w:r>
        <w:t xml:space="preserve">, 2024, doi: 10.1007/s42835-024-02048-7.</w:t>
      </w:r>
      <w:r>
        <w:t xml:space="preserve"> </w:t>
      </w:r>
      <w:r>
        <w:t xml:space="preserve">S. Hochreiter and J. Schmidhuber,</w:t>
      </w:r>
      <w:r>
        <w:t xml:space="preserve"> </w:t>
      </w:r>
      <w:r>
        <w:t xml:space="preserve">“</w:t>
      </w:r>
      <w:r>
        <w:t xml:space="preserve">Long short-term memory,</w:t>
      </w:r>
      <w:r>
        <w:t xml:space="preserve">”</w:t>
      </w:r>
      <w:r>
        <w:t xml:space="preserve"> </w:t>
      </w:r>
      <w:r>
        <w:rPr>
          <w:i/>
        </w:rPr>
        <w:t xml:space="preserve">Neural Comput.</w:t>
      </w:r>
      <w:r>
        <w:t xml:space="preserve">, vol. 9, no. 8, pp. 1735–1780, 1997.</w:t>
      </w:r>
      <w:r>
        <w:t xml:space="preserve"> </w:t>
      </w:r>
      <w:r>
        <w:t xml:space="preserve">K. Greff, R. K. Srivastava, J. Koutník, B. R. Steunebrink, and J. Schmidhuber,</w:t>
      </w:r>
      <w:r>
        <w:t xml:space="preserve"> </w:t>
      </w:r>
      <w:r>
        <w:t xml:space="preserve">“</w:t>
      </w:r>
      <w:r>
        <w:t xml:space="preserve">LSTM: A search space odyssey,</w:t>
      </w:r>
      <w:r>
        <w:t xml:space="preserve">”</w:t>
      </w:r>
      <w:r>
        <w:t xml:space="preserve"> </w:t>
      </w:r>
      <w:r>
        <w:rPr>
          <w:i/>
        </w:rPr>
        <w:t xml:space="preserve">IEEE Trans. Neural Netw. Learn. Syst.</w:t>
      </w:r>
      <w:r>
        <w:t xml:space="preserve">, vol. 28, no. 10, pp. 2222–2232, 2017.</w:t>
      </w:r>
      <w:r>
        <w:t xml:space="preserve"> </w:t>
      </w:r>
      <w:r>
        <w:t xml:space="preserve">P. M. Anderson,</w:t>
      </w:r>
      <w:r>
        <w:t xml:space="preserve"> </w:t>
      </w:r>
      <w:r>
        <w:rPr>
          <w:i/>
        </w:rPr>
        <w:t xml:space="preserve">Power System Protection</w:t>
      </w:r>
      <w:r>
        <w:t xml:space="preserve">. Piscataway, NJ: IEEE Press / New York: McGraw-Hill, 1999.</w:t>
      </w:r>
      <w:r>
        <w:t xml:space="preserve"> </w:t>
      </w:r>
      <w:r>
        <w:t xml:space="preserve">S. G. Mallat,</w:t>
      </w:r>
      <w:r>
        <w:t xml:space="preserve"> </w:t>
      </w:r>
      <w:r>
        <w:t xml:space="preserve">“</w:t>
      </w:r>
      <w:r>
        <w:t xml:space="preserve">A theory for multiresolution signal decomposition: the wavelet representation,</w:t>
      </w:r>
      <w:r>
        <w:t xml:space="preserve">”</w:t>
      </w:r>
      <w:r>
        <w:t xml:space="preserve"> </w:t>
      </w:r>
      <w:r>
        <w:rPr>
          <w:i/>
        </w:rPr>
        <w:t xml:space="preserve">IEEE Trans. Pattern Anal. Mach. Intell.</w:t>
      </w:r>
      <w:r>
        <w:t xml:space="preserve">, vol. 11, no. 7, pp. 674–693, 1989.</w:t>
      </w:r>
      <w:r>
        <w:t xml:space="preserve"> </w:t>
      </w:r>
      <w:r>
        <w:t xml:space="preserve">O. Ozgonenel and S. Karagol,</w:t>
      </w:r>
      <w:r>
        <w:t xml:space="preserve"> </w:t>
      </w:r>
      <w:r>
        <w:t xml:space="preserve">“</w:t>
      </w:r>
      <w:r>
        <w:t xml:space="preserve">Transformer differential protection using wavelet transform,</w:t>
      </w:r>
      <w:r>
        <w:t xml:space="preserve">”</w:t>
      </w:r>
      <w:r>
        <w:t xml:space="preserve"> </w:t>
      </w:r>
      <w:r>
        <w:rPr>
          <w:i/>
        </w:rPr>
        <w:t xml:space="preserve">Electr. Power Syst. Res.</w:t>
      </w:r>
      <w:r>
        <w:t xml:space="preserve">, vol. 114, pp. 60–67, 2014.</w:t>
      </w:r>
      <w:r>
        <w:t xml:space="preserve"> </w:t>
      </w:r>
      <w:r>
        <w:t xml:space="preserve">R. L. Sharp and W. E. Glassburn,</w:t>
      </w:r>
      <w:r>
        <w:t xml:space="preserve"> </w:t>
      </w:r>
      <w:r>
        <w:t xml:space="preserve">“</w:t>
      </w:r>
      <w:r>
        <w:t xml:space="preserve">A transformer differential relay with second-harmonic restraint,</w:t>
      </w:r>
      <w:r>
        <w:t xml:space="preserve">”</w:t>
      </w:r>
      <w:r>
        <w:t xml:space="preserve"> </w:t>
      </w:r>
      <w:r>
        <w:rPr>
          <w:i/>
        </w:rPr>
        <w:t xml:space="preserve">Trans. AIEE, Part III (Power App. Syst.)</w:t>
      </w:r>
      <w:r>
        <w:t xml:space="preserve">, vol. 77, no. 3, pp. 913–918, 1958.</w:t>
      </w:r>
      <w:r>
        <w:t xml:space="preserve"> </w:t>
      </w:r>
      <w:r>
        <w:t xml:space="preserve">J. A. Sykes and I. F. Morrison,</w:t>
      </w:r>
      <w:r>
        <w:t xml:space="preserve"> </w:t>
      </w:r>
      <w:r>
        <w:t xml:space="preserve">“</w:t>
      </w:r>
      <w:r>
        <w:t xml:space="preserve">A proposed method of harmonic-restraint differential protecting of transformers by digital computer,</w:t>
      </w:r>
      <w:r>
        <w:t xml:space="preserve">”</w:t>
      </w:r>
      <w:r>
        <w:t xml:space="preserve"> </w:t>
      </w:r>
      <w:r>
        <w:rPr>
          <w:i/>
        </w:rPr>
        <w:t xml:space="preserve">IEEE Trans. Power App. Syst.</w:t>
      </w:r>
      <w:r>
        <w:t xml:space="preserve">, vol. PAS-91, no. 3, pp. 1266–1272, 1972.</w:t>
      </w:r>
      <w:r>
        <w:t xml:space="preserve"> </w:t>
      </w:r>
      <w:r>
        <w:t xml:space="preserve">M. Tripathy, R. P. Maheshwari, and H. K. Verma,</w:t>
      </w:r>
      <w:r>
        <w:t xml:space="preserve"> </w:t>
      </w:r>
      <w:r>
        <w:t xml:space="preserve">“</w:t>
      </w:r>
      <w:r>
        <w:t xml:space="preserve">Power transformer differential protection based on optimal probabilistic neural network,</w:t>
      </w:r>
      <w:r>
        <w:t xml:space="preserve">”</w:t>
      </w:r>
      <w:r>
        <w:t xml:space="preserve"> </w:t>
      </w:r>
      <w:r>
        <w:rPr>
          <w:i/>
        </w:rPr>
        <w:t xml:space="preserve">IEEE Trans. Power Del.</w:t>
      </w:r>
      <w:r>
        <w:t xml:space="preserve">, vol. 25, no. 1, pp. 102–112, 2010.</w:t>
      </w:r>
      <w:r>
        <w:t xml:space="preserve"> </w:t>
      </w:r>
      <w:r>
        <w:t xml:space="preserve">L. L. Zhang, Q. H. Wu, T. Y. Ji, and A. Q. Zhang,</w:t>
      </w:r>
      <w:r>
        <w:t xml:space="preserve"> </w:t>
      </w:r>
      <w:r>
        <w:t xml:space="preserve">“</w:t>
      </w:r>
      <w:r>
        <w:t xml:space="preserve">Identification of inrush currents in power transformers based on higher-order statistics,</w:t>
      </w:r>
      <w:r>
        <w:t xml:space="preserve">”</w:t>
      </w:r>
      <w:r>
        <w:t xml:space="preserve"> </w:t>
      </w:r>
      <w:r>
        <w:rPr>
          <w:i/>
        </w:rPr>
        <w:t xml:space="preserve">Electr. Power Syst. Res.</w:t>
      </w:r>
      <w:r>
        <w:t xml:space="preserve">, vol. 146, pp. 161–169, 2017.</w:t>
      </w:r>
      <w:r>
        <w:t xml:space="preserve"> </w:t>
      </w:r>
      <w:r>
        <w:t xml:space="preserve">O. Abdusalam, A. Ibrahim, F. Anayi, and M. Packianather,</w:t>
      </w:r>
      <w:r>
        <w:t xml:space="preserve"> </w:t>
      </w:r>
      <w:r>
        <w:t xml:space="preserve">“</w:t>
      </w:r>
      <w:r>
        <w:t xml:space="preserve">New hybrid machine learning method for detecting faults in three-phase power transformers,</w:t>
      </w:r>
      <w:r>
        <w:t xml:space="preserve">”</w:t>
      </w:r>
      <w:r>
        <w:t xml:space="preserve"> </w:t>
      </w:r>
      <w:r>
        <w:rPr>
          <w:i/>
        </w:rPr>
        <w:t xml:space="preserve">Energies</w:t>
      </w:r>
      <w:r>
        <w:t xml:space="preserve">, vol. 16, 2023.</w:t>
      </w:r>
      <w:r>
        <w:t xml:space="preserve"> </w:t>
      </w:r>
      <w:r>
        <w:t xml:space="preserve">M. Salimi,</w:t>
      </w:r>
      <w:r>
        <w:t xml:space="preserve"> </w:t>
      </w:r>
      <w:r>
        <w:t xml:space="preserve">“</w:t>
      </w:r>
      <w:r>
        <w:t xml:space="preserve">Identification of the inrush current of the internal faults of power transformers based on the differential relay function,</w:t>
      </w:r>
      <w:r>
        <w:t xml:space="preserve">”</w:t>
      </w:r>
      <w:r>
        <w:t xml:space="preserve"> </w:t>
      </w:r>
      <w:r>
        <w:rPr>
          <w:i/>
        </w:rPr>
        <w:t xml:space="preserve">Int. J. Adv. Appl. Sci.</w:t>
      </w:r>
      <w:r>
        <w:t xml:space="preserve">, vol. 5, no. 3, pp. 141–148, 2016.</w:t>
      </w:r>
      <w:r>
        <w:t xml:space="preserve"> </w:t>
      </w:r>
      <w:r>
        <w:t xml:space="preserve">L. D. Simões, H. J. D. Costa, M. N. O. Aires, R. P. Medeiros, F. B. Costa, and A. S. Bretas,</w:t>
      </w:r>
      <w:r>
        <w:t xml:space="preserve"> </w:t>
      </w:r>
      <w:r>
        <w:t xml:space="preserve">“</w:t>
      </w:r>
      <w:r>
        <w:t xml:space="preserve">A power transformer differential protection based on support vector machine and wavelet transform,</w:t>
      </w:r>
      <w:r>
        <w:t xml:space="preserve">”</w:t>
      </w:r>
      <w:r>
        <w:t xml:space="preserve"> </w:t>
      </w:r>
      <w:r>
        <w:rPr>
          <w:i/>
        </w:rPr>
        <w:t xml:space="preserve">Electr. Power Syst. Res.</w:t>
      </w:r>
      <w:r>
        <w:t xml:space="preserve">, vol. 197, art. 107297, 2021.</w:t>
      </w:r>
      <w:r>
        <w:t xml:space="preserve"> </w:t>
      </w:r>
      <w:r>
        <w:t xml:space="preserve">M. Y. Suliman and M. T. Al-Khayyat,</w:t>
      </w:r>
      <w:r>
        <w:t xml:space="preserve"> </w:t>
      </w:r>
      <w:r>
        <w:t xml:space="preserve">“</w:t>
      </w:r>
      <w:r>
        <w:t xml:space="preserve">Discrimination between inrush and internal fault currents in protection based power transformer using DWT,</w:t>
      </w:r>
      <w:r>
        <w:t xml:space="preserve">”</w:t>
      </w:r>
      <w:r>
        <w:t xml:space="preserve"> </w:t>
      </w:r>
      <w:r>
        <w:rPr>
          <w:i/>
        </w:rPr>
        <w:t xml:space="preserve">Int. J. Electr. Eng. Informat.</w:t>
      </w:r>
      <w:r>
        <w:t xml:space="preserve">, vol. 13, no. 1, 2021.</w:t>
      </w:r>
      <w:r>
        <w:t xml:space="preserve"> </w:t>
      </w:r>
      <w:r>
        <w:t xml:space="preserve">L. A. Yaseen, A. Ebadi, and A. A. Abdoos,</w:t>
      </w:r>
      <w:r>
        <w:t xml:space="preserve"> </w:t>
      </w:r>
      <w:r>
        <w:t xml:space="preserve">“</w:t>
      </w:r>
      <w:r>
        <w:t xml:space="preserve">Discrimination between inrush and internal fault currents in power transformers using hyperbolic S-transform,</w:t>
      </w:r>
      <w:r>
        <w:t xml:space="preserve">”</w:t>
      </w:r>
      <w:r>
        <w:t xml:space="preserve"> </w:t>
      </w:r>
      <w:r>
        <w:rPr>
          <w:i/>
        </w:rPr>
        <w:t xml:space="preserve">Int. J. Eng., Trans. C</w:t>
      </w:r>
      <w:r>
        <w:t xml:space="preserve">, vol. 36, no. 12, pp. 2184–2189, 2023.</w:t>
      </w:r>
      <w:r>
        <w:t xml:space="preserve"> </w:t>
      </w:r>
      <w:r>
        <w:t xml:space="preserve">S. Afrasiabi, M. Afrasiabi, B. Parang, and M. Mohammadi,</w:t>
      </w:r>
      <w:r>
        <w:t xml:space="preserve"> </w:t>
      </w:r>
      <w:r>
        <w:t xml:space="preserve">“</w:t>
      </w:r>
      <w:r>
        <w:t xml:space="preserve">Integration of accelerated deep neural network into power transformer differential protection,</w:t>
      </w:r>
      <w:r>
        <w:t xml:space="preserve">”</w:t>
      </w:r>
      <w:r>
        <w:t xml:space="preserve"> </w:t>
      </w:r>
      <w:r>
        <w:rPr>
          <w:i/>
        </w:rPr>
        <w:t xml:space="preserve">IEEE Trans. Ind. Informat.</w:t>
      </w:r>
      <w:r>
        <w:t xml:space="preserve">, vol. 16, no. 2, 2020, doi: 10.1109/TII.2019.2929744.</w:t>
      </w:r>
      <w:r>
        <w:t xml:space="preserve"> </w:t>
      </w:r>
      <w:r>
        <w:t xml:space="preserve">H. Dashti and M. Sanaye-Pasand,</w:t>
      </w:r>
      <w:r>
        <w:t xml:space="preserve"> </w:t>
      </w:r>
      <w:r>
        <w:t xml:space="preserve">“</w:t>
      </w:r>
      <w:r>
        <w:t xml:space="preserve">Power transformer protection using a multiregion adaptive differential relay,</w:t>
      </w:r>
      <w:r>
        <w:t xml:space="preserve">”</w:t>
      </w:r>
      <w:r>
        <w:t xml:space="preserve"> </w:t>
      </w:r>
      <w:r>
        <w:rPr>
          <w:i/>
        </w:rPr>
        <w:t xml:space="preserve">IEEE Trans. Power Del.</w:t>
      </w:r>
      <w:r>
        <w:t xml:space="preserve">, vol. 29, no. 2, pp. 777–785, 2014.</w:t>
      </w:r>
      <w:r>
        <w:t xml:space="preserve"> </w:t>
      </w:r>
      <w:r>
        <w:t xml:space="preserve">B. Sundararaman and P. Jain,</w:t>
      </w:r>
      <w:r>
        <w:t xml:space="preserve"> </w:t>
      </w:r>
      <w:r>
        <w:t xml:space="preserve">“</w:t>
      </w:r>
      <w:r>
        <w:t xml:space="preserve">Fault detection and classification in electrical power transmission system using wavelet transform,</w:t>
      </w:r>
      <w:r>
        <w:t xml:space="preserve">”</w:t>
      </w:r>
      <w:r>
        <w:t xml:space="preserve"> </w:t>
      </w:r>
      <w:r>
        <w:t xml:space="preserve">in</w:t>
      </w:r>
      <w:r>
        <w:t xml:space="preserve"> </w:t>
      </w:r>
      <w:r>
        <w:rPr>
          <w:i/>
        </w:rPr>
        <w:t xml:space="preserve">Proc. Int. Conf. Recent Advances in Sciences and Engineering (ICRASE)</w:t>
      </w:r>
      <w:r>
        <w:t xml:space="preserve">, Dubai, 2023.</w:t>
      </w:r>
      <w:r>
        <w:t xml:space="preserve"> </w:t>
      </w:r>
      <w:r>
        <w:t xml:space="preserve">S. I. Tuhin, M. Al Araf, F. I. Zubayer, M. A. Al Mahtab, and M. Naeem,</w:t>
      </w:r>
      <w:r>
        <w:t xml:space="preserve"> </w:t>
      </w:r>
      <w:r>
        <w:t xml:space="preserve">“</w:t>
      </w:r>
      <w:r>
        <w:t xml:space="preserve">Advanced fault detection in power systems using wavelet transform: SIMULINK-based implementation and analysis,</w:t>
      </w:r>
      <w:r>
        <w:t xml:space="preserve">”</w:t>
      </w:r>
      <w:r>
        <w:t xml:space="preserve"> </w:t>
      </w:r>
      <w:r>
        <w:rPr>
          <w:i/>
        </w:rPr>
        <w:t xml:space="preserve">J. Energy Eng. Thermodyn.</w:t>
      </w:r>
      <w:r>
        <w:t xml:space="preserve">, vol. 4, no. 3, pp. 12–25, 2024, doi: 10.55529/jeet.43.12.25.</w:t>
      </w:r>
      <w:r>
        <w:t xml:space="preserve"> </w:t>
      </w:r>
      <w:r>
        <w:t xml:space="preserve">S. B. A. Bukhari, A. Wadood, T. Khurshaid, K. K. Mehmood, S. B. Rhee, and K.-C. Kim,</w:t>
      </w:r>
      <w:r>
        <w:t xml:space="preserve"> </w:t>
      </w:r>
      <w:r>
        <w:t xml:space="preserve">“</w:t>
      </w:r>
      <w:r>
        <w:t xml:space="preserve">Empirical wavelet transform-based intelligent protection scheme for microgrids,</w:t>
      </w:r>
      <w:r>
        <w:t xml:space="preserve">”</w:t>
      </w:r>
      <w:r>
        <w:t xml:space="preserve"> </w:t>
      </w:r>
      <w:r>
        <w:rPr>
          <w:i/>
        </w:rPr>
        <w:t xml:space="preserve">Energies</w:t>
      </w:r>
      <w:r>
        <w:t xml:space="preserve">, 2022.</w:t>
      </w:r>
      <w:r>
        <w:t xml:space="preserve"> </w:t>
      </w:r>
      <w:r>
        <w:t xml:space="preserve">Y. Wang, Y. Lu, and C. Cai,</w:t>
      </w:r>
      <w:r>
        <w:t xml:space="preserve"> </w:t>
      </w:r>
      <w:r>
        <w:t xml:space="preserve">“</w:t>
      </w:r>
      <w:r>
        <w:t xml:space="preserve">A variable data-window phaselet transformer differential protection algorithm based on recursive least square theory,</w:t>
      </w:r>
      <w:r>
        <w:t xml:space="preserve">”</w:t>
      </w:r>
      <w:r>
        <w:t xml:space="preserve"> </w:t>
      </w:r>
      <w:r>
        <w:t xml:space="preserve">in</w:t>
      </w:r>
      <w:r>
        <w:t xml:space="preserve"> </w:t>
      </w:r>
      <w:r>
        <w:rPr>
          <w:i/>
        </w:rPr>
        <w:t xml:space="preserve">Proc. Conf.</w:t>
      </w:r>
      <w:r>
        <w:t xml:space="preserve">, Southeast University, 2021.</w:t>
      </w:r>
      <w:r>
        <w:t xml:space="preserve"> </w:t>
      </w:r>
      <w:r>
        <w:t xml:space="preserve">I. Guyon and A. Elisseeff,</w:t>
      </w:r>
      <w:r>
        <w:t xml:space="preserve"> </w:t>
      </w:r>
      <w:r>
        <w:t xml:space="preserve">“</w:t>
      </w:r>
      <w:r>
        <w:t xml:space="preserve">An introduction to variable and feature selection,</w:t>
      </w:r>
      <w:r>
        <w:t xml:space="preserve">”</w:t>
      </w:r>
      <w:r>
        <w:t xml:space="preserve"> </w:t>
      </w:r>
      <w:r>
        <w:rPr>
          <w:i/>
        </w:rPr>
        <w:t xml:space="preserve">J. Mach. Learn. Res.</w:t>
      </w:r>
      <w:r>
        <w:t xml:space="preserve">, vol. 3, pp. 1157–1182, 2003.</w:t>
      </w:r>
      <w:r>
        <w:t xml:space="preserve"> </w:t>
      </w:r>
      <w:r>
        <w:t xml:space="preserve">S. Key, S. Leap, H. Yoon, S. Lee, and S.-R. Nam,</w:t>
      </w:r>
      <w:r>
        <w:t xml:space="preserve"> </w:t>
      </w:r>
      <w:r>
        <w:t xml:space="preserve">“</w:t>
      </w:r>
      <w:r>
        <w:t xml:space="preserve">A dual deep neural network approach for discriminating internal faults and inrush currents in transformers under CT saturation,</w:t>
      </w:r>
      <w:r>
        <w:t xml:space="preserve">”</w:t>
      </w:r>
      <w:r>
        <w:t xml:space="preserve"> </w:t>
      </w:r>
      <w:r>
        <w:rPr>
          <w:i/>
        </w:rPr>
        <w:t xml:space="preserve">IEEE Access</w:t>
      </w:r>
      <w:r>
        <w:t xml:space="preserve">, vol. 13, 2025, doi: 10.1109/ACCESS.2025.3618747.</w:t>
      </w:r>
      <w:r>
        <w:t xml:space="preserve"> </w:t>
      </w:r>
      <w:r>
        <w:t xml:space="preserve">A. Guzmán, S. Zocholl, G. Benmouyal, and H. J. Altuve,</w:t>
      </w:r>
      <w:r>
        <w:t xml:space="preserve"> </w:t>
      </w:r>
      <w:r>
        <w:t xml:space="preserve">“</w:t>
      </w:r>
      <w:r>
        <w:t xml:space="preserve">A current-based solution for transformer differential protection—Part I: Problem statement,</w:t>
      </w:r>
      <w:r>
        <w:t xml:space="preserve">”</w:t>
      </w:r>
      <w:r>
        <w:t xml:space="preserve"> </w:t>
      </w:r>
      <w:r>
        <w:rPr>
          <w:i/>
        </w:rPr>
        <w:t xml:space="preserve">IEEE Trans. Power Del.</w:t>
      </w:r>
      <w:r>
        <w:t xml:space="preserve">, vol. 16, no. 4, pp. 485–491, 2001.</w:t>
      </w:r>
      <w:r>
        <w:t xml:space="preserve"> </w:t>
      </w:r>
      <w:r>
        <w:t xml:space="preserve">P. Chiradeja, C. Pothisarn,</w:t>
      </w:r>
      <w:r>
        <w:t xml:space="preserve"> </w:t>
      </w:r>
      <w:r>
        <w:rPr>
          <w:i/>
        </w:rPr>
        <w:t xml:space="preserve">et al.</w:t>
      </w:r>
      <w:r>
        <w:t xml:space="preserve">,</w:t>
      </w:r>
      <w:r>
        <w:t xml:space="preserve"> </w:t>
      </w:r>
      <w:r>
        <w:t xml:space="preserve">“</w:t>
      </w:r>
      <w:r>
        <w:t xml:space="preserve">Application of probabilistic neural networks using high-frequency components’ differential current for transformer protection schemes,</w:t>
      </w:r>
      <w:r>
        <w:t xml:space="preserve">”</w:t>
      </w:r>
      <w:r>
        <w:t xml:space="preserve"> </w:t>
      </w:r>
      <w:r>
        <w:rPr>
          <w:i/>
        </w:rPr>
        <w:t xml:space="preserve">Appl. Sci.</w:t>
      </w:r>
      <w:r>
        <w:t xml:space="preserve">, 2021.</w:t>
      </w:r>
      <w:r>
        <w:t xml:space="preserve"> </w:t>
      </w:r>
      <w:r>
        <w:t xml:space="preserve">T. S. Sidhu and M. S. Sachdev,</w:t>
      </w:r>
      <w:r>
        <w:t xml:space="preserve"> </w:t>
      </w:r>
      <w:r>
        <w:t xml:space="preserve">“</w:t>
      </w:r>
      <w:r>
        <w:t xml:space="preserve">Online identification of magnetizing inrush and internal faults in three-phase transformers,</w:t>
      </w:r>
      <w:r>
        <w:t xml:space="preserve">”</w:t>
      </w:r>
      <w:r>
        <w:t xml:space="preserve"> </w:t>
      </w:r>
      <w:r>
        <w:rPr>
          <w:i/>
        </w:rPr>
        <w:t xml:space="preserve">IEEE Trans. Power Del.</w:t>
      </w:r>
      <w:r>
        <w:t xml:space="preserve">, vol. 7, no. 4, pp. 1885–1891, 1992.</w:t>
      </w:r>
      <w:r>
        <w:t xml:space="preserve"> </w:t>
      </w:r>
      <w:r>
        <w:t xml:space="preserve">M. A. Rahman and B. Jeyasurya,</w:t>
      </w:r>
      <w:r>
        <w:t xml:space="preserve"> </w:t>
      </w:r>
      <w:r>
        <w:t xml:space="preserve">“</w:t>
      </w:r>
      <w:r>
        <w:t xml:space="preserve">A state-of-the-art review of transformer protection algorithms,</w:t>
      </w:r>
      <w:r>
        <w:t xml:space="preserve">”</w:t>
      </w:r>
      <w:r>
        <w:t xml:space="preserve"> </w:t>
      </w:r>
      <w:r>
        <w:rPr>
          <w:i/>
        </w:rPr>
        <w:t xml:space="preserve">IEEE Trans. Power Del.</w:t>
      </w:r>
      <w:r>
        <w:t xml:space="preserve">, vol. 3, no. 2, pp. 534–544, 1988.</w:t>
      </w:r>
      <w:r>
        <w:t xml:space="preserve"> </w:t>
      </w:r>
      <w:r>
        <w:t xml:space="preserve">X.-n. Lin, P. Liu, and O. P. Malik,</w:t>
      </w:r>
      <w:r>
        <w:t xml:space="preserve"> </w:t>
      </w:r>
      <w:r>
        <w:t xml:space="preserve">“</w:t>
      </w:r>
      <w:r>
        <w:t xml:space="preserve">Studies for identification of the inrush based on improved correlation algorithm,</w:t>
      </w:r>
      <w:r>
        <w:t xml:space="preserve">”</w:t>
      </w:r>
      <w:r>
        <w:t xml:space="preserve"> </w:t>
      </w:r>
      <w:r>
        <w:rPr>
          <w:i/>
        </w:rPr>
        <w:t xml:space="preserve">IEEE Trans. Power Del.</w:t>
      </w:r>
      <w:r>
        <w:t xml:space="preserve">, vol. 17, no. 4, pp. 901–907, 2002.</w:t>
      </w:r>
      <w:r>
        <w:t xml:space="preserve"> </w:t>
      </w:r>
      <w:r>
        <w:t xml:space="preserve">K. Inagaki, M. Higaki, Y. Matsui, K. Kurita, M. Suzuki, K. Yoshida, and T. Maeda,</w:t>
      </w:r>
      <w:r>
        <w:t xml:space="preserve"> </w:t>
      </w:r>
      <w:r>
        <w:t xml:space="preserve">“</w:t>
      </w:r>
      <w:r>
        <w:t xml:space="preserve">Digital protection method for power transformers based on an equivalent circuit composed of inverse inductance,</w:t>
      </w:r>
      <w:r>
        <w:t xml:space="preserve">”</w:t>
      </w:r>
      <w:r>
        <w:t xml:space="preserve"> </w:t>
      </w:r>
      <w:r>
        <w:rPr>
          <w:i/>
        </w:rPr>
        <w:t xml:space="preserve">IEEE Trans. Power Del.</w:t>
      </w:r>
      <w:r>
        <w:t xml:space="preserve">, vol. 3, no. 4, pp. 1501–1510, 1988.</w:t>
      </w:r>
      <w:r>
        <w:t xml:space="preserve"> </w:t>
      </w:r>
      <w:r>
        <w:t xml:space="preserve">A. G. Phadke and J. S. Thorp,</w:t>
      </w:r>
      <w:r>
        <w:t xml:space="preserve"> </w:t>
      </w:r>
      <w:r>
        <w:t xml:space="preserve">“</w:t>
      </w:r>
      <w:r>
        <w:t xml:space="preserve">A new computer-based flux-restrained current-differential relay for power transformer protection,</w:t>
      </w:r>
      <w:r>
        <w:t xml:space="preserve">”</w:t>
      </w:r>
      <w:r>
        <w:t xml:space="preserve"> </w:t>
      </w:r>
      <w:r>
        <w:rPr>
          <w:i/>
        </w:rPr>
        <w:t xml:space="preserve">IEEE Trans. Power App. Syst.</w:t>
      </w:r>
      <w:r>
        <w:t xml:space="preserve">, vol. PAS-102, no. 11, pp. 3624–3629, 1983.</w:t>
      </w:r>
      <w:r>
        <w:t xml:space="preserve"> </w:t>
      </w:r>
      <w:r>
        <w:t xml:space="preserve">I. Daubechies,</w:t>
      </w:r>
      <w:r>
        <w:t xml:space="preserve"> </w:t>
      </w:r>
      <w:r>
        <w:t xml:space="preserve">“</w:t>
      </w:r>
      <w:r>
        <w:t xml:space="preserve">The wavelet transform, time-frequency localization and signal analysis,</w:t>
      </w:r>
      <w:r>
        <w:t xml:space="preserve">”</w:t>
      </w:r>
      <w:r>
        <w:t xml:space="preserve"> </w:t>
      </w:r>
      <w:r>
        <w:rPr>
          <w:i/>
        </w:rPr>
        <w:t xml:space="preserve">IEEE Trans. Inf. Theory</w:t>
      </w:r>
      <w:r>
        <w:t xml:space="preserve">, vol. 36, no. 5, pp. 961–1005, 1990.</w:t>
      </w:r>
      <w:r>
        <w:t xml:space="preserve"> </w:t>
      </w:r>
      <w:r>
        <w:t xml:space="preserve">O. Rioul and M. Vetterli,</w:t>
      </w:r>
      <w:r>
        <w:t xml:space="preserve"> </w:t>
      </w:r>
      <w:r>
        <w:t xml:space="preserve">“</w:t>
      </w:r>
      <w:r>
        <w:t xml:space="preserve">Wavelets and signal processing,</w:t>
      </w:r>
      <w:r>
        <w:t xml:space="preserve">”</w:t>
      </w:r>
      <w:r>
        <w:t xml:space="preserve"> </w:t>
      </w:r>
      <w:r>
        <w:rPr>
          <w:i/>
        </w:rPr>
        <w:t xml:space="preserve">IEEE Signal Process. Mag.</w:t>
      </w:r>
      <w:r>
        <w:t xml:space="preserve">, vol. 8, no. 4, pp. 14–38, 1991.</w:t>
      </w:r>
      <w:r>
        <w:t xml:space="preserve"> </w:t>
      </w:r>
      <w:r>
        <w:t xml:space="preserve">W. Rebizant, D. Bejmert, and L. Schiel,</w:t>
      </w:r>
      <w:r>
        <w:t xml:space="preserve"> </w:t>
      </w:r>
      <w:r>
        <w:t xml:space="preserve">“</w:t>
      </w:r>
      <w:r>
        <w:t xml:space="preserve">Transformer differential protection with neural network based inrush stabilization,</w:t>
      </w:r>
      <w:r>
        <w:t xml:space="preserve">”</w:t>
      </w:r>
      <w:r>
        <w:t xml:space="preserve"> </w:t>
      </w:r>
      <w:r>
        <w:t xml:space="preserve">in</w:t>
      </w:r>
      <w:r>
        <w:t xml:space="preserve"> </w:t>
      </w:r>
      <w:r>
        <w:rPr>
          <w:i/>
        </w:rPr>
        <w:t xml:space="preserve">Proc. Int. Conf. on Developments in Power System Protection</w:t>
      </w:r>
      <w:r>
        <w:t xml:space="preserve">, 2008.</w:t>
      </w:r>
      <w:r>
        <w:t xml:space="preserve"> </w:t>
      </w:r>
      <w:r>
        <w:t xml:space="preserve">L. Breiman,</w:t>
      </w:r>
      <w:r>
        <w:t xml:space="preserve"> </w:t>
      </w:r>
      <w:r>
        <w:t xml:space="preserve">“</w:t>
      </w:r>
      <w:r>
        <w:t xml:space="preserve">Random forests,</w:t>
      </w:r>
      <w:r>
        <w:t xml:space="preserve">”</w:t>
      </w:r>
      <w:r>
        <w:t xml:space="preserve"> </w:t>
      </w:r>
      <w:r>
        <w:rPr>
          <w:i/>
        </w:rPr>
        <w:t xml:space="preserve">Mach. Learn.</w:t>
      </w:r>
      <w:r>
        <w:t xml:space="preserve">, vol. 45, no. 1, pp. 5–32, 2001.</w:t>
      </w:r>
      <w:r>
        <w:t xml:space="preserve"> </w:t>
      </w:r>
      <w:r>
        <w:t xml:space="preserve">G. E. Hinton and R. R. Salakhutdinov,</w:t>
      </w:r>
      <w:r>
        <w:t xml:space="preserve"> </w:t>
      </w:r>
      <w:r>
        <w:t xml:space="preserve">“</w:t>
      </w:r>
      <w:r>
        <w:t xml:space="preserve">Reducing the dimensionality of data with neural networks,</w:t>
      </w:r>
      <w:r>
        <w:t xml:space="preserve">”</w:t>
      </w:r>
      <w:r>
        <w:t xml:space="preserve"> </w:t>
      </w:r>
      <w:r>
        <w:rPr>
          <w:i/>
        </w:rPr>
        <w:t xml:space="preserve">Science</w:t>
      </w:r>
      <w:r>
        <w:t xml:space="preserve">, vol. 313, no. 5786, pp. 504–507, 2006.</w:t>
      </w:r>
      <w:r>
        <w:t xml:space="preserve"> </w:t>
      </w:r>
      <w:r>
        <w:t xml:space="preserve">I. Goodfellow, J. Pouget-Abadie, M. Mirza, B. Xu, D. Warde-Farley, S. Ozair, A. Courville, and Y. Bengio,</w:t>
      </w:r>
      <w:r>
        <w:t xml:space="preserve"> </w:t>
      </w:r>
      <w:r>
        <w:t xml:space="preserve">“</w:t>
      </w:r>
      <w:r>
        <w:t xml:space="preserve">Generative adversarial nets,</w:t>
      </w:r>
      <w:r>
        <w:t xml:space="preserve">”</w:t>
      </w:r>
      <w:r>
        <w:t xml:space="preserve"> </w:t>
      </w:r>
      <w:r>
        <w:t xml:space="preserve">in</w:t>
      </w:r>
      <w:r>
        <w:t xml:space="preserve"> </w:t>
      </w:r>
      <w:r>
        <w:rPr>
          <w:i/>
        </w:rPr>
        <w:t xml:space="preserve">Proc. Adv. Neural Inf. Process. Syst. (NeurIPS)</w:t>
      </w:r>
      <w:r>
        <w:t xml:space="preserve">, 2014, pp. 2672–2680.</w:t>
      </w:r>
      <w:r>
        <w:t xml:space="preserve"> </w:t>
      </w:r>
      <w:r>
        <w:t xml:space="preserve">A. Vaswani, N. Shazeer, N. Parmar, J. Uszkoreit, L. Jones, A. N. Gomez, L. Kaiser, and I. Polosukhin,</w:t>
      </w:r>
      <w:r>
        <w:t xml:space="preserve"> </w:t>
      </w:r>
      <w:r>
        <w:t xml:space="preserve">“</w:t>
      </w:r>
      <w:r>
        <w:t xml:space="preserve">Attention is all you need,</w:t>
      </w:r>
      <w:r>
        <w:t xml:space="preserve">”</w:t>
      </w:r>
      <w:r>
        <w:t xml:space="preserve"> </w:t>
      </w:r>
      <w:r>
        <w:t xml:space="preserve">in</w:t>
      </w:r>
      <w:r>
        <w:t xml:space="preserve"> </w:t>
      </w:r>
      <w:r>
        <w:rPr>
          <w:i/>
        </w:rPr>
        <w:t xml:space="preserve">Proc. Adv. Neural Inf. Process. Syst. (NeurIPS)</w:t>
      </w:r>
      <w:r>
        <w:t xml:space="preserve">, 2017, pp. 5998–6008.</w:t>
      </w:r>
    </w:p>
    <w:p>
      <w:pPr>
        <w:pStyle w:val="Heading1"/>
      </w:pPr>
      <w:bookmarkStart w:id="195" w:name="system-parameters-and-configuration"/>
      <w:r>
        <w:t xml:space="preserve">System Parameters and Configuration</w:t>
      </w:r>
      <w:bookmarkEnd w:id="195"/>
    </w:p>
    <w:p>
      <w:pPr>
        <w:pStyle w:val="FirstParagraph"/>
      </w:pPr>
      <w:r>
        <w:t xml:space="preserve">The transformer and CT parameters correspond to the 300 MVA, 230/11 kV, Yd1 unit of Chapter 4 (Tables </w:t>
      </w:r>
      <w:hyperlink w:anchor="tab:4.1">
        <w:r>
          <w:rPr>
            <w:rStyle w:val="Hyperlink"/>
          </w:rPr>
          <w:t xml:space="preserve">4.1</w:t>
        </w:r>
      </w:hyperlink>
      <w:r>
        <w:t xml:space="preserve"> </w:t>
      </w:r>
      <w:r>
        <w:t xml:space="preserve">and </w:t>
      </w:r>
      <w:hyperlink w:anchor="tab:4.2">
        <w:r>
          <w:rPr>
            <w:rStyle w:val="Hyperlink"/>
          </w:rPr>
          <w:t xml:space="preserve">4.2</w:t>
        </w:r>
      </w:hyperlink>
      <w:r>
        <w:t xml:space="preserve">). Table </w:t>
      </w:r>
      <w:hyperlink w:anchor="tab:db4">
        <w:r>
          <w:rPr>
            <w:rStyle w:val="Hyperlink"/>
          </w:rPr>
          <w:t xml:space="preserve">8.1</w:t>
        </w:r>
      </w:hyperlink>
      <w:r>
        <w:t xml:space="preserve"> </w:t>
      </w:r>
      <w:r>
        <w:t xml:space="preserve">lists the Daubechies-4 filter coefficients, and Table </w:t>
      </w:r>
      <w:hyperlink w:anchor="tab:hyper">
        <w:r>
          <w:rPr>
            <w:rStyle w:val="Hyperlink"/>
          </w:rPr>
          <w:t xml:space="preserve">8.2</w:t>
        </w:r>
      </w:hyperlink>
      <w:r>
        <w:t xml:space="preserve"> </w:t>
      </w:r>
      <w:r>
        <w:t xml:space="preserve">the LSTM hyperparameter search space.</w:t>
      </w:r>
    </w:p>
    <w:bookmarkStart w:id="196" w:name="tab:db4"/>
    <w:p>
      <w:pPr>
        <w:pStyle w:val="TableCaption"/>
      </w:pPr>
      <w:r>
        <w:t xml:space="preserve">Daubechies-4 decomposition filter coefficients (</w:t>
      </w:r>
      <m:oMath>
        <m:r>
          <m:t>g</m:t>
        </m:r>
        <m:r>
          <m:t>[</m:t>
        </m:r>
        <m:r>
          <m:t>n</m:t>
        </m:r>
        <m:r>
          <m:t>]</m:t>
        </m:r>
        <m:r>
          <m:t>=</m:t>
        </m:r>
        <m:r>
          <m:t>(</m:t>
        </m:r>
        <m:r>
          <m:t>−</m:t>
        </m:r>
        <m:r>
          <m:t>1</m:t>
        </m:r>
        <m:sSup>
          <m:e>
            <m:r>
              <m:t>)</m:t>
            </m:r>
          </m:e>
          <m:sup>
            <m:r>
              <m:t>n</m:t>
            </m:r>
          </m:sup>
        </m:sSup>
        <m:r>
          <m:t>h</m:t>
        </m:r>
        <m:r>
          <m:t>[</m:t>
        </m:r>
        <m:r>
          <m:t>7</m:t>
        </m:r>
        <m:r>
          <m:t>−</m:t>
        </m:r>
        <m:r>
          <m:t>n</m:t>
        </m:r>
        <m:r>
          <m:t>]</m:t>
        </m:r>
      </m:oMath>
      <w:r>
        <w:t xml:space="preserve">).</w:t>
      </w:r>
    </w:p>
    <w:tbl>
      <w:tblPr>
        <w:tblStyle w:val="Table"/>
        <w:tblW w:type="pct" w:w="0.0"/>
        <w:tblLook w:firstRow="1"/>
        <w:tblCaption w:val="Daubechies-4 decomposition filter coefficients (g[n]=(-1)^n h[7-n])."/>
      </w:tblPr>
      <w:tblGrid/>
      <w:tr>
        <w:trPr>
          <w:cnfStyle w:firstRow="1"/>
        </w:trPr>
        <w:tc>
          <w:tcPr>
            <w:tcBorders>
              <w:bottom w:val="single"/>
            </w:tcBorders>
            <w:vAlign w:val="bottom"/>
          </w:tcPr>
          <w:p>
            <w:pPr>
              <w:pStyle w:val="Compact"/>
              <w:jc w:val="center"/>
            </w:pPr>
            <m:oMath>
              <m:r>
                <m:t>n</m:t>
              </m:r>
            </m:oMath>
          </w:p>
        </w:tc>
        <w:tc>
          <w:tcPr>
            <w:tcBorders>
              <w:bottom w:val="single"/>
            </w:tcBorders>
            <w:vAlign w:val="bottom"/>
          </w:tcPr>
          <w:p>
            <w:pPr>
              <w:pStyle w:val="Compact"/>
              <w:jc w:val="center"/>
            </w:pPr>
            <m:oMath>
              <m:r>
                <m:t>h</m:t>
              </m:r>
              <m:r>
                <m:t>[</m:t>
              </m:r>
              <m:r>
                <m:t>n</m:t>
              </m:r>
              <m:r>
                <m:t>]</m:t>
              </m:r>
            </m:oMath>
            <w:r>
              <w:t xml:space="preserve"> </w:t>
            </w:r>
            <w:r>
              <w:t xml:space="preserve">(low-pass)</w:t>
            </w:r>
          </w:p>
        </w:tc>
        <w:tc>
          <w:tcPr>
            <w:tcBorders>
              <w:bottom w:val="single"/>
            </w:tcBorders>
            <w:vAlign w:val="bottom"/>
          </w:tcPr>
          <w:p>
            <w:pPr>
              <w:pStyle w:val="Compact"/>
              <w:jc w:val="center"/>
            </w:pPr>
            <m:oMath>
              <m:r>
                <m:t>g</m:t>
              </m:r>
              <m:r>
                <m:t>[</m:t>
              </m:r>
              <m:r>
                <m:t>n</m:t>
              </m:r>
              <m:r>
                <m:t>]</m:t>
              </m:r>
            </m:oMath>
            <w:r>
              <w:t xml:space="preserve"> </w:t>
            </w:r>
            <w:r>
              <w:t xml:space="preserve">(high-pass)</w:t>
            </w:r>
          </w:p>
        </w:tc>
      </w:tr>
      <w:tr>
        <w:tc>
          <w:p>
            <w:pPr>
              <w:pStyle w:val="Compact"/>
              <w:jc w:val="center"/>
            </w:pPr>
            <w:r>
              <w:t xml:space="preserve">0</w:t>
            </w:r>
          </w:p>
        </w:tc>
        <w:tc>
          <w:p>
            <w:pPr>
              <w:pStyle w:val="Compact"/>
              <w:jc w:val="center"/>
            </w:pPr>
            <m:oMath>
              <m:r>
                <m:t>+</m:t>
              </m:r>
              <m:r>
                <m:t>0.23037781</m:t>
              </m:r>
            </m:oMath>
          </w:p>
        </w:tc>
        <w:tc>
          <w:p>
            <w:pPr>
              <w:pStyle w:val="Compact"/>
              <w:jc w:val="center"/>
            </w:pPr>
            <m:oMath>
              <m:r>
                <m:t>+</m:t>
              </m:r>
              <m:r>
                <m:t>0.01059740</m:t>
              </m:r>
            </m:oMath>
          </w:p>
        </w:tc>
      </w:tr>
      <w:tr>
        <w:tc>
          <w:p>
            <w:pPr>
              <w:pStyle w:val="Compact"/>
              <w:jc w:val="center"/>
            </w:pPr>
            <w:r>
              <w:t xml:space="preserve">1</w:t>
            </w:r>
          </w:p>
        </w:tc>
        <w:tc>
          <w:p>
            <w:pPr>
              <w:pStyle w:val="Compact"/>
              <w:jc w:val="center"/>
            </w:pPr>
            <m:oMath>
              <m:r>
                <m:t>+</m:t>
              </m:r>
              <m:r>
                <m:t>0.71484657</m:t>
              </m:r>
            </m:oMath>
          </w:p>
        </w:tc>
        <w:tc>
          <w:p>
            <w:pPr>
              <w:pStyle w:val="Compact"/>
              <w:jc w:val="center"/>
            </w:pPr>
            <m:oMath>
              <m:r>
                <m:t>−</m:t>
              </m:r>
              <m:r>
                <m:t>0.03278364</m:t>
              </m:r>
            </m:oMath>
          </w:p>
        </w:tc>
      </w:tr>
      <w:tr>
        <w:tc>
          <w:p>
            <w:pPr>
              <w:pStyle w:val="Compact"/>
              <w:jc w:val="center"/>
            </w:pPr>
            <w:r>
              <w:t xml:space="preserve">2</w:t>
            </w:r>
          </w:p>
        </w:tc>
        <w:tc>
          <w:p>
            <w:pPr>
              <w:pStyle w:val="Compact"/>
              <w:jc w:val="center"/>
            </w:pPr>
            <m:oMath>
              <m:r>
                <m:t>+</m:t>
              </m:r>
              <m:r>
                <m:t>0.63088077</m:t>
              </m:r>
            </m:oMath>
          </w:p>
        </w:tc>
        <w:tc>
          <w:p>
            <w:pPr>
              <w:pStyle w:val="Compact"/>
              <w:jc w:val="center"/>
            </w:pPr>
            <m:oMath>
              <m:r>
                <m:t>−</m:t>
              </m:r>
              <m:r>
                <m:t>0.03084138</m:t>
              </m:r>
            </m:oMath>
          </w:p>
        </w:tc>
      </w:tr>
      <w:tr>
        <w:tc>
          <w:p>
            <w:pPr>
              <w:pStyle w:val="Compact"/>
              <w:jc w:val="center"/>
            </w:pPr>
            <w:r>
              <w:t xml:space="preserve">3</w:t>
            </w:r>
          </w:p>
        </w:tc>
        <w:tc>
          <w:p>
            <w:pPr>
              <w:pStyle w:val="Compact"/>
              <w:jc w:val="center"/>
            </w:pPr>
            <m:oMath>
              <m:r>
                <m:t>−</m:t>
              </m:r>
              <m:r>
                <m:t>0.02798377</m:t>
              </m:r>
            </m:oMath>
          </w:p>
        </w:tc>
        <w:tc>
          <w:p>
            <w:pPr>
              <w:pStyle w:val="Compact"/>
              <w:jc w:val="center"/>
            </w:pPr>
            <m:oMath>
              <m:r>
                <m:t>+</m:t>
              </m:r>
              <m:r>
                <m:t>0.18703481</m:t>
              </m:r>
            </m:oMath>
          </w:p>
        </w:tc>
      </w:tr>
      <w:tr>
        <w:tc>
          <w:p>
            <w:pPr>
              <w:pStyle w:val="Compact"/>
              <w:jc w:val="center"/>
            </w:pPr>
            <w:r>
              <w:t xml:space="preserve">4</w:t>
            </w:r>
          </w:p>
        </w:tc>
        <w:tc>
          <w:p>
            <w:pPr>
              <w:pStyle w:val="Compact"/>
              <w:jc w:val="center"/>
            </w:pPr>
            <m:oMath>
              <m:r>
                <m:t>−</m:t>
              </m:r>
              <m:r>
                <m:t>0.18703481</m:t>
              </m:r>
            </m:oMath>
          </w:p>
        </w:tc>
        <w:tc>
          <w:p>
            <w:pPr>
              <w:pStyle w:val="Compact"/>
              <w:jc w:val="center"/>
            </w:pPr>
            <m:oMath>
              <m:r>
                <m:t>+</m:t>
              </m:r>
              <m:r>
                <m:t>0.03084138</m:t>
              </m:r>
            </m:oMath>
          </w:p>
        </w:tc>
      </w:tr>
      <w:tr>
        <w:tc>
          <w:p>
            <w:pPr>
              <w:pStyle w:val="Compact"/>
              <w:jc w:val="center"/>
            </w:pPr>
            <w:r>
              <w:t xml:space="preserve">5</w:t>
            </w:r>
          </w:p>
        </w:tc>
        <w:tc>
          <w:p>
            <w:pPr>
              <w:pStyle w:val="Compact"/>
              <w:jc w:val="center"/>
            </w:pPr>
            <m:oMath>
              <m:r>
                <m:t>+</m:t>
              </m:r>
              <m:r>
                <m:t>0.03084138</m:t>
              </m:r>
            </m:oMath>
          </w:p>
        </w:tc>
        <w:tc>
          <w:p>
            <w:pPr>
              <w:pStyle w:val="Compact"/>
              <w:jc w:val="center"/>
            </w:pPr>
            <m:oMath>
              <m:r>
                <m:t>+</m:t>
              </m:r>
              <m:r>
                <m:t>0.03278364</m:t>
              </m:r>
            </m:oMath>
          </w:p>
        </w:tc>
      </w:tr>
      <w:tr>
        <w:tc>
          <w:p>
            <w:pPr>
              <w:pStyle w:val="Compact"/>
              <w:jc w:val="center"/>
            </w:pPr>
            <w:r>
              <w:t xml:space="preserve">6</w:t>
            </w:r>
          </w:p>
        </w:tc>
        <w:tc>
          <w:p>
            <w:pPr>
              <w:pStyle w:val="Compact"/>
              <w:jc w:val="center"/>
            </w:pPr>
            <m:oMath>
              <m:r>
                <m:t>+</m:t>
              </m:r>
              <m:r>
                <m:t>0.03278364</m:t>
              </m:r>
            </m:oMath>
          </w:p>
        </w:tc>
        <w:tc>
          <w:p>
            <w:pPr>
              <w:pStyle w:val="Compact"/>
              <w:jc w:val="center"/>
            </w:pPr>
            <m:oMath>
              <m:r>
                <m:t>−</m:t>
              </m:r>
              <m:r>
                <m:t>0.01059740</m:t>
              </m:r>
            </m:oMath>
          </w:p>
        </w:tc>
      </w:tr>
      <w:tr>
        <w:tc>
          <w:p>
            <w:pPr>
              <w:pStyle w:val="Compact"/>
              <w:jc w:val="center"/>
            </w:pPr>
            <w:r>
              <w:t xml:space="preserve">7</w:t>
            </w:r>
          </w:p>
        </w:tc>
        <w:tc>
          <w:p>
            <w:pPr>
              <w:pStyle w:val="Compact"/>
              <w:jc w:val="center"/>
            </w:pPr>
            <m:oMath>
              <m:r>
                <m:t>−</m:t>
              </m:r>
              <m:r>
                <m:t>0.01059740</m:t>
              </m:r>
            </m:oMath>
          </w:p>
        </w:tc>
        <w:tc>
          <w:p>
            <w:pPr>
              <w:pStyle w:val="Compact"/>
              <w:jc w:val="center"/>
            </w:pPr>
            <m:oMath>
              <m:r>
                <m:t>−</m:t>
              </m:r>
              <m:r>
                <m:t>0.02798377</m:t>
              </m:r>
            </m:oMath>
          </w:p>
        </w:tc>
      </w:tr>
    </w:tbl>
    <w:bookmarkEnd w:id="196"/>
    <w:bookmarkStart w:id="197" w:name="tab:hyper"/>
    <w:p>
      <w:pPr>
        <w:pStyle w:val="TableCaption"/>
      </w:pPr>
      <w:r>
        <w:t xml:space="preserve">LSTM hyperparameter search space and selected configuration.</w:t>
      </w:r>
    </w:p>
    <w:tbl>
      <w:tblPr>
        <w:tblStyle w:val="Table"/>
        <w:tblW w:type="pct" w:w="0.0"/>
        <w:tblLook w:firstRow="1"/>
        <w:tblCaption w:val="LSTM hyperparameter search space and selected configuration."/>
      </w:tblPr>
      <w:tblGrid/>
      <w:tr>
        <w:trPr>
          <w:cnfStyle w:firstRow="1"/>
        </w:trPr>
        <w:tc>
          <w:tcPr>
            <w:tcBorders>
              <w:bottom w:val="single"/>
            </w:tcBorders>
            <w:vAlign w:val="bottom"/>
          </w:tcPr>
          <w:p>
            <w:pPr>
              <w:pStyle w:val="Compact"/>
              <w:jc w:val="left"/>
            </w:pPr>
            <w:r>
              <w:rPr>
                <w:b/>
              </w:rPr>
              <w:t xml:space="preserve">Hyperparameter</w:t>
            </w:r>
          </w:p>
        </w:tc>
        <w:tc>
          <w:tcPr>
            <w:tcBorders>
              <w:bottom w:val="single"/>
            </w:tcBorders>
            <w:vAlign w:val="bottom"/>
          </w:tcPr>
          <w:p>
            <w:pPr>
              <w:pStyle w:val="Compact"/>
              <w:jc w:val="left"/>
            </w:pPr>
            <w:r>
              <w:rPr>
                <w:b/>
              </w:rPr>
              <w:t xml:space="preserve">Search space</w:t>
            </w:r>
          </w:p>
        </w:tc>
        <w:tc>
          <w:tcPr>
            <w:tcBorders>
              <w:bottom w:val="single"/>
            </w:tcBorders>
            <w:vAlign w:val="bottom"/>
          </w:tcPr>
          <w:p>
            <w:pPr>
              <w:pStyle w:val="Compact"/>
              <w:jc w:val="left"/>
            </w:pPr>
            <w:r>
              <w:rPr>
                <w:b/>
              </w:rPr>
              <w:t xml:space="preserve">Selected</w:t>
            </w:r>
          </w:p>
        </w:tc>
      </w:tr>
      <w:tr>
        <w:tc>
          <w:p>
            <w:pPr>
              <w:pStyle w:val="Compact"/>
              <w:jc w:val="left"/>
            </w:pPr>
            <w:r>
              <w:t xml:space="preserve">LSTM layers</w:t>
            </w:r>
          </w:p>
        </w:tc>
        <w:tc>
          <w:p>
            <w:pPr>
              <w:pStyle w:val="Compact"/>
              <w:jc w:val="left"/>
            </w:pPr>
            <w:r>
              <w:t xml:space="preserve">{1, 2, 3}</w:t>
            </w:r>
          </w:p>
        </w:tc>
        <w:tc>
          <w:p>
            <w:pPr>
              <w:pStyle w:val="Compact"/>
              <w:jc w:val="left"/>
            </w:pPr>
            <w:r>
              <w:t xml:space="preserve">2</w:t>
            </w:r>
          </w:p>
        </w:tc>
      </w:tr>
      <w:tr>
        <w:tc>
          <w:p>
            <w:pPr>
              <w:pStyle w:val="Compact"/>
              <w:jc w:val="left"/>
            </w:pPr>
            <w:r>
              <w:t xml:space="preserve">Hidden units (L1 / L2)</w:t>
            </w:r>
          </w:p>
        </w:tc>
        <w:tc>
          <w:p>
            <w:pPr>
              <w:pStyle w:val="Compact"/>
              <w:jc w:val="left"/>
            </w:pPr>
            <w:r>
              <w:t xml:space="preserve">{64, 128, 256}</w:t>
            </w:r>
          </w:p>
        </w:tc>
        <w:tc>
          <w:p>
            <w:pPr>
              <w:pStyle w:val="Compact"/>
              <w:jc w:val="left"/>
            </w:pPr>
            <w:r>
              <w:t xml:space="preserve">128 / 64</w:t>
            </w:r>
          </w:p>
        </w:tc>
      </w:tr>
      <w:tr>
        <w:tc>
          <w:p>
            <w:pPr>
              <w:pStyle w:val="Compact"/>
              <w:jc w:val="left"/>
            </w:pPr>
            <w:r>
              <w:t xml:space="preserve">Dropout</w:t>
            </w:r>
          </w:p>
        </w:tc>
        <w:tc>
          <w:p>
            <w:pPr>
              <w:pStyle w:val="Compact"/>
              <w:jc w:val="left"/>
            </w:pPr>
            <w:r>
              <w:t xml:space="preserve">{0.1, 0.2, 0.3, 0.5}</w:t>
            </w:r>
          </w:p>
        </w:tc>
        <w:tc>
          <w:p>
            <w:pPr>
              <w:pStyle w:val="Compact"/>
              <w:jc w:val="left"/>
            </w:pPr>
            <w:r>
              <w:t xml:space="preserve">0.3</w:t>
            </w:r>
          </w:p>
        </w:tc>
      </w:tr>
      <w:tr>
        <w:tc>
          <w:p>
            <w:pPr>
              <w:pStyle w:val="Compact"/>
              <w:jc w:val="left"/>
            </w:pPr>
            <w:r>
              <w:t xml:space="preserve">Learning rate</w:t>
            </w:r>
          </w:p>
        </w:tc>
        <w:tc>
          <w:p>
            <w:pPr>
              <w:pStyle w:val="Compact"/>
              <w:jc w:val="left"/>
            </w:pPr>
            <w:r>
              <w:t xml:space="preserve">{0.01, 0.001, 0.0001}</w:t>
            </w:r>
          </w:p>
        </w:tc>
        <w:tc>
          <w:p>
            <w:pPr>
              <w:pStyle w:val="Compact"/>
              <w:jc w:val="left"/>
            </w:pPr>
            <w:r>
              <w:t xml:space="preserve">0.001</w:t>
            </w:r>
          </w:p>
        </w:tc>
      </w:tr>
      <w:tr>
        <w:tc>
          <w:p>
            <w:pPr>
              <w:pStyle w:val="Compact"/>
              <w:jc w:val="left"/>
            </w:pPr>
            <w:r>
              <w:t xml:space="preserve">Optimizer</w:t>
            </w:r>
          </w:p>
        </w:tc>
        <w:tc>
          <w:p>
            <w:pPr>
              <w:pStyle w:val="Compact"/>
              <w:jc w:val="left"/>
            </w:pPr>
            <w:r>
              <w:t xml:space="preserve">{Adam, RMSprop, SGD}</w:t>
            </w:r>
          </w:p>
        </w:tc>
        <w:tc>
          <w:p>
            <w:pPr>
              <w:pStyle w:val="Compact"/>
              <w:jc w:val="left"/>
            </w:pPr>
            <w:r>
              <w:t xml:space="preserve">Adam</w:t>
            </w:r>
          </w:p>
        </w:tc>
      </w:tr>
      <w:tr>
        <w:tc>
          <w:p>
            <w:pPr>
              <w:pStyle w:val="Compact"/>
              <w:jc w:val="left"/>
            </w:pPr>
            <w:r>
              <w:t xml:space="preserve">Batch size</w:t>
            </w:r>
          </w:p>
        </w:tc>
        <w:tc>
          <w:p>
            <w:pPr>
              <w:pStyle w:val="Compact"/>
              <w:jc w:val="left"/>
            </w:pPr>
            <w:r>
              <w:t xml:space="preserve">{32, 64, 128}</w:t>
            </w:r>
          </w:p>
        </w:tc>
        <w:tc>
          <w:p>
            <w:pPr>
              <w:pStyle w:val="Compact"/>
              <w:jc w:val="left"/>
            </w:pPr>
            <w:r>
              <w:t xml:space="preserve">128</w:t>
            </w:r>
          </w:p>
        </w:tc>
      </w:tr>
      <w:tr>
        <w:tc>
          <w:p>
            <w:pPr>
              <w:pStyle w:val="Compact"/>
              <w:jc w:val="left"/>
            </w:pPr>
            <w:r>
              <w:t xml:space="preserve">Early-stopping patience</w:t>
            </w:r>
          </w:p>
        </w:tc>
        <w:tc>
          <w:p>
            <w:pPr>
              <w:pStyle w:val="Compact"/>
              <w:jc w:val="left"/>
            </w:pPr>
            <w:r>
              <w:t xml:space="preserve">{10, 15, 20, 25}</w:t>
            </w:r>
          </w:p>
        </w:tc>
        <w:tc>
          <w:p>
            <w:pPr>
              <w:pStyle w:val="Compact"/>
              <w:jc w:val="left"/>
            </w:pPr>
            <w:r>
              <w:t xml:space="preserve">20</w:t>
            </w:r>
          </w:p>
        </w:tc>
      </w:tr>
      <w:tr>
        <w:tc>
          <w:p>
            <w:pPr>
              <w:pStyle w:val="Compact"/>
              <w:jc w:val="left"/>
            </w:pPr>
            <w:r>
              <w:t xml:space="preserve">ONNX opset</w:t>
            </w:r>
          </w:p>
        </w:tc>
        <w:tc>
          <w:p>
            <w:pPr>
              <w:pStyle w:val="Compact"/>
              <w:jc w:val="left"/>
            </w:pPr>
            <w:r>
              <w:t xml:space="preserve">{11, 13, 14}</w:t>
            </w:r>
          </w:p>
        </w:tc>
        <w:tc>
          <w:p>
            <w:pPr>
              <w:pStyle w:val="Compact"/>
              <w:jc w:val="left"/>
            </w:pPr>
            <w:r>
              <w:t xml:space="preserve">14</w:t>
            </w:r>
          </w:p>
        </w:tc>
      </w:tr>
    </w:tbl>
    <w:bookmarkEnd w:id="197"/>
    <w:p>
      <w:pPr>
        <w:pStyle w:val="Heading1"/>
      </w:pPr>
      <w:bookmarkStart w:id="198" w:name="reproducibility-and-standards"/>
      <w:r>
        <w:t xml:space="preserve">Reproducibility and Standards</w:t>
      </w:r>
      <w:bookmarkEnd w:id="198"/>
    </w:p>
    <w:p>
      <w:pPr>
        <w:pStyle w:val="FirstParagraph"/>
      </w:pPr>
      <w:r>
        <w:t xml:space="preserve">The pipeline uses MATLAB R2023a/Simulink/Simscape Electrical (10 s discrete solver), Python 3.11 with PyWavelets, PyTorch 2.x (Adam, weighted categorical cross-entropy), ONNX Opset 14, and the Simulink Predict block, with fixed random seeds. Relevant standards include IEEE C37.91 (transformer protection), IEEE C37.110 (CTs for relaying), IEC 60255 (measuring relays), IEC 61850-9-2 (Sampled Values; the 1.6 kHz interface emulated here), IEC 61850-8-1 (GOOSE), and IEC 62351 (communication security). Retaining a certified adaptive 87T element as the dependability anchor keeps the scheme aligned with IEEE C37.91, easing certification relative to a pure black-box classifier.</w:t>
      </w:r>
    </w:p>
    <w:p>
      <w:pPr>
        <w:pStyle w:val="Heading1"/>
      </w:pPr>
      <w:bookmarkStart w:id="199" w:name="extended-per-scenario-results"/>
      <w:r>
        <w:t xml:space="preserve">Extended Per-Scenario Results</w:t>
      </w:r>
      <w:bookmarkEnd w:id="199"/>
    </w:p>
    <w:p>
      <w:pPr>
        <w:pStyle w:val="FirstParagraph"/>
      </w:pPr>
      <w:r>
        <w:t xml:space="preserve">This appendix disaggregates the test-set performance of Chapter 6. Table </w:t>
      </w:r>
      <w:hyperlink w:anchor="tab:E1">
        <w:r>
          <w:rPr>
            <w:rStyle w:val="Hyperlink"/>
          </w:rPr>
          <w:t xml:space="preserve">10.1</w:t>
        </w:r>
      </w:hyperlink>
      <w:r>
        <w:t xml:space="preserve"> </w:t>
      </w:r>
      <w:r>
        <w:t xml:space="preserve">reports internal-fault recall by fault type (and the correct no-trip rate for the non-fault categories), confirming uniformly high detection across fault types. Table </w:t>
      </w:r>
      <w:hyperlink w:anchor="tab:E2">
        <w:r>
          <w:rPr>
            <w:rStyle w:val="Hyperlink"/>
          </w:rPr>
          <w:t xml:space="preserve">10.2</w:t>
        </w:r>
      </w:hyperlink>
      <w:r>
        <w:t xml:space="preserve"> </w:t>
      </w:r>
      <w:r>
        <w:t xml:space="preserve">gives the end-to-end clearing-time breakdown that sums to the 17.2 ms average reported in Section 6.4.</w:t>
      </w:r>
    </w:p>
    <w:bookmarkStart w:id="200" w:name="tab:E1"/>
    <w:p>
      <w:pPr>
        <w:pStyle w:val="TableCaption"/>
      </w:pPr>
      <w:r>
        <w:t xml:space="preserve">Per-category recall of the proposed scheme (internal-fault types: trip recall; non-fault categories: correct no-trip rate).</w:t>
      </w:r>
    </w:p>
    <w:tbl>
      <w:tblPr>
        <w:tblStyle w:val="Table"/>
        <w:tblW w:type="pct" w:w="0.0"/>
        <w:tblLook w:firstRow="1"/>
        <w:tblCaption w:val="Per-category recall of the proposed scheme (internal-fault types: trip recall; non-fault categories: correct no-trip rate)."/>
      </w:tblPr>
      <w:tblGrid/>
      <w:tr>
        <w:trPr>
          <w:cnfStyle w:firstRow="1"/>
        </w:trPr>
        <w:tc>
          <w:tcPr>
            <w:tcBorders>
              <w:bottom w:val="single"/>
            </w:tcBorders>
            <w:vAlign w:val="bottom"/>
          </w:tcPr>
          <w:p>
            <w:pPr>
              <w:pStyle w:val="Compact"/>
              <w:jc w:val="left"/>
            </w:pPr>
            <w:r>
              <w:rPr>
                <w:b/>
              </w:rPr>
              <w:t xml:space="preserve">Category</w:t>
            </w:r>
          </w:p>
        </w:tc>
        <w:tc>
          <w:tcPr>
            <w:tcBorders>
              <w:bottom w:val="single"/>
            </w:tcBorders>
            <w:vAlign w:val="bottom"/>
          </w:tcPr>
          <w:p>
            <w:pPr>
              <w:pStyle w:val="Compact"/>
              <w:jc w:val="center"/>
            </w:pPr>
            <w:r>
              <w:rPr>
                <w:b/>
              </w:rPr>
              <w:t xml:space="preserve">Recall (%)</w:t>
            </w:r>
          </w:p>
        </w:tc>
      </w:tr>
      <w:tr>
        <w:tc>
          <w:p>
            <w:pPr>
              <w:pStyle w:val="Compact"/>
              <w:jc w:val="left"/>
            </w:pPr>
            <w:r>
              <w:t xml:space="preserve">AG (SLG)</w:t>
            </w:r>
          </w:p>
        </w:tc>
        <w:tc>
          <w:p>
            <w:pPr>
              <w:pStyle w:val="Compact"/>
              <w:jc w:val="center"/>
            </w:pPr>
            <w:r>
              <w:t xml:space="preserve">99.7</w:t>
            </w:r>
          </w:p>
        </w:tc>
      </w:tr>
      <w:tr>
        <w:tc>
          <w:p>
            <w:pPr>
              <w:pStyle w:val="Compact"/>
              <w:jc w:val="left"/>
            </w:pPr>
            <w:r>
              <w:t xml:space="preserve">BG (SLG)</w:t>
            </w:r>
          </w:p>
        </w:tc>
        <w:tc>
          <w:p>
            <w:pPr>
              <w:pStyle w:val="Compact"/>
              <w:jc w:val="center"/>
            </w:pPr>
            <w:r>
              <w:t xml:space="preserve">99.5</w:t>
            </w:r>
          </w:p>
        </w:tc>
      </w:tr>
      <w:tr>
        <w:tc>
          <w:p>
            <w:pPr>
              <w:pStyle w:val="Compact"/>
              <w:jc w:val="left"/>
            </w:pPr>
            <w:r>
              <w:t xml:space="preserve">CG (SLG)</w:t>
            </w:r>
          </w:p>
        </w:tc>
        <w:tc>
          <w:p>
            <w:pPr>
              <w:pStyle w:val="Compact"/>
              <w:jc w:val="center"/>
            </w:pPr>
            <w:r>
              <w:t xml:space="preserve">99.7</w:t>
            </w:r>
          </w:p>
        </w:tc>
      </w:tr>
      <w:tr>
        <w:tc>
          <w:p>
            <w:pPr>
              <w:pStyle w:val="Compact"/>
              <w:jc w:val="left"/>
            </w:pPr>
            <w:r>
              <w:t xml:space="preserve">ABG / ACG / BCG (LLG)</w:t>
            </w:r>
          </w:p>
        </w:tc>
        <w:tc>
          <w:p>
            <w:pPr>
              <w:pStyle w:val="Compact"/>
              <w:jc w:val="center"/>
            </w:pPr>
            <w:r>
              <w:t xml:space="preserve">99.3</w:t>
            </w:r>
          </w:p>
        </w:tc>
      </w:tr>
      <w:tr>
        <w:tc>
          <w:p>
            <w:pPr>
              <w:pStyle w:val="Compact"/>
              <w:jc w:val="left"/>
            </w:pPr>
            <w:r>
              <w:t xml:space="preserve">ABC (LLL)</w:t>
            </w:r>
          </w:p>
        </w:tc>
        <w:tc>
          <w:p>
            <w:pPr>
              <w:pStyle w:val="Compact"/>
              <w:jc w:val="center"/>
            </w:pPr>
            <w:r>
              <w:t xml:space="preserve">99.8</w:t>
            </w:r>
          </w:p>
        </w:tc>
      </w:tr>
      <w:tr>
        <w:tc>
          <w:p>
            <w:pPr>
              <w:pStyle w:val="Compact"/>
              <w:jc w:val="left"/>
            </w:pPr>
            <w:r>
              <w:t xml:space="preserve">ABCG (LLLG)</w:t>
            </w:r>
          </w:p>
        </w:tc>
        <w:tc>
          <w:p>
            <w:pPr>
              <w:pStyle w:val="Compact"/>
              <w:jc w:val="center"/>
            </w:pPr>
            <w:r>
              <w:t xml:space="preserve">99.8</w:t>
            </w:r>
          </w:p>
        </w:tc>
      </w:tr>
      <w:tr>
        <w:tc>
          <w:p>
            <w:pPr>
              <w:pStyle w:val="Compact"/>
              <w:jc w:val="left"/>
            </w:pPr>
            <w:r>
              <w:t xml:space="preserve">Magnetizing inrush (no-trip)</w:t>
            </w:r>
          </w:p>
        </w:tc>
        <w:tc>
          <w:p>
            <w:pPr>
              <w:pStyle w:val="Compact"/>
              <w:jc w:val="center"/>
            </w:pPr>
            <w:r>
              <w:t xml:space="preserve">97.4</w:t>
            </w:r>
          </w:p>
        </w:tc>
      </w:tr>
      <w:tr>
        <w:tc>
          <w:p>
            <w:pPr>
              <w:pStyle w:val="Compact"/>
              <w:jc w:val="left"/>
            </w:pPr>
            <w:r>
              <w:t xml:space="preserve">External fault with CT saturation (no-trip)</w:t>
            </w:r>
          </w:p>
        </w:tc>
        <w:tc>
          <w:p>
            <w:pPr>
              <w:pStyle w:val="Compact"/>
              <w:jc w:val="center"/>
            </w:pPr>
            <w:r>
              <w:t xml:space="preserve">96.1</w:t>
            </w:r>
          </w:p>
        </w:tc>
      </w:tr>
    </w:tbl>
    <w:bookmarkEnd w:id="200"/>
    <w:bookmarkStart w:id="201" w:name="tab:E2"/>
    <w:p>
      <w:pPr>
        <w:pStyle w:val="TableCaption"/>
      </w:pPr>
      <w:r>
        <w:t xml:space="preserve">End-to-end clearing-time breakdown of the hybrid relay.</w:t>
      </w:r>
    </w:p>
    <w:tbl>
      <w:tblPr>
        <w:tblStyle w:val="Table"/>
        <w:tblW w:type="pct" w:w="0.0"/>
        <w:tblLook w:firstRow="1"/>
        <w:tblCaption w:val="End-to-end clearing-time breakdown of the hybrid relay."/>
      </w:tblPr>
      <w:tblGrid/>
      <w:tr>
        <w:trPr>
          <w:cnfStyle w:firstRow="1"/>
        </w:trPr>
        <w:tc>
          <w:tcPr>
            <w:tcBorders>
              <w:bottom w:val="single"/>
            </w:tcBorders>
            <w:vAlign w:val="bottom"/>
          </w:tcPr>
          <w:p>
            <w:pPr>
              <w:pStyle w:val="Compact"/>
              <w:jc w:val="left"/>
            </w:pPr>
            <w:r>
              <w:rPr>
                <w:b/>
              </w:rPr>
              <w:t xml:space="preserve">Stage</w:t>
            </w:r>
          </w:p>
        </w:tc>
        <w:tc>
          <w:tcPr>
            <w:tcBorders>
              <w:bottom w:val="single"/>
            </w:tcBorders>
            <w:vAlign w:val="bottom"/>
          </w:tcPr>
          <w:p>
            <w:pPr>
              <w:pStyle w:val="Compact"/>
              <w:jc w:val="center"/>
            </w:pPr>
            <w:r>
              <w:rPr>
                <w:b/>
              </w:rPr>
              <w:t xml:space="preserve">Duration (ms)</w:t>
            </w:r>
          </w:p>
        </w:tc>
      </w:tr>
      <w:tr>
        <w:tc>
          <w:p>
            <w:pPr>
              <w:pStyle w:val="Compact"/>
              <w:jc w:val="left"/>
            </w:pPr>
            <w:r>
              <w:t xml:space="preserve">Data buffering (quarter-cycle)</w:t>
            </w:r>
          </w:p>
        </w:tc>
        <w:tc>
          <w:p>
            <w:pPr>
              <w:pStyle w:val="Compact"/>
              <w:jc w:val="center"/>
            </w:pPr>
            <w:r>
              <w:t xml:space="preserve">5.0</w:t>
            </w:r>
          </w:p>
        </w:tc>
      </w:tr>
      <w:tr>
        <w:tc>
          <w:p>
            <w:pPr>
              <w:pStyle w:val="Compact"/>
              <w:jc w:val="left"/>
            </w:pPr>
            <w:r>
              <w:t xml:space="preserve">DWT decomposition and energy computation</w:t>
            </w:r>
          </w:p>
        </w:tc>
        <w:tc>
          <w:p>
            <w:pPr>
              <w:pStyle w:val="Compact"/>
              <w:jc w:val="center"/>
            </w:pPr>
            <m:oMath>
              <m:r>
                <m:t>&lt;</m:t>
              </m:r>
            </m:oMath>
            <w:r>
              <w:t xml:space="preserve">1.0</w:t>
            </w:r>
          </w:p>
        </w:tc>
      </w:tr>
      <w:tr>
        <w:tc>
          <w:p>
            <w:pPr>
              <w:pStyle w:val="Compact"/>
              <w:jc w:val="left"/>
            </w:pPr>
            <w:r>
              <w:t xml:space="preserve">LSTM inference (ONNX Predict block)</w:t>
            </w:r>
          </w:p>
        </w:tc>
        <w:tc>
          <w:p>
            <w:pPr>
              <w:pStyle w:val="Compact"/>
              <w:jc w:val="center"/>
            </w:pPr>
            <m:oMath>
              <m:r>
                <m:t>&lt;</m:t>
              </m:r>
            </m:oMath>
            <w:r>
              <w:t xml:space="preserve">1.0</w:t>
            </w:r>
          </w:p>
        </w:tc>
      </w:tr>
      <w:tr>
        <w:tc>
          <w:p>
            <w:pPr>
              <w:pStyle w:val="Compact"/>
              <w:jc w:val="left"/>
            </w:pPr>
            <w:r>
              <w:t xml:space="preserve">Adaptive 87T computation</w:t>
            </w:r>
          </w:p>
        </w:tc>
        <w:tc>
          <w:p>
            <w:pPr>
              <w:pStyle w:val="Compact"/>
              <w:jc w:val="center"/>
            </w:pPr>
            <m:oMath>
              <m:r>
                <m:t>&lt;</m:t>
              </m:r>
            </m:oMath>
            <w:r>
              <w:t xml:space="preserve">1.0</w:t>
            </w:r>
          </w:p>
        </w:tc>
      </w:tr>
      <w:tr>
        <w:tc>
          <w:p>
            <w:pPr>
              <w:pStyle w:val="Compact"/>
              <w:jc w:val="left"/>
            </w:pPr>
            <w:r>
              <w:t xml:space="preserve">Hybrid veto/AND-gate logic</w:t>
            </w:r>
          </w:p>
        </w:tc>
        <w:tc>
          <w:p>
            <w:pPr>
              <w:pStyle w:val="Compact"/>
              <w:jc w:val="center"/>
            </w:pPr>
            <m:oMath>
              <m:r>
                <m:t>&lt;</m:t>
              </m:r>
            </m:oMath>
            <w:r>
              <w:t xml:space="preserve">0.1</w:t>
            </w:r>
          </w:p>
        </w:tc>
      </w:tr>
      <w:tr>
        <w:tc>
          <w:p>
            <w:pPr>
              <w:pStyle w:val="Compact"/>
              <w:jc w:val="left"/>
            </w:pPr>
            <w:r>
              <w:t xml:space="preserve">Breaker and pickup latency</w:t>
            </w:r>
          </w:p>
        </w:tc>
        <w:tc>
          <w:p>
            <w:pPr>
              <w:pStyle w:val="Compact"/>
              <w:jc w:val="center"/>
            </w:pPr>
            <m:oMath>
              <m:r>
                <m:t>≈</m:t>
              </m:r>
            </m:oMath>
            <w:r>
              <w:t xml:space="preserve">9.1</w:t>
            </w:r>
          </w:p>
        </w:tc>
      </w:tr>
      <w:tr>
        <w:tc>
          <w:p>
            <w:pPr>
              <w:pStyle w:val="Compact"/>
              <w:jc w:val="left"/>
            </w:pPr>
            <w:r>
              <w:t xml:space="preserve">Total (average)</w:t>
            </w:r>
          </w:p>
        </w:tc>
        <w:tc>
          <w:p>
            <w:pPr>
              <w:pStyle w:val="Compact"/>
              <w:jc w:val="center"/>
            </w:pPr>
            <w:r>
              <w:t xml:space="preserve">17.2</w:t>
            </w:r>
          </w:p>
        </w:tc>
      </w:tr>
    </w:tbl>
    <w:bookmarkEnd w:id="201"/>
    <w:p>
      <w:pPr>
        <w:pStyle w:val="Heading1"/>
      </w:pPr>
      <w:bookmarkStart w:id="202" w:name="summary-of-key-design-parameters"/>
      <w:r>
        <w:t xml:space="preserve">Summary of Key Design Parameters</w:t>
      </w:r>
      <w:bookmarkEnd w:id="202"/>
    </w:p>
    <w:bookmarkStart w:id="203" w:name="tab:Gsum"/>
    <w:p>
      <w:pPr>
        <w:pStyle w:val="TableCaption"/>
      </w:pPr>
      <w:r>
        <w:t xml:space="preserve">Consolidated summary of the principal design parameters of the proposed framework.</w:t>
      </w:r>
    </w:p>
    <w:tbl>
      <w:tblPr>
        <w:tblStyle w:val="Table"/>
        <w:tblW w:type="pct" w:w="0.0"/>
        <w:tblLook w:firstRow="1"/>
        <w:tblCaption w:val="Consolidated summary of the principal design parameters of the proposed framework."/>
      </w:tblPr>
      <w:tblGrid/>
      <w:tr>
        <w:trPr>
          <w:cnfStyle w:firstRow="1"/>
        </w:trPr>
        <w:tc>
          <w:tcPr>
            <w:tcBorders>
              <w:bottom w:val="single"/>
            </w:tcBorders>
            <w:vAlign w:val="bottom"/>
          </w:tcPr>
          <w:p>
            <w:pPr>
              <w:pStyle w:val="Compact"/>
              <w:jc w:val="left"/>
            </w:pPr>
            <w:r>
              <w:rPr>
                <w:b/>
              </w:rPr>
              <w:t xml:space="preserve">Parameter</w:t>
            </w:r>
          </w:p>
        </w:tc>
        <w:tc>
          <w:tcPr>
            <w:tcBorders>
              <w:bottom w:val="single"/>
            </w:tcBorders>
            <w:vAlign w:val="bottom"/>
          </w:tcPr>
          <w:p>
            <w:pPr>
              <w:pStyle w:val="Compact"/>
              <w:jc w:val="left"/>
            </w:pPr>
            <w:r>
              <w:rPr>
                <w:b/>
              </w:rPr>
              <w:t xml:space="preserve">Value</w:t>
            </w:r>
          </w:p>
        </w:tc>
      </w:tr>
      <w:tr>
        <w:tc>
          <w:p>
            <w:pPr>
              <w:pStyle w:val="Compact"/>
              <w:jc w:val="left"/>
            </w:pPr>
            <w:r>
              <w:t xml:space="preserve">Protected transformer</w:t>
            </w:r>
          </w:p>
        </w:tc>
        <w:tc>
          <w:p>
            <w:pPr>
              <w:pStyle w:val="Compact"/>
              <w:jc w:val="left"/>
            </w:pPr>
            <w:r>
              <w:t xml:space="preserve">300 MVA, 230/11 kV, Yd1</w:t>
            </w:r>
          </w:p>
        </w:tc>
      </w:tr>
      <w:tr>
        <w:tc>
          <w:p>
            <w:pPr>
              <w:pStyle w:val="Compact"/>
              <w:jc w:val="left"/>
            </w:pPr>
            <w:r>
              <w:t xml:space="preserve">Relay sampling rate</w:t>
            </w:r>
          </w:p>
        </w:tc>
        <w:tc>
          <w:p>
            <w:pPr>
              <w:pStyle w:val="Compact"/>
              <w:jc w:val="left"/>
            </w:pPr>
            <w:r>
              <w:t xml:space="preserve">1.6 kHz (32 samples/cycle)</w:t>
            </w:r>
          </w:p>
        </w:tc>
      </w:tr>
      <w:tr>
        <w:tc>
          <w:p>
            <w:pPr>
              <w:pStyle w:val="Compact"/>
              <w:jc w:val="left"/>
            </w:pPr>
            <w:r>
              <w:t xml:space="preserve">EMT solver step</w:t>
            </w:r>
          </w:p>
        </w:tc>
        <w:tc>
          <w:p>
            <w:pPr>
              <w:pStyle w:val="Compact"/>
              <w:jc w:val="left"/>
            </w:pPr>
            <w:r>
              <w:t xml:space="preserve">10 s (discrete), MATLAB R2023a</w:t>
            </w:r>
          </w:p>
        </w:tc>
      </w:tr>
      <w:tr>
        <w:tc>
          <w:p>
            <w:pPr>
              <w:pStyle w:val="Compact"/>
              <w:jc w:val="left"/>
            </w:pPr>
            <w:r>
              <w:t xml:space="preserve">DWT</w:t>
            </w:r>
          </w:p>
        </w:tc>
        <w:tc>
          <w:p>
            <w:pPr>
              <w:pStyle w:val="Compact"/>
              <w:jc w:val="left"/>
            </w:pPr>
            <w:r>
              <w:t xml:space="preserve">3-level db4, 16-sample half-cycle window</w:t>
            </w:r>
          </w:p>
        </w:tc>
      </w:tr>
      <w:tr>
        <w:tc>
          <w:p>
            <w:pPr>
              <w:pStyle w:val="Compact"/>
              <w:jc w:val="left"/>
            </w:pPr>
            <w:r>
              <w:t xml:space="preserve">Feature vector</w:t>
            </w:r>
          </w:p>
        </w:tc>
        <w:tc>
          <w:p>
            <w:pPr>
              <w:pStyle w:val="Compact"/>
              <w:jc w:val="left"/>
            </w:pPr>
            <w:r>
              <w:t xml:space="preserve">6-D (</w:t>
            </w:r>
            <m:oMath>
              <m:sSub>
                <m:e>
                  <m:r>
                    <m:t>E</m:t>
                  </m:r>
                </m:e>
                <m:sub>
                  <m:r>
                    <m:t>A</m:t>
                  </m:r>
                </m:sub>
              </m:sSub>
            </m:oMath>
            <w:r>
              <w:t xml:space="preserve">,</w:t>
            </w:r>
            <w:r>
              <w:t xml:space="preserve"> </w:t>
            </w:r>
            <m:oMath>
              <m:sSub>
                <m:e>
                  <m:r>
                    <m:t>E</m:t>
                  </m:r>
                </m:e>
                <m:sub>
                  <m:r>
                    <m:t>D</m:t>
                  </m:r>
                </m:sub>
              </m:sSub>
            </m:oMath>
            <w:r>
              <w:t xml:space="preserve"> </w:t>
            </w:r>
            <w:r>
              <w:t xml:space="preserve">per phase)</w:t>
            </w:r>
          </w:p>
        </w:tc>
      </w:tr>
      <w:tr>
        <w:tc>
          <w:p>
            <w:pPr>
              <w:pStyle w:val="Compact"/>
              <w:jc w:val="left"/>
            </w:pPr>
            <w:r>
              <w:t xml:space="preserve">LSTM</w:t>
            </w:r>
          </w:p>
        </w:tc>
        <w:tc>
          <w:p>
            <w:pPr>
              <w:pStyle w:val="Compact"/>
              <w:jc w:val="left"/>
            </w:pPr>
            <w:r>
              <w:t xml:space="preserve">2 layers (128</w:t>
            </w:r>
            <m:oMath>
              <m:r>
                <m:t>→</m:t>
              </m:r>
            </m:oMath>
            <w:r>
              <w:t xml:space="preserve">64) + global temporal attention</w:t>
            </w:r>
          </w:p>
        </w:tc>
      </w:tr>
      <w:tr>
        <w:tc>
          <w:p>
            <w:pPr>
              <w:pStyle w:val="Compact"/>
              <w:jc w:val="left"/>
            </w:pPr>
            <w:r>
              <w:t xml:space="preserve">Trainable parameters</w:t>
            </w:r>
          </w:p>
        </w:tc>
        <w:tc>
          <w:p>
            <w:pPr>
              <w:pStyle w:val="Compact"/>
              <w:jc w:val="left"/>
            </w:pPr>
            <w:r>
              <w:t xml:space="preserve">125</w:t>
            </w:r>
            <w:r>
              <w:t xml:space="preserve">,</w:t>
            </w:r>
            <w:r>
              <w:t xml:space="preserve">476</w:t>
            </w:r>
          </w:p>
        </w:tc>
      </w:tr>
      <w:tr>
        <w:tc>
          <w:p>
            <w:pPr>
              <w:pStyle w:val="Compact"/>
              <w:jc w:val="left"/>
            </w:pPr>
            <w:r>
              <w:t xml:space="preserve">Optimizer / loss</w:t>
            </w:r>
          </w:p>
        </w:tc>
        <w:tc>
          <w:p>
            <w:pPr>
              <w:pStyle w:val="Compact"/>
              <w:jc w:val="left"/>
            </w:pPr>
            <w:r>
              <w:t xml:space="preserve">Adam (</w:t>
            </w:r>
            <m:oMath>
              <m:r>
                <m:t>η</m:t>
              </m:r>
              <m:r>
                <m:t>=</m:t>
              </m:r>
              <m:r>
                <m:t>0.001</m:t>
              </m:r>
            </m:oMath>
            <w:r>
              <w:t xml:space="preserve">) / weighted categorical cross-entropy (internal-class weight 1.4155)</w:t>
            </w:r>
          </w:p>
        </w:tc>
      </w:tr>
      <w:tr>
        <w:tc>
          <w:p>
            <w:pPr>
              <w:pStyle w:val="Compact"/>
              <w:jc w:val="left"/>
            </w:pPr>
            <w:r>
              <w:t xml:space="preserve">Batch size / max epochs</w:t>
            </w:r>
          </w:p>
        </w:tc>
        <w:tc>
          <w:p>
            <w:pPr>
              <w:pStyle w:val="Compact"/>
              <w:jc w:val="left"/>
            </w:pPr>
            <w:r>
              <w:t xml:space="preserve">128 / 200 (early-stop patience 20)</w:t>
            </w:r>
          </w:p>
        </w:tc>
      </w:tr>
      <w:tr>
        <w:tc>
          <w:p>
            <w:pPr>
              <w:pStyle w:val="Compact"/>
              <w:jc w:val="left"/>
            </w:pPr>
            <w:r>
              <w:t xml:space="preserve">Confidence threshold</w:t>
            </w:r>
          </w:p>
        </w:tc>
        <w:tc>
          <w:p>
            <w:pPr>
              <w:pStyle w:val="Compact"/>
              <w:jc w:val="left"/>
            </w:pPr>
            <m:oMath>
              <m:sSub>
                <m:e>
                  <m:r>
                    <m:t>θ</m:t>
                  </m:r>
                </m:e>
                <m:sub>
                  <m:r>
                    <m:t>c</m:t>
                  </m:r>
                  <m:r>
                    <m:t>o</m:t>
                  </m:r>
                  <m:r>
                    <m:t>n</m:t>
                  </m:r>
                  <m:r>
                    <m:t>f</m:t>
                  </m:r>
                </m:sub>
              </m:sSub>
              <m:r>
                <m:t>=</m:t>
              </m:r>
              <m:r>
                <m:t>0.85</m:t>
              </m:r>
            </m:oMath>
            <w:r>
              <w:t xml:space="preserve"> </w:t>
            </w:r>
            <w:r>
              <w:t xml:space="preserve">(state-adaptive)</w:t>
            </w:r>
          </w:p>
        </w:tc>
      </w:tr>
      <w:tr>
        <w:tc>
          <w:p>
            <w:pPr>
              <w:pStyle w:val="Compact"/>
              <w:jc w:val="left"/>
            </w:pPr>
            <w:r>
              <w:t xml:space="preserve">ONNX opset</w:t>
            </w:r>
          </w:p>
        </w:tc>
        <w:tc>
          <w:p>
            <w:pPr>
              <w:pStyle w:val="Compact"/>
              <w:jc w:val="left"/>
            </w:pPr>
            <w:r>
              <w:t xml:space="preserve">14</w:t>
            </w:r>
          </w:p>
        </w:tc>
      </w:tr>
      <w:tr>
        <w:tc>
          <w:p>
            <w:pPr>
              <w:pStyle w:val="Compact"/>
              <w:jc w:val="left"/>
            </w:pPr>
            <w:r>
              <w:t xml:space="preserve">Dataset</w:t>
            </w:r>
          </w:p>
        </w:tc>
        <w:tc>
          <w:p>
            <w:pPr>
              <w:pStyle w:val="Compact"/>
              <w:jc w:val="left"/>
            </w:pPr>
            <w:r>
              <w:t xml:space="preserve">2</w:t>
            </w:r>
            <w:r>
              <w:t xml:space="preserve">,</w:t>
            </w:r>
            <w:r>
              <w:t xml:space="preserve">500 base cases (1</w:t>
            </w:r>
            <w:r>
              <w:t xml:space="preserve">,</w:t>
            </w:r>
            <w:r>
              <w:t xml:space="preserve">035/578/500/387); 70/15/15 split; 1</w:t>
            </w:r>
            <w:r>
              <w:t xml:space="preserve">,</w:t>
            </w:r>
            <w:r>
              <w:t xml:space="preserve">800-case test</w:t>
            </w:r>
          </w:p>
        </w:tc>
      </w:tr>
      <w:tr>
        <w:tc>
          <w:p>
            <w:pPr>
              <w:pStyle w:val="Compact"/>
              <w:jc w:val="left"/>
            </w:pPr>
            <w:r>
              <w:t xml:space="preserve">Headline results</w:t>
            </w:r>
          </w:p>
        </w:tc>
        <w:tc>
          <w:p>
            <w:pPr>
              <w:pStyle w:val="Compact"/>
              <w:jc w:val="left"/>
            </w:pPr>
            <w:r>
              <w:t xml:space="preserve">98.89% classifier acc (F1 0.9901, AUC 0.9999); 100% hybrid dep. &amp; sec.; 17.2 ms clearing</w:t>
            </w:r>
          </w:p>
        </w:tc>
      </w:tr>
    </w:tbl>
    <w:bookmarkEnd w:id="203"/>
    <w:p>
      <w:pPr>
        <w:pStyle w:val="Heading1"/>
      </w:pPr>
      <w:bookmarkStart w:id="204" w:name="code-listings"/>
      <w:r>
        <w:t xml:space="preserve">Code Listings</w:t>
      </w:r>
      <w:bookmarkEnd w:id="204"/>
    </w:p>
    <w:p>
      <w:pPr>
        <w:pStyle w:val="FirstParagraph"/>
      </w:pPr>
      <w:r>
        <w:t xml:space="preserve">This appendix provides representative code excerpts of the implementation pipeline: DWT energy-feature extraction in MATLAB, LSTM training and ONNX export in Python/PyTorch, and the Simulink deployment configuration.</w:t>
      </w:r>
    </w:p>
    <w:p>
      <w:pPr>
        <w:pStyle w:val="Heading2"/>
      </w:pPr>
      <w:bookmarkStart w:id="205" w:name="matlab-dwt-energy-feature-extraction"/>
      <w:r>
        <w:t xml:space="preserve">MATLAB: DWT Energy-Feature Extraction</w:t>
      </w:r>
      <w:bookmarkEnd w:id="205"/>
    </w:p>
    <w:p>
      <w:pPr>
        <w:pStyle w:val="SourceCode"/>
      </w:pPr>
      <w:r>
        <w:rPr>
          <w:rStyle w:val="KeywordTok"/>
        </w:rPr>
        <w:t xml:space="preserve">function</w:t>
      </w:r>
      <w:r>
        <w:rPr>
          <w:rStyle w:val="NormalTok"/>
        </w:rPr>
        <w:t xml:space="preserve"> </w:t>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dwt_features</w:t>
      </w:r>
      <w:r>
        <w:rPr>
          <w:rStyle w:val="NormalTok"/>
        </w:rPr>
        <w:t xml:space="preserve">(</w:t>
      </w:r>
      <w:r>
        <w:rPr>
          <w:rStyle w:val="VariableTok"/>
        </w:rPr>
        <w:t xml:space="preserve">I_diff</w:t>
      </w:r>
      <w:r>
        <w:rPr>
          <w:rStyle w:val="OperatorTok"/>
        </w:rPr>
        <w:t xml:space="preserve">,</w:t>
      </w:r>
      <w:r>
        <w:rPr>
          <w:rStyle w:val="NormalTok"/>
        </w:rPr>
        <w:t xml:space="preserve"> </w:t>
      </w:r>
      <w:r>
        <w:rPr>
          <w:rStyle w:val="VariableTok"/>
        </w:rPr>
        <w:t xml:space="preserve">fs</w:t>
      </w:r>
      <w:r>
        <w:rPr>
          <w:rStyle w:val="NormalTok"/>
        </w:rPr>
        <w:t xml:space="preserve">)</w:t>
      </w:r>
      <w:r>
        <w:br/>
      </w:r>
      <w:r>
        <w:rPr>
          <w:rStyle w:val="CommentTok"/>
        </w:rPr>
        <w:t xml:space="preserve">% I_diff : 3xN differential currents (phases A,B,C); fs = 1600 Hz</w:t>
      </w:r>
      <w:r>
        <w:br/>
      </w:r>
      <w:r>
        <w:rPr>
          <w:rStyle w:val="CommentTok"/>
        </w:rPr>
        <w:t xml:space="preserve">% Returns : [EA_a ED_a EA_b ED_b EA_c ED_c]  (6 energy features)</w:t>
      </w:r>
      <w:r>
        <w:br/>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SpecialStringTok"/>
        </w:rPr>
        <w:t xml:space="preserve">'db4'</w:t>
      </w:r>
      <w:r>
        <w:rPr>
          <w:rStyle w:val="OperatorTok"/>
        </w:rPr>
        <w:t xml:space="preserve">;</w:t>
      </w:r>
      <w:r>
        <w:br/>
      </w:r>
      <w:r>
        <w:rPr>
          <w:rStyle w:val="NormalTok"/>
        </w:rPr>
        <w:t xml:space="preserve">    </w:t>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floor</w:t>
      </w:r>
      <w:r>
        <w:rPr>
          <w:rStyle w:val="NormalTok"/>
        </w:rPr>
        <w:t xml:space="preserve">(</w:t>
      </w:r>
      <w:r>
        <w:rPr>
          <w:rStyle w:val="VariableTok"/>
        </w:rPr>
        <w:t xml:space="preserve">fs</w:t>
      </w:r>
      <w:r>
        <w:rPr>
          <w:rStyle w:val="OperatorTok"/>
        </w:rPr>
        <w:t xml:space="preserve">/</w:t>
      </w:r>
      <w:r>
        <w:rPr>
          <w:rStyle w:val="NormalTok"/>
        </w:rPr>
        <w:t xml:space="preserve">(</w:t>
      </w:r>
      <w:r>
        <w:rPr>
          <w:rStyle w:val="FloatTok"/>
        </w:rPr>
        <w:t xml:space="preserve">2</w:t>
      </w:r>
      <w:r>
        <w:rPr>
          <w:rStyle w:val="OperatorTok"/>
        </w:rPr>
        <w:t xml:space="preserve">*</w:t>
      </w:r>
      <w:r>
        <w:rPr>
          <w:rStyle w:val="FloatTok"/>
        </w:rPr>
        <w:t xml:space="preserve">50</w:t>
      </w:r>
      <w:r>
        <w:rPr>
          <w:rStyle w:val="NormalTok"/>
        </w:rPr>
        <w:t xml:space="preserve">))</w:t>
      </w:r>
      <w:r>
        <w:rPr>
          <w:rStyle w:val="OperatorTok"/>
        </w:rPr>
        <w:t xml:space="preserve">;</w:t>
      </w:r>
      <w:r>
        <w:rPr>
          <w:rStyle w:val="NormalTok"/>
        </w:rPr>
        <w:t xml:space="preserve">            </w:t>
      </w:r>
      <w:r>
        <w:rPr>
          <w:rStyle w:val="CommentTok"/>
        </w:rPr>
        <w:t xml:space="preserve">% 16-sample half-cycle window</w:t>
      </w:r>
      <w:r>
        <w:br/>
      </w:r>
      <w:r>
        <w:rPr>
          <w:rStyle w:val="NormalTok"/>
        </w:rPr>
        <w:t xml:space="preserve">    </w:t>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FloatTok"/>
        </w:rPr>
        <w:t xml:space="preserve">1</w:t>
      </w:r>
      <w:r>
        <w:rPr>
          <w:rStyle w:val="OperatorTok"/>
        </w:rPr>
        <w:t xml:space="preserve">,</w:t>
      </w:r>
      <w:r>
        <w:rPr>
          <w:rStyle w:val="FloatTok"/>
        </w:rPr>
        <w:t xml:space="preserve">6</w:t>
      </w:r>
      <w:r>
        <w:rPr>
          <w:rStyle w:val="NormalTok"/>
        </w:rPr>
        <w:t xml:space="prese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ph</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FloatTok"/>
        </w:rPr>
        <w:t xml:space="preserve">3</w:t>
      </w:r>
      <w:r>
        <w:br/>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I_diff</w:t>
      </w:r>
      <w:r>
        <w:rPr>
          <w:rStyle w:val="NormalTok"/>
        </w:rPr>
        <w:t xml:space="preserve">(</w:t>
      </w:r>
      <w:r>
        <w:rPr>
          <w:rStyle w:val="VariableTok"/>
        </w:rPr>
        <w:t xml:space="preserve">ph</w:t>
      </w:r>
      <w:r>
        <w:rPr>
          <w:rStyle w:val="OperatorTok"/>
        </w:rPr>
        <w:t xml:space="preserve">,</w:t>
      </w:r>
      <w:r>
        <w:rPr>
          <w:rStyle w:val="NormalTok"/>
        </w:rPr>
        <w:t xml:space="preserve"> </w:t>
      </w:r>
      <w:r>
        <w:rPr>
          <w:rStyle w:val="KeywordTok"/>
        </w:rPr>
        <w:t xml:space="preserve">end</w:t>
      </w:r>
      <w:r>
        <w:rPr>
          <w:rStyle w:val="OperatorTok"/>
        </w:rPr>
        <w:t xml:space="preserve">-</w:t>
      </w:r>
      <w:r>
        <w:rPr>
          <w:rStyle w:val="VariableTok"/>
        </w:rPr>
        <w:t xml:space="preserve">n</w:t>
      </w:r>
      <w:r>
        <w:rPr>
          <w:rStyle w:val="OperatorTok"/>
        </w:rPr>
        <w:t xml:space="preserve">+</w:t>
      </w:r>
      <w:r>
        <w:rPr>
          <w:rStyle w:val="FloatTok"/>
        </w:rPr>
        <w:t xml:space="preserve">1</w:t>
      </w:r>
      <w:r>
        <w:rPr>
          <w:rStyle w:val="OperatorTok"/>
        </w:rPr>
        <w:t xml:space="preserve">:</w:t>
      </w:r>
      <w:r>
        <w:rPr>
          <w:rStyle w:val="KeywordTok"/>
        </w:rPr>
        <w:t xml:space="preserve">end</w:t>
      </w:r>
      <w:r>
        <w:rPr>
          <w:rStyle w:val="NormalTok"/>
        </w:rPr>
        <w:t xml:space="preserve">)</w:t>
      </w:r>
      <w:r>
        <w:rPr>
          <w:rStyle w:val="OperatorTok"/>
        </w:rPr>
        <w:t xml:space="preserve">;</w:t>
      </w:r>
      <w:r>
        <w:br/>
      </w:r>
      <w:r>
        <w:rPr>
          <w:rStyle w:val="NormalTok"/>
        </w:rPr>
        <w:t xml:space="preserve">        [</w:t>
      </w:r>
      <w:r>
        <w:rPr>
          <w:rStyle w:val="VariableTok"/>
        </w:rPr>
        <w:t xml:space="preserve">C</w:t>
      </w:r>
      <w:r>
        <w:rPr>
          <w:rStyle w:val="OperatorTok"/>
        </w:rPr>
        <w:t xml:space="preserve">,</w:t>
      </w:r>
      <w:r>
        <w:rPr>
          <w:rStyle w:val="NormalTok"/>
        </w:rPr>
        <w:t xml:space="preserve"> </w:t>
      </w:r>
      <w:r>
        <w:rPr>
          <w:rStyle w:val="VariableTok"/>
        </w:rPr>
        <w:t xml:space="preserve">L</w:t>
      </w:r>
      <w:r>
        <w:rPr>
          <w:rStyle w:val="NormalTok"/>
        </w:rPr>
        <w:t xml:space="preserve">] </w:t>
      </w:r>
      <w:r>
        <w:rPr>
          <w:rStyle w:val="OperatorTok"/>
        </w:rPr>
        <w:t xml:space="preserve">=</w:t>
      </w:r>
      <w:r>
        <w:rPr>
          <w:rStyle w:val="NormalTok"/>
        </w:rPr>
        <w:t xml:space="preserve"> </w:t>
      </w:r>
      <w:r>
        <w:rPr>
          <w:rStyle w:val="VariableTok"/>
        </w:rPr>
        <w:t xml:space="preserve">wavedec</w:t>
      </w:r>
      <w:r>
        <w:rPr>
          <w:rStyle w:val="NormalTok"/>
        </w:rPr>
        <w:t xml:space="preserve">(</w:t>
      </w:r>
      <w:r>
        <w:rPr>
          <w:rStyle w:val="VariableTok"/>
        </w:rPr>
        <w:t xml:space="preserve">x</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VariableTok"/>
        </w:rPr>
        <w:t xml:space="preserve">w</w:t>
      </w:r>
      <w:r>
        <w:rPr>
          <w:rStyle w:val="NormalTok"/>
        </w:rPr>
        <w:t xml:space="preserve">)</w:t>
      </w:r>
      <w:r>
        <w:rPr>
          <w:rStyle w:val="OperatorTok"/>
        </w:rPr>
        <w:t xml:space="preserve">;</w:t>
      </w:r>
      <w:r>
        <w:rPr>
          <w:rStyle w:val="NormalTok"/>
        </w:rPr>
        <w:t xml:space="preserve">   </w:t>
      </w:r>
      <w:r>
        <w:rPr>
          <w:rStyle w:val="CommentTok"/>
        </w:rPr>
        <w:t xml:space="preserve">% 3-level db4 decomposition</w:t>
      </w:r>
      <w:r>
        <w:br/>
      </w:r>
      <w:r>
        <w:rPr>
          <w:rStyle w:val="NormalTok"/>
        </w:rPr>
        <w:t xml:space="preserve">        </w:t>
      </w:r>
      <w:r>
        <w:rPr>
          <w:rStyle w:val="VariableTok"/>
        </w:rPr>
        <w:t xml:space="preserve">a3</w:t>
      </w:r>
      <w:r>
        <w:rPr>
          <w:rStyle w:val="NormalTok"/>
        </w:rPr>
        <w:t xml:space="preserve"> </w:t>
      </w:r>
      <w:r>
        <w:rPr>
          <w:rStyle w:val="OperatorTok"/>
        </w:rPr>
        <w:t xml:space="preserve">=</w:t>
      </w:r>
      <w:r>
        <w:rPr>
          <w:rStyle w:val="NormalTok"/>
        </w:rPr>
        <w:t xml:space="preserve"> </w:t>
      </w:r>
      <w:r>
        <w:rPr>
          <w:rStyle w:val="VariableTok"/>
        </w:rPr>
        <w:t xml:space="preserve">appcoef</w:t>
      </w:r>
      <w:r>
        <w:rPr>
          <w:rStyle w:val="NormalTok"/>
        </w:rPr>
        <w:t xml:space="preserve">(</w:t>
      </w:r>
      <w:r>
        <w:rPr>
          <w:rStyle w:val="VariableTok"/>
        </w:rPr>
        <w:t xml:space="preserve">C</w:t>
      </w:r>
      <w:r>
        <w:rPr>
          <w:rStyle w:val="OperatorTok"/>
        </w:rPr>
        <w:t xml:space="preserve">,</w:t>
      </w:r>
      <w:r>
        <w:rPr>
          <w:rStyle w:val="NormalTok"/>
        </w:rPr>
        <w:t xml:space="preserve"> </w:t>
      </w:r>
      <w:r>
        <w:rPr>
          <w:rStyle w:val="VariableTok"/>
        </w:rPr>
        <w:t xml:space="preserve">L</w:t>
      </w:r>
      <w:r>
        <w:rPr>
          <w:rStyle w:val="OperatorTok"/>
        </w:rPr>
        <w:t xml:space="preserve">,</w:t>
      </w:r>
      <w:r>
        <w:rPr>
          <w:rStyle w:val="NormalTok"/>
        </w:rPr>
        <w:t xml:space="preserve"> </w:t>
      </w:r>
      <w:r>
        <w:rPr>
          <w:rStyle w:val="VariableTok"/>
        </w:rPr>
        <w:t xml:space="preserve">w</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rPr>
          <w:rStyle w:val="NormalTok"/>
        </w:rPr>
        <w:t xml:space="preserve">    </w:t>
      </w:r>
      <w:r>
        <w:rPr>
          <w:rStyle w:val="CommentTok"/>
        </w:rPr>
        <w:t xml:space="preserve">% approximation (0-100 Hz)</w:t>
      </w:r>
      <w:r>
        <w:br/>
      </w:r>
      <w:r>
        <w:rPr>
          <w:rStyle w:val="NormalTok"/>
        </w:rPr>
        <w:t xml:space="preserve">        </w:t>
      </w:r>
      <w:r>
        <w:rPr>
          <w:rStyle w:val="VariableTok"/>
        </w:rPr>
        <w:t xml:space="preserve">d</w:t>
      </w:r>
      <w:r>
        <w:rPr>
          <w:rStyle w:val="NormalTok"/>
        </w:rPr>
        <w:t xml:space="preserve">  </w:t>
      </w:r>
      <w:r>
        <w:rPr>
          <w:rStyle w:val="OperatorTok"/>
        </w:rPr>
        <w:t xml:space="preserve">=</w:t>
      </w:r>
      <w:r>
        <w:rPr>
          <w:rStyle w:val="NormalTok"/>
        </w:rPr>
        <w:t xml:space="preserve"> </w:t>
      </w:r>
      <w:r>
        <w:rPr>
          <w:rStyle w:val="VariableTok"/>
        </w:rPr>
        <w:t xml:space="preserve">detcoef</w:t>
      </w:r>
      <w:r>
        <w:rPr>
          <w:rStyle w:val="NormalTok"/>
        </w:rPr>
        <w:t xml:space="preserve">(</w:t>
      </w:r>
      <w:r>
        <w:rPr>
          <w:rStyle w:val="VariableTok"/>
        </w:rPr>
        <w:t xml:space="preserve">C</w:t>
      </w:r>
      <w:r>
        <w:rPr>
          <w:rStyle w:val="OperatorTok"/>
        </w:rPr>
        <w:t xml:space="preserve">,</w:t>
      </w:r>
      <w:r>
        <w:rPr>
          <w:rStyle w:val="NormalTok"/>
        </w:rPr>
        <w:t xml:space="preserve"> </w:t>
      </w:r>
      <w:r>
        <w:rPr>
          <w:rStyle w:val="VariableTok"/>
        </w:rPr>
        <w:t xml:space="preserve">L</w:t>
      </w:r>
      <w:r>
        <w:rPr>
          <w:rStyle w:val="OperatorTok"/>
        </w:rPr>
        <w:t xml:space="preserve">,</w:t>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3</w:t>
      </w:r>
      <w:r>
        <w:rPr>
          <w:rStyle w:val="NormalTok"/>
        </w:rPr>
        <w:t xml:space="preserve">])</w:t>
      </w:r>
      <w:r>
        <w:rPr>
          <w:rStyle w:val="OperatorTok"/>
        </w:rPr>
        <w:t xml:space="preserve">;</w:t>
      </w:r>
      <w:r>
        <w:rPr>
          <w:rStyle w:val="NormalTok"/>
        </w:rPr>
        <w:t xml:space="preserve"> </w:t>
      </w:r>
      <w:r>
        <w:rPr>
          <w:rStyle w:val="CommentTok"/>
        </w:rPr>
        <w:t xml:space="preserve">% detail bands (100-800 Hz)</w:t>
      </w:r>
      <w:r>
        <w:br/>
      </w:r>
      <w:r>
        <w:rPr>
          <w:rStyle w:val="NormalTok"/>
        </w:rPr>
        <w:t xml:space="preserve">        </w:t>
      </w:r>
      <w:r>
        <w:rPr>
          <w:rStyle w:val="VariableTok"/>
        </w:rPr>
        <w:t xml:space="preserve">EA</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a3</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NormalTok"/>
        </w:rPr>
        <w:t xml:space="preserve">        </w:t>
      </w:r>
      <w:r>
        <w:rPr>
          <w:rStyle w:val="VariableTok"/>
        </w:rPr>
        <w:t xml:space="preserve">ED</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d</w:t>
      </w:r>
      <w:r>
        <w:rPr>
          <w:rStyle w:val="NormalTok"/>
        </w:rPr>
        <w:t xml:space="preserve">{</w:t>
      </w:r>
      <w:r>
        <w:rPr>
          <w:rStyle w:val="FloatTok"/>
        </w:rPr>
        <w:t xml:space="preserve">1</w:t>
      </w:r>
      <w:r>
        <w:rPr>
          <w:rStyle w:val="NormalTok"/>
        </w:rPr>
        <w:t xml:space="preserve">}</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d</w:t>
      </w:r>
      <w:r>
        <w:rPr>
          <w:rStyle w:val="NormalTok"/>
        </w:rPr>
        <w:t xml:space="preserve">{</w:t>
      </w:r>
      <w:r>
        <w:rPr>
          <w:rStyle w:val="FloatTok"/>
        </w:rPr>
        <w:t xml:space="preserve">2</w:t>
      </w:r>
      <w:r>
        <w:rPr>
          <w:rStyle w:val="NormalTok"/>
        </w:rPr>
        <w:t xml:space="preserve">}</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d</w:t>
      </w:r>
      <w:r>
        <w:rPr>
          <w:rStyle w:val="NormalTok"/>
        </w:rPr>
        <w:t xml:space="preserve">{</w:t>
      </w:r>
      <w:r>
        <w:rPr>
          <w:rStyle w:val="FloatTok"/>
        </w:rPr>
        <w:t xml:space="preserve">3</w:t>
      </w:r>
      <w:r>
        <w:rPr>
          <w:rStyle w:val="NormalTok"/>
        </w:rPr>
        <w:t xml:space="preserve">}</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NormalTok"/>
        </w:rPr>
        <w:t xml:space="preserve">        </w:t>
      </w:r>
      <w:r>
        <w:rPr>
          <w:rStyle w:val="VariableTok"/>
        </w:rPr>
        <w:t xml:space="preserve">F</w:t>
      </w:r>
      <w:r>
        <w:rPr>
          <w:rStyle w:val="NormalTok"/>
        </w:rPr>
        <w:t xml:space="preserve">(</w:t>
      </w:r>
      <w:r>
        <w:rPr>
          <w:rStyle w:val="FloatTok"/>
        </w:rPr>
        <w:t xml:space="preserve">2</w:t>
      </w:r>
      <w:r>
        <w:rPr>
          <w:rStyle w:val="OperatorTok"/>
        </w:rPr>
        <w:t xml:space="preserve">*</w:t>
      </w:r>
      <w:r>
        <w:rPr>
          <w:rStyle w:val="VariableTok"/>
        </w:rPr>
        <w:t xml:space="preserve">ph</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EA</w:t>
      </w:r>
      <w:r>
        <w:rPr>
          <w:rStyle w:val="OperatorTok"/>
        </w:rPr>
        <w:t xml:space="preserve">;</w:t>
      </w:r>
      <w:r>
        <w:rPr>
          <w:rStyle w:val="NormalTok"/>
        </w:rPr>
        <w:t xml:space="preserve">  </w:t>
      </w:r>
      <w:r>
        <w:rPr>
          <w:rStyle w:val="VariableTok"/>
        </w:rPr>
        <w:t xml:space="preserve">F</w:t>
      </w:r>
      <w:r>
        <w:rPr>
          <w:rStyle w:val="NormalTok"/>
        </w:rPr>
        <w:t xml:space="preserve">(</w:t>
      </w:r>
      <w:r>
        <w:rPr>
          <w:rStyle w:val="FloatTok"/>
        </w:rPr>
        <w:t xml:space="preserve">2</w:t>
      </w:r>
      <w:r>
        <w:rPr>
          <w:rStyle w:val="OperatorTok"/>
        </w:rPr>
        <w:t xml:space="preserve">*</w:t>
      </w:r>
      <w:r>
        <w:rPr>
          <w:rStyle w:val="VariableTok"/>
        </w:rPr>
        <w:t xml:space="preserve">ph</w:t>
      </w:r>
      <w:r>
        <w:rPr>
          <w:rStyle w:val="NormalTok"/>
        </w:rPr>
        <w:t xml:space="preserve">) </w:t>
      </w:r>
      <w:r>
        <w:rPr>
          <w:rStyle w:val="OperatorTok"/>
        </w:rPr>
        <w:t xml:space="preserve">=</w:t>
      </w:r>
      <w:r>
        <w:rPr>
          <w:rStyle w:val="NormalTok"/>
        </w:rPr>
        <w:t xml:space="preserve"> </w:t>
      </w:r>
      <w:r>
        <w:rPr>
          <w:rStyle w:val="VariableTok"/>
        </w:rPr>
        <w:t xml:space="preserve">ED</w:t>
      </w:r>
      <w:r>
        <w:rPr>
          <w:rStyle w:val="OperatorTok"/>
        </w:rPr>
        <w:t xml:space="preserve">;</w:t>
      </w:r>
      <w:r>
        <w:br/>
      </w:r>
      <w:r>
        <w:rPr>
          <w:rStyle w:val="NormalTok"/>
        </w:rPr>
        <w:t xml:space="preserve">    </w:t>
      </w:r>
      <w:r>
        <w:rPr>
          <w:rStyle w:val="KeywordTok"/>
        </w:rPr>
        <w:t xml:space="preserve">end</w:t>
      </w:r>
      <w:r>
        <w:br/>
      </w:r>
      <w:r>
        <w:rPr>
          <w:rStyle w:val="KeywordTok"/>
        </w:rPr>
        <w:t xml:space="preserve">end</w:t>
      </w:r>
    </w:p>
    <w:p>
      <w:pPr>
        <w:pStyle w:val="Heading2"/>
      </w:pPr>
      <w:bookmarkStart w:id="206" w:name="Xe231b6e79fb5ccccccf86b13543d522361a2d79"/>
      <w:r>
        <w:t xml:space="preserve">Python/PyTorch: LSTM Training and ONNX Export (Opset 14)</w:t>
      </w:r>
      <w:bookmarkEnd w:id="206"/>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 torch, torch.nn </w:t>
      </w:r>
      <w:r>
        <w:rPr>
          <w:rStyle w:val="ImportTok"/>
        </w:rPr>
        <w:t xml:space="preserve">as</w:t>
      </w:r>
      <w:r>
        <w:rPr>
          <w:rStyle w:val="NormalTok"/>
        </w:rPr>
        <w:t xml:space="preserve"> nn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NormalTok"/>
        </w:rPr>
        <w:t xml:space="preserve">X </w:t>
      </w:r>
      <w:r>
        <w:rPr>
          <w:rStyle w:val="OperatorTok"/>
        </w:rPr>
        <w:t xml:space="preserve">=</w:t>
      </w:r>
      <w:r>
        <w:rPr>
          <w:rStyle w:val="NormalTok"/>
        </w:rPr>
        <w:t xml:space="preserve"> np.load(</w:t>
      </w:r>
      <w:r>
        <w:rPr>
          <w:rStyle w:val="StringTok"/>
        </w:rPr>
        <w:t xml:space="preserve">'dwt_features.npy'</w:t>
      </w:r>
      <w:r>
        <w:rPr>
          <w:rStyle w:val="NormalTok"/>
        </w:rPr>
        <w:t xml:space="preserve">)      </w:t>
      </w:r>
      <w:r>
        <w:rPr>
          <w:rStyle w:val="CommentTok"/>
        </w:rPr>
        <w:t xml:space="preserve"># (N, 32, 6)</w:t>
      </w:r>
      <w:r>
        <w:br/>
      </w:r>
      <w:r>
        <w:rPr>
          <w:rStyle w:val="NormalTok"/>
        </w:rPr>
        <w:t xml:space="preserve">y </w:t>
      </w:r>
      <w:r>
        <w:rPr>
          <w:rStyle w:val="OperatorTok"/>
        </w:rPr>
        <w:t xml:space="preserve">=</w:t>
      </w:r>
      <w:r>
        <w:rPr>
          <w:rStyle w:val="NormalTok"/>
        </w:rPr>
        <w:t xml:space="preserve"> np.load(</w:t>
      </w:r>
      <w:r>
        <w:rPr>
          <w:rStyle w:val="StringTok"/>
        </w:rPr>
        <w:t xml:space="preserve">'labels.npy'</w:t>
      </w:r>
      <w:r>
        <w:rPr>
          <w:rStyle w:val="NormalTok"/>
        </w:rPr>
        <w:t xml:space="preserve">)            </w:t>
      </w:r>
      <w:r>
        <w:rPr>
          <w:rStyle w:val="CommentTok"/>
        </w:rPr>
        <w:t xml:space="preserve"># 4-class: 0 normal, 1 external, 2 inrush, 3 internal</w:t>
      </w:r>
      <w:r>
        <w:br/>
      </w:r>
      <w:r>
        <w:rPr>
          <w:rStyle w:val="NormalTok"/>
        </w:rPr>
        <w:t xml:space="preserve">Xtr, Xte, ytr, yte </w:t>
      </w:r>
      <w:r>
        <w:rPr>
          <w:rStyle w:val="OperatorTok"/>
        </w:rPr>
        <w:t xml:space="preserve">=</w:t>
      </w:r>
      <w:r>
        <w:rPr>
          <w:rStyle w:val="NormalTok"/>
        </w:rPr>
        <w:t xml:space="preserve"> train_test_split(X, y, test_size</w:t>
      </w:r>
      <w:r>
        <w:rPr>
          <w:rStyle w:val="OperatorTok"/>
        </w:rPr>
        <w:t xml:space="preserve">=</w:t>
      </w:r>
      <w:r>
        <w:rPr>
          <w:rStyle w:val="FloatTok"/>
        </w:rPr>
        <w:t xml:space="preserve">0.15</w:t>
      </w:r>
      <w:r>
        <w:rPr>
          <w:rStyle w:val="NormalTok"/>
        </w:rPr>
        <w:t xml:space="preserve">, stratify</w:t>
      </w:r>
      <w:r>
        <w:rPr>
          <w:rStyle w:val="OperatorTok"/>
        </w:rPr>
        <w:t xml:space="preserve">=</w:t>
      </w:r>
      <w:r>
        <w:rPr>
          <w:rStyle w:val="NormalTok"/>
        </w:rPr>
        <w:t xml:space="preserve">y)</w:t>
      </w:r>
      <w:r>
        <w:br/>
      </w:r>
      <w:r>
        <w:rPr>
          <w:rStyle w:val="NormalTok"/>
        </w:rPr>
        <w:t xml:space="preserve">sc </w:t>
      </w:r>
      <w:r>
        <w:rPr>
          <w:rStyle w:val="OperatorTok"/>
        </w:rPr>
        <w:t xml:space="preserve">=</w:t>
      </w:r>
      <w:r>
        <w:rPr>
          <w:rStyle w:val="NormalTok"/>
        </w:rPr>
        <w:t xml:space="preserve"> StandardScaler()</w:t>
      </w:r>
      <w:r>
        <w:br/>
      </w:r>
      <w:r>
        <w:rPr>
          <w:rStyle w:val="NormalTok"/>
        </w:rPr>
        <w:t xml:space="preserve">Xtr </w:t>
      </w:r>
      <w:r>
        <w:rPr>
          <w:rStyle w:val="OperatorTok"/>
        </w:rPr>
        <w:t xml:space="preserve">=</w:t>
      </w:r>
      <w:r>
        <w:rPr>
          <w:rStyle w:val="NormalTok"/>
        </w:rPr>
        <w:t xml:space="preserve"> sc.fit_transform(Xtr.reshape(</w:t>
      </w:r>
      <w:r>
        <w:rPr>
          <w:rStyle w:val="OperatorTok"/>
        </w:rPr>
        <w:t xml:space="preserve">-</w:t>
      </w:r>
      <w:r>
        <w:rPr>
          <w:rStyle w:val="DecValTok"/>
        </w:rPr>
        <w:t xml:space="preserve">1</w:t>
      </w:r>
      <w:r>
        <w:rPr>
          <w:rStyle w:val="NormalTok"/>
        </w:rPr>
        <w:t xml:space="preserve">,</w:t>
      </w:r>
      <w:r>
        <w:rPr>
          <w:rStyle w:val="DecValTok"/>
        </w:rPr>
        <w:t xml:space="preserve">6</w:t>
      </w:r>
      <w:r>
        <w:rPr>
          <w:rStyle w:val="NormalTok"/>
        </w:rPr>
        <w:t xml:space="preserve">)).reshape(</w:t>
      </w:r>
      <w:r>
        <w:rPr>
          <w:rStyle w:val="OperatorTok"/>
        </w:rPr>
        <w:t xml:space="preserve">-</w:t>
      </w:r>
      <w:r>
        <w:rPr>
          <w:rStyle w:val="DecValTok"/>
        </w:rPr>
        <w:t xml:space="preserve">1</w:t>
      </w:r>
      <w:r>
        <w:rPr>
          <w:rStyle w:val="NormalTok"/>
        </w:rPr>
        <w:t xml:space="preserve">,</w:t>
      </w:r>
      <w:r>
        <w:rPr>
          <w:rStyle w:val="DecValTok"/>
        </w:rPr>
        <w:t xml:space="preserve">32</w:t>
      </w:r>
      <w:r>
        <w:rPr>
          <w:rStyle w:val="NormalTok"/>
        </w:rPr>
        <w:t xml:space="preserve">,</w:t>
      </w:r>
      <w:r>
        <w:rPr>
          <w:rStyle w:val="DecValTok"/>
        </w:rPr>
        <w:t xml:space="preserve">6</w:t>
      </w:r>
      <w:r>
        <w:rPr>
          <w:rStyle w:val="NormalTok"/>
        </w:rPr>
        <w:t xml:space="preserve">)</w:t>
      </w:r>
      <w:r>
        <w:br/>
      </w:r>
      <w:r>
        <w:rPr>
          <w:rStyle w:val="NormalTok"/>
        </w:rPr>
        <w:t xml:space="preserve">Xte </w:t>
      </w:r>
      <w:r>
        <w:rPr>
          <w:rStyle w:val="OperatorTok"/>
        </w:rPr>
        <w:t xml:space="preserve">=</w:t>
      </w:r>
      <w:r>
        <w:rPr>
          <w:rStyle w:val="NormalTok"/>
        </w:rPr>
        <w:t xml:space="preserve"> sc.transform(Xte.reshape(</w:t>
      </w:r>
      <w:r>
        <w:rPr>
          <w:rStyle w:val="OperatorTok"/>
        </w:rPr>
        <w:t xml:space="preserve">-</w:t>
      </w:r>
      <w:r>
        <w:rPr>
          <w:rStyle w:val="DecValTok"/>
        </w:rPr>
        <w:t xml:space="preserve">1</w:t>
      </w:r>
      <w:r>
        <w:rPr>
          <w:rStyle w:val="NormalTok"/>
        </w:rPr>
        <w:t xml:space="preserve">,</w:t>
      </w:r>
      <w:r>
        <w:rPr>
          <w:rStyle w:val="DecValTok"/>
        </w:rPr>
        <w:t xml:space="preserve">6</w:t>
      </w:r>
      <w:r>
        <w:rPr>
          <w:rStyle w:val="NormalTok"/>
        </w:rPr>
        <w:t xml:space="preserve">)).reshape(</w:t>
      </w:r>
      <w:r>
        <w:rPr>
          <w:rStyle w:val="OperatorTok"/>
        </w:rPr>
        <w:t xml:space="preserve">-</w:t>
      </w:r>
      <w:r>
        <w:rPr>
          <w:rStyle w:val="DecValTok"/>
        </w:rPr>
        <w:t xml:space="preserve">1</w:t>
      </w:r>
      <w:r>
        <w:rPr>
          <w:rStyle w:val="NormalTok"/>
        </w:rPr>
        <w:t xml:space="preserve">,</w:t>
      </w:r>
      <w:r>
        <w:rPr>
          <w:rStyle w:val="DecValTok"/>
        </w:rPr>
        <w:t xml:space="preserve">32</w:t>
      </w:r>
      <w:r>
        <w:rPr>
          <w:rStyle w:val="NormalTok"/>
        </w:rPr>
        <w:t xml:space="preserve">,</w:t>
      </w:r>
      <w:r>
        <w:rPr>
          <w:rStyle w:val="DecValTok"/>
        </w:rPr>
        <w:t xml:space="preserve">6</w:t>
      </w:r>
      <w:r>
        <w:rPr>
          <w:rStyle w:val="NormalTok"/>
        </w:rPr>
        <w:t xml:space="preserve">)</w:t>
      </w:r>
      <w:r>
        <w:br/>
      </w:r>
      <w:r>
        <w:br/>
      </w:r>
      <w:r>
        <w:rPr>
          <w:rStyle w:val="KeywordTok"/>
        </w:rPr>
        <w:t xml:space="preserve">class</w:t>
      </w:r>
      <w:r>
        <w:rPr>
          <w:rStyle w:val="NormalTok"/>
        </w:rPr>
        <w:t xml:space="preserve"> DWTLSTM(nn.Module):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.l1 </w:t>
      </w:r>
      <w:r>
        <w:rPr>
          <w:rStyle w:val="OperatorTok"/>
        </w:rPr>
        <w:t xml:space="preserve">=</w:t>
      </w:r>
      <w:r>
        <w:rPr>
          <w:rStyle w:val="NormalTok"/>
        </w:rPr>
        <w:t xml:space="preserve"> nn.LSTM(</w:t>
      </w:r>
      <w:r>
        <w:rPr>
          <w:rStyle w:val="DecValTok"/>
        </w:rPr>
        <w:t xml:space="preserve">6</w:t>
      </w:r>
      <w:r>
        <w:rPr>
          <w:rStyle w:val="NormalTok"/>
        </w:rPr>
        <w:t xml:space="preserve">, </w:t>
      </w:r>
      <w:r>
        <w:rPr>
          <w:rStyle w:val="DecValTok"/>
        </w:rPr>
        <w:t xml:space="preserve">128</w:t>
      </w:r>
      <w:r>
        <w:rPr>
          <w:rStyle w:val="NormalTok"/>
        </w:rPr>
        <w:t xml:space="preserve">, batch_first</w:t>
      </w:r>
      <w:r>
        <w:rPr>
          <w:rStyle w:val="OperatorTok"/>
        </w:rPr>
        <w:t xml:space="preserve">=</w:t>
      </w:r>
      <w:r>
        <w:rPr>
          <w:rStyle w:val="VariableTok"/>
        </w:rPr>
        <w:t xml:space="preserve">True</w:t>
      </w:r>
      <w:r>
        <w:rPr>
          <w:rStyle w:val="NormalTok"/>
        </w:rPr>
        <w:t xml:space="preserve">)     </w:t>
      </w:r>
      <w:r>
        <w:rPr>
          <w:rStyle w:val="CommentTok"/>
        </w:rPr>
        <w:t xml:space="preserve"># layer 1</w:t>
      </w:r>
      <w:r>
        <w:br/>
      </w:r>
      <w:r>
        <w:rPr>
          <w:rStyle w:val="NormalTok"/>
        </w:rPr>
        <w:t xml:space="preserve">        </w:t>
      </w:r>
      <w:r>
        <w:rPr>
          <w:rStyle w:val="VariableTok"/>
        </w:rPr>
        <w:t xml:space="preserve">self</w:t>
      </w:r>
      <w:r>
        <w:rPr>
          <w:rStyle w:val="NormalTok"/>
        </w:rPr>
        <w:t xml:space="preserve">.d1 </w:t>
      </w:r>
      <w:r>
        <w:rPr>
          <w:rStyle w:val="OperatorTok"/>
        </w:rPr>
        <w:t xml:space="preserve">=</w:t>
      </w:r>
      <w:r>
        <w:rPr>
          <w:rStyle w:val="NormalTok"/>
        </w:rPr>
        <w:t xml:space="preserve"> nn.Dropout(</w:t>
      </w:r>
      <w:r>
        <w:rPr>
          <w:rStyle w:val="FloatTok"/>
        </w:rPr>
        <w:t xml:space="preserve">0.3</w:t>
      </w:r>
      <w:r>
        <w:rPr>
          <w:rStyle w:val="NormalTok"/>
        </w:rPr>
        <w:t xml:space="preserve">)</w:t>
      </w:r>
      <w:r>
        <w:br/>
      </w:r>
      <w:r>
        <w:rPr>
          <w:rStyle w:val="NormalTok"/>
        </w:rPr>
        <w:t xml:space="preserve">        </w:t>
      </w:r>
      <w:r>
        <w:rPr>
          <w:rStyle w:val="VariableTok"/>
        </w:rPr>
        <w:t xml:space="preserve">self</w:t>
      </w:r>
      <w:r>
        <w:rPr>
          <w:rStyle w:val="NormalTok"/>
        </w:rPr>
        <w:t xml:space="preserve">.l2 </w:t>
      </w:r>
      <w:r>
        <w:rPr>
          <w:rStyle w:val="OperatorTok"/>
        </w:rPr>
        <w:t xml:space="preserve">=</w:t>
      </w:r>
      <w:r>
        <w:rPr>
          <w:rStyle w:val="NormalTok"/>
        </w:rPr>
        <w:t xml:space="preserve"> nn.LSTM(</w:t>
      </w:r>
      <w:r>
        <w:rPr>
          <w:rStyle w:val="DecValTok"/>
        </w:rPr>
        <w:t xml:space="preserve">128</w:t>
      </w:r>
      <w:r>
        <w:rPr>
          <w:rStyle w:val="NormalTok"/>
        </w:rPr>
        <w:t xml:space="preserve">, </w:t>
      </w:r>
      <w:r>
        <w:rPr>
          <w:rStyle w:val="DecValTok"/>
        </w:rPr>
        <w:t xml:space="preserve">64</w:t>
      </w:r>
      <w:r>
        <w:rPr>
          <w:rStyle w:val="NormalTok"/>
        </w:rPr>
        <w:t xml:space="preserve">, batch_first</w:t>
      </w:r>
      <w:r>
        <w:rPr>
          <w:rStyle w:val="OperatorTok"/>
        </w:rPr>
        <w:t xml:space="preserve">=</w:t>
      </w:r>
      <w:r>
        <w:rPr>
          <w:rStyle w:val="VariableTok"/>
        </w:rPr>
        <w:t xml:space="preserve">True</w:t>
      </w:r>
      <w:r>
        <w:rPr>
          <w:rStyle w:val="NormalTok"/>
        </w:rPr>
        <w:t xml:space="preserve">)    </w:t>
      </w:r>
      <w:r>
        <w:rPr>
          <w:rStyle w:val="CommentTok"/>
        </w:rPr>
        <w:t xml:space="preserve"># layer 2</w:t>
      </w:r>
      <w:r>
        <w:br/>
      </w:r>
      <w:r>
        <w:rPr>
          <w:rStyle w:val="NormalTok"/>
        </w:rPr>
        <w:t xml:space="preserve">        </w:t>
      </w:r>
      <w:r>
        <w:rPr>
          <w:rStyle w:val="VariableTok"/>
        </w:rPr>
        <w:t xml:space="preserve">self</w:t>
      </w:r>
      <w:r>
        <w:rPr>
          <w:rStyle w:val="NormalTok"/>
        </w:rPr>
        <w:t xml:space="preserve">.d2 </w:t>
      </w:r>
      <w:r>
        <w:rPr>
          <w:rStyle w:val="OperatorTok"/>
        </w:rPr>
        <w:t xml:space="preserve">=</w:t>
      </w:r>
      <w:r>
        <w:rPr>
          <w:rStyle w:val="NormalTok"/>
        </w:rPr>
        <w:t xml:space="preserve"> nn.Dropout(</w:t>
      </w:r>
      <w:r>
        <w:rPr>
          <w:rStyle w:val="FloatTok"/>
        </w:rPr>
        <w:t xml:space="preserve">0.3</w:t>
      </w:r>
      <w:r>
        <w:rPr>
          <w:rStyle w:val="NormalTok"/>
        </w:rPr>
        <w:t xml:space="preserve">)</w:t>
      </w:r>
      <w:r>
        <w:br/>
      </w:r>
      <w:r>
        <w:rPr>
          <w:rStyle w:val="NormalTok"/>
        </w:rPr>
        <w:t xml:space="preserve">        </w:t>
      </w:r>
      <w:r>
        <w:rPr>
          <w:rStyle w:val="VariableTok"/>
        </w:rPr>
        <w:t xml:space="preserve">self</w:t>
      </w:r>
      <w:r>
        <w:rPr>
          <w:rStyle w:val="NormalTok"/>
        </w:rPr>
        <w:t xml:space="preserve">.attn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                    </w:t>
      </w:r>
      <w:r>
        <w:rPr>
          <w:rStyle w:val="CommentTok"/>
        </w:rPr>
        <w:t xml:space="preserve"># temporal attention</w:t>
      </w:r>
      <w:r>
        <w:br/>
      </w:r>
      <w:r>
        <w:rPr>
          <w:rStyle w:val="NormalTok"/>
        </w:rPr>
        <w:t xml:space="preserve">        </w:t>
      </w:r>
      <w:r>
        <w:rPr>
          <w:rStyle w:val="VariableTok"/>
        </w:rPr>
        <w:t xml:space="preserve">self</w:t>
      </w:r>
      <w:r>
        <w:rPr>
          <w:rStyle w:val="NormalTok"/>
        </w:rPr>
        <w:t xml:space="preserve">.fc1, </w:t>
      </w:r>
      <w:r>
        <w:rPr>
          <w:rStyle w:val="VariableTok"/>
        </w:rPr>
        <w:t xml:space="preserve">self</w:t>
      </w:r>
      <w:r>
        <w:rPr>
          <w:rStyle w:val="NormalTok"/>
        </w:rPr>
        <w:t xml:space="preserve">.fc2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32</w:t>
      </w:r>
      <w:r>
        <w:rPr>
          <w:rStyle w:val="NormalTok"/>
        </w:rPr>
        <w:t xml:space="preserve">), nn.Linear(</w:t>
      </w:r>
      <w:r>
        <w:rPr>
          <w:rStyle w:val="DecValTok"/>
        </w:rPr>
        <w:t xml:space="preserve">32</w:t>
      </w:r>
      <w:r>
        <w:rPr>
          <w:rStyle w:val="NormalTok"/>
        </w:rPr>
        <w:t xml:space="preserve">, </w:t>
      </w:r>
      <w:r>
        <w:rPr>
          <w:rStyle w:val="DecValTok"/>
        </w:rPr>
        <w:t xml:space="preserve">4</w:t>
      </w:r>
      <w:r>
        <w:rPr>
          <w:rStyle w:val="NormalTok"/>
        </w:rPr>
        <w:t xml:space="preserve">)</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h,_ </w:t>
      </w:r>
      <w:r>
        <w:rPr>
          <w:rStyle w:val="OperatorTok"/>
        </w:rPr>
        <w:t xml:space="preserve">=</w:t>
      </w:r>
      <w:r>
        <w:rPr>
          <w:rStyle w:val="NormalTok"/>
        </w:rPr>
        <w:t xml:space="preserve"> </w:t>
      </w:r>
      <w:r>
        <w:rPr>
          <w:rStyle w:val="VariableTok"/>
        </w:rPr>
        <w:t xml:space="preserve">self</w:t>
      </w:r>
      <w:r>
        <w:rPr>
          <w:rStyle w:val="NormalTok"/>
        </w:rPr>
        <w:t xml:space="preserve">.l1(x)</w:t>
      </w:r>
      <w:r>
        <w:rPr>
          <w:rStyle w:val="OperatorTok"/>
        </w:rPr>
        <w:t xml:space="preserve">;</w:t>
      </w:r>
      <w:r>
        <w:rPr>
          <w:rStyle w:val="NormalTok"/>
        </w:rPr>
        <w:t xml:space="preserve"> h </w:t>
      </w:r>
      <w:r>
        <w:rPr>
          <w:rStyle w:val="OperatorTok"/>
        </w:rPr>
        <w:t xml:space="preserve">=</w:t>
      </w:r>
      <w:r>
        <w:rPr>
          <w:rStyle w:val="NormalTok"/>
        </w:rPr>
        <w:t xml:space="preserve"> </w:t>
      </w:r>
      <w:r>
        <w:rPr>
          <w:rStyle w:val="VariableTok"/>
        </w:rPr>
        <w:t xml:space="preserve">self</w:t>
      </w:r>
      <w:r>
        <w:rPr>
          <w:rStyle w:val="NormalTok"/>
        </w:rPr>
        <w:t xml:space="preserve">.d1(h)</w:t>
      </w:r>
      <w:r>
        <w:br/>
      </w:r>
      <w:r>
        <w:rPr>
          <w:rStyle w:val="NormalTok"/>
        </w:rPr>
        <w:t xml:space="preserve">        h,_ </w:t>
      </w:r>
      <w:r>
        <w:rPr>
          <w:rStyle w:val="OperatorTok"/>
        </w:rPr>
        <w:t xml:space="preserve">=</w:t>
      </w:r>
      <w:r>
        <w:rPr>
          <w:rStyle w:val="NormalTok"/>
        </w:rPr>
        <w:t xml:space="preserve"> </w:t>
      </w:r>
      <w:r>
        <w:rPr>
          <w:rStyle w:val="VariableTok"/>
        </w:rPr>
        <w:t xml:space="preserve">self</w:t>
      </w:r>
      <w:r>
        <w:rPr>
          <w:rStyle w:val="NormalTok"/>
        </w:rPr>
        <w:t xml:space="preserve">.l2(h)</w:t>
      </w:r>
      <w:r>
        <w:rPr>
          <w:rStyle w:val="OperatorTok"/>
        </w:rPr>
        <w:t xml:space="preserve">;</w:t>
      </w:r>
      <w:r>
        <w:rPr>
          <w:rStyle w:val="NormalTok"/>
        </w:rPr>
        <w:t xml:space="preserve"> h </w:t>
      </w:r>
      <w:r>
        <w:rPr>
          <w:rStyle w:val="OperatorTok"/>
        </w:rPr>
        <w:t xml:space="preserve">=</w:t>
      </w:r>
      <w:r>
        <w:rPr>
          <w:rStyle w:val="NormalTok"/>
        </w:rPr>
        <w:t xml:space="preserve"> </w:t>
      </w:r>
      <w:r>
        <w:rPr>
          <w:rStyle w:val="VariableTok"/>
        </w:rPr>
        <w:t xml:space="preserve">self</w:t>
      </w:r>
      <w:r>
        <w:rPr>
          <w:rStyle w:val="NormalTok"/>
        </w:rPr>
        <w:t xml:space="preserve">.d2(h)</w:t>
      </w:r>
      <w:r>
        <w:br/>
      </w:r>
      <w:r>
        <w:rPr>
          <w:rStyle w:val="NormalTok"/>
        </w:rPr>
        <w:t xml:space="preserve">        a </w:t>
      </w:r>
      <w:r>
        <w:rPr>
          <w:rStyle w:val="OperatorTok"/>
        </w:rPr>
        <w:t xml:space="preserve">=</w:t>
      </w:r>
      <w:r>
        <w:rPr>
          <w:rStyle w:val="NormalTok"/>
        </w:rPr>
        <w:t xml:space="preserve"> torch.softmax(</w:t>
      </w:r>
      <w:r>
        <w:rPr>
          <w:rStyle w:val="VariableTok"/>
        </w:rPr>
        <w:t xml:space="preserve">self</w:t>
      </w:r>
      <w:r>
        <w:rPr>
          <w:rStyle w:val="NormalTok"/>
        </w:rPr>
        <w:t xml:space="preserve">.attn(h), dim</w:t>
      </w:r>
      <w:r>
        <w:rPr>
          <w:rStyle w:val="OperatorTok"/>
        </w:rPr>
        <w:t xml:space="preserve">=</w:t>
      </w:r>
      <w:r>
        <w:rPr>
          <w:rStyle w:val="DecValTok"/>
        </w:rPr>
        <w:t xml:space="preserve">1</w:t>
      </w:r>
      <w:r>
        <w:rPr>
          <w:rStyle w:val="NormalTok"/>
        </w:rPr>
        <w:t xml:space="preserve">)          </w:t>
      </w:r>
      <w:r>
        <w:rPr>
          <w:rStyle w:val="CommentTok"/>
        </w:rPr>
        <w:t xml:space="preserve"># (B,32,1)</w:t>
      </w:r>
      <w:r>
        <w:br/>
      </w:r>
      <w:r>
        <w:rPr>
          <w:rStyle w:val="NormalTok"/>
        </w:rPr>
        <w:t xml:space="preserve">        c </w:t>
      </w:r>
      <w:r>
        <w:rPr>
          <w:rStyle w:val="OperatorTok"/>
        </w:rPr>
        <w:t xml:space="preserve">=</w:t>
      </w:r>
      <w:r>
        <w:rPr>
          <w:rStyle w:val="NormalTok"/>
        </w:rPr>
        <w:t xml:space="preserve"> (a </w:t>
      </w:r>
      <w:r>
        <w:rPr>
          <w:rStyle w:val="OperatorTok"/>
        </w:rPr>
        <w:t xml:space="preserve">*</w:t>
      </w:r>
      <w:r>
        <w:rPr>
          <w:rStyle w:val="NormalTok"/>
        </w:rPr>
        <w:t xml:space="preserve"> h).</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                          </w:t>
      </w:r>
      <w:r>
        <w:rPr>
          <w:rStyle w:val="CommentTok"/>
        </w:rPr>
        <w:t xml:space="preserve"># context (B,64)</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.fc2(torch.relu(</w:t>
      </w:r>
      <w:r>
        <w:rPr>
          <w:rStyle w:val="VariableTok"/>
        </w:rPr>
        <w:t xml:space="preserve">self</w:t>
      </w:r>
      <w:r>
        <w:rPr>
          <w:rStyle w:val="NormalTok"/>
        </w:rPr>
        <w:t xml:space="preserve">.fc1(c)))</w:t>
      </w:r>
      <w:r>
        <w:br/>
      </w:r>
      <w:r>
        <w:br/>
      </w:r>
      <w:r>
        <w:rPr>
          <w:rStyle w:val="NormalTok"/>
        </w:rPr>
        <w:t xml:space="preserve">model </w:t>
      </w:r>
      <w:r>
        <w:rPr>
          <w:rStyle w:val="OperatorTok"/>
        </w:rPr>
        <w:t xml:space="preserve">=</w:t>
      </w:r>
      <w:r>
        <w:rPr>
          <w:rStyle w:val="NormalTok"/>
        </w:rPr>
        <w:t xml:space="preserve"> DWTLSTM()</w:t>
      </w:r>
      <w:r>
        <w:br/>
      </w:r>
      <w:r>
        <w:rPr>
          <w:rStyle w:val="NormalTok"/>
        </w:rPr>
        <w:t xml:space="preserve">opt </w:t>
      </w:r>
      <w:r>
        <w:rPr>
          <w:rStyle w:val="OperatorTok"/>
        </w:rPr>
        <w:t xml:space="preserve">=</w:t>
      </w:r>
      <w:r>
        <w:rPr>
          <w:rStyle w:val="NormalTok"/>
        </w:rPr>
        <w:t xml:space="preserve"> torch.optim.Adam(model.parameters(), lr</w:t>
      </w:r>
      <w:r>
        <w:rPr>
          <w:rStyle w:val="OperatorTok"/>
        </w:rPr>
        <w:t xml:space="preserve">=</w:t>
      </w:r>
      <w:r>
        <w:rPr>
          <w:rStyle w:val="FloatTok"/>
        </w:rPr>
        <w:t xml:space="preserve">1e-3</w:t>
      </w:r>
      <w:r>
        <w:rPr>
          <w:rStyle w:val="NormalTok"/>
        </w:rPr>
        <w:t xml:space="preserve">)</w:t>
      </w:r>
      <w:r>
        <w:br/>
      </w:r>
      <w:r>
        <w:rPr>
          <w:rStyle w:val="CommentTok"/>
        </w:rPr>
        <w:t xml:space="preserve"># class weights: internal-fault (Trip) class emphasised (pos. weight 1.4155)</w:t>
      </w:r>
      <w:r>
        <w:br/>
      </w:r>
      <w:r>
        <w:rPr>
          <w:rStyle w:val="NormalTok"/>
        </w:rPr>
        <w:t xml:space="preserve">w </w:t>
      </w:r>
      <w:r>
        <w:rPr>
          <w:rStyle w:val="OperatorTok"/>
        </w:rPr>
        <w:t xml:space="preserve">=</w:t>
      </w:r>
      <w:r>
        <w:rPr>
          <w:rStyle w:val="NormalTok"/>
        </w:rPr>
        <w:t xml:space="preserve"> torch.tensor([</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1.4155</w:t>
      </w:r>
      <w:r>
        <w:rPr>
          <w:rStyle w:val="NormalTok"/>
        </w:rPr>
        <w:t xml:space="preserve">])</w:t>
      </w:r>
      <w:r>
        <w:br/>
      </w:r>
      <w:r>
        <w:rPr>
          <w:rStyle w:val="NormalTok"/>
        </w:rPr>
        <w:t xml:space="preserve">loss_fn </w:t>
      </w:r>
      <w:r>
        <w:rPr>
          <w:rStyle w:val="OperatorTok"/>
        </w:rPr>
        <w:t xml:space="preserve">=</w:t>
      </w:r>
      <w:r>
        <w:rPr>
          <w:rStyle w:val="NormalTok"/>
        </w:rPr>
        <w:t xml:space="preserve"> nn.CrossEntropyLoss(weight</w:t>
      </w:r>
      <w:r>
        <w:rPr>
          <w:rStyle w:val="OperatorTok"/>
        </w:rPr>
        <w:t xml:space="preserve">=</w:t>
      </w:r>
      <w:r>
        <w:rPr>
          <w:rStyle w:val="NormalTok"/>
        </w:rPr>
        <w:t xml:space="preserve">w)</w:t>
      </w:r>
      <w:r>
        <w:br/>
      </w:r>
      <w:r>
        <w:rPr>
          <w:rStyle w:val="CommentTok"/>
        </w:rPr>
        <w:t xml:space="preserve"># protection decision: Trip iff argmax(probs) == 3 (internal fault)</w:t>
      </w:r>
      <w:r>
        <w:br/>
      </w:r>
      <w:r>
        <w:rPr>
          <w:rStyle w:val="CommentTok"/>
        </w:rPr>
        <w:t xml:space="preserve"># ... training loop: 200 epochs max, batch 128, early stopping patience 20 ...</w:t>
      </w:r>
      <w:r>
        <w:br/>
      </w:r>
      <w:r>
        <w:br/>
      </w:r>
      <w:r>
        <w:rPr>
          <w:rStyle w:val="NormalTok"/>
        </w:rPr>
        <w:t xml:space="preserve">dummy </w:t>
      </w:r>
      <w:r>
        <w:rPr>
          <w:rStyle w:val="OperatorTok"/>
        </w:rPr>
        <w:t xml:space="preserve">=</w:t>
      </w:r>
      <w:r>
        <w:rPr>
          <w:rStyle w:val="NormalTok"/>
        </w:rPr>
        <w:t xml:space="preserve"> torch.randn(</w:t>
      </w:r>
      <w:r>
        <w:rPr>
          <w:rStyle w:val="DecValTok"/>
        </w:rPr>
        <w:t xml:space="preserve">1</w:t>
      </w:r>
      <w:r>
        <w:rPr>
          <w:rStyle w:val="NormalTok"/>
        </w:rPr>
        <w:t xml:space="preserve">, </w:t>
      </w:r>
      <w:r>
        <w:rPr>
          <w:rStyle w:val="DecValTok"/>
        </w:rPr>
        <w:t xml:space="preserve">32</w:t>
      </w:r>
      <w:r>
        <w:rPr>
          <w:rStyle w:val="NormalTok"/>
        </w:rPr>
        <w:t xml:space="preserve">, </w:t>
      </w:r>
      <w:r>
        <w:rPr>
          <w:rStyle w:val="DecValTok"/>
        </w:rPr>
        <w:t xml:space="preserve">6</w:t>
      </w:r>
      <w:r>
        <w:rPr>
          <w:rStyle w:val="NormalTok"/>
        </w:rPr>
        <w:t xml:space="preserve">)</w:t>
      </w:r>
      <w:r>
        <w:br/>
      </w:r>
      <w:r>
        <w:rPr>
          <w:rStyle w:val="NormalTok"/>
        </w:rPr>
        <w:t xml:space="preserve">torch.onnx.export(model, dummy, </w:t>
      </w:r>
      <w:r>
        <w:rPr>
          <w:rStyle w:val="StringTok"/>
        </w:rPr>
        <w:t xml:space="preserve">'dwt_lstm_relay.onnx'</w:t>
      </w:r>
      <w:r>
        <w:rPr>
          <w:rStyle w:val="NormalTok"/>
        </w:rPr>
        <w:t xml:space="preserve">,</w:t>
      </w:r>
      <w:r>
        <w:br/>
      </w:r>
      <w:r>
        <w:rPr>
          <w:rStyle w:val="NormalTok"/>
        </w:rPr>
        <w:t xml:space="preserve">                  input_names</w:t>
      </w:r>
      <w:r>
        <w:rPr>
          <w:rStyle w:val="OperatorTok"/>
        </w:rPr>
        <w:t xml:space="preserve">=</w:t>
      </w:r>
      <w:r>
        <w:rPr>
          <w:rStyle w:val="NormalTok"/>
        </w:rPr>
        <w:t xml:space="preserve">[</w:t>
      </w:r>
      <w:r>
        <w:rPr>
          <w:rStyle w:val="StringTok"/>
        </w:rPr>
        <w:t xml:space="preserve">'input'</w:t>
      </w:r>
      <w:r>
        <w:rPr>
          <w:rStyle w:val="NormalTok"/>
        </w:rPr>
        <w:t xml:space="preserve">], output_names</w:t>
      </w:r>
      <w:r>
        <w:rPr>
          <w:rStyle w:val="OperatorTok"/>
        </w:rPr>
        <w:t xml:space="preserve">=</w:t>
      </w:r>
      <w:r>
        <w:rPr>
          <w:rStyle w:val="NormalTok"/>
        </w:rPr>
        <w:t xml:space="preserve">[</w:t>
      </w:r>
      <w:r>
        <w:rPr>
          <w:rStyle w:val="StringTok"/>
        </w:rPr>
        <w:t xml:space="preserve">'probs'</w:t>
      </w:r>
      <w:r>
        <w:rPr>
          <w:rStyle w:val="NormalTok"/>
        </w:rPr>
        <w:t xml:space="preserve">],</w:t>
      </w:r>
      <w:r>
        <w:br/>
      </w:r>
      <w:r>
        <w:rPr>
          <w:rStyle w:val="NormalTok"/>
        </w:rPr>
        <w:t xml:space="preserve">                  opset_version</w:t>
      </w:r>
      <w:r>
        <w:rPr>
          <w:rStyle w:val="OperatorTok"/>
        </w:rPr>
        <w:t xml:space="preserve">=</w:t>
      </w:r>
      <w:r>
        <w:rPr>
          <w:rStyle w:val="DecValTok"/>
        </w:rPr>
        <w:t xml:space="preserve">14</w:t>
      </w:r>
      <w:r>
        <w:rPr>
          <w:rStyle w:val="NormalTok"/>
        </w:rPr>
        <w:t xml:space="preserve">)</w:t>
      </w:r>
    </w:p>
    <w:p>
      <w:pPr>
        <w:pStyle w:val="Heading2"/>
      </w:pPr>
      <w:bookmarkStart w:id="207" w:name="X192e031eb6b63e7baaa355c9d542363c38f2c0d"/>
      <w:r>
        <w:t xml:space="preserve">Simulink: ONNX Predict and Hybrid-Gate Configuration</w:t>
      </w:r>
      <w:bookmarkEnd w:id="207"/>
    </w:p>
    <w:p>
      <w:pPr>
        <w:pStyle w:val="SourceCode"/>
      </w:pPr>
      <w:r>
        <w:rPr>
          <w:rStyle w:val="VariableTok"/>
        </w:rPr>
        <w:t xml:space="preserve">set_param</w:t>
      </w:r>
      <w:r>
        <w:rPr>
          <w:rStyle w:val="NormalTok"/>
        </w:rPr>
        <w:t xml:space="preserve">(</w:t>
      </w:r>
      <w:r>
        <w:rPr>
          <w:rStyle w:val="SpecialStringTok"/>
        </w:rPr>
        <w:t xml:space="preserve">'hatdp_relay'</w:t>
      </w:r>
      <w:r>
        <w:rPr>
          <w:rStyle w:val="OperatorTok"/>
        </w:rPr>
        <w:t xml:space="preserve">,</w:t>
      </w:r>
      <w:r>
        <w:rPr>
          <w:rStyle w:val="SpecialStringTok"/>
        </w:rPr>
        <w:t xml:space="preserve">'SolverType'</w:t>
      </w:r>
      <w:r>
        <w:rPr>
          <w:rStyle w:val="OperatorTok"/>
        </w:rPr>
        <w:t xml:space="preserve">,</w:t>
      </w:r>
      <w:r>
        <w:rPr>
          <w:rStyle w:val="SpecialStringTok"/>
        </w:rPr>
        <w:t xml:space="preserve">'Fixed-step'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'Solver'</w:t>
      </w:r>
      <w:r>
        <w:rPr>
          <w:rStyle w:val="OperatorTok"/>
        </w:rPr>
        <w:t xml:space="preserve">,</w:t>
      </w:r>
      <w:r>
        <w:rPr>
          <w:rStyle w:val="SpecialStringTok"/>
        </w:rPr>
        <w:t xml:space="preserve">'FixedStepDiscrete'</w:t>
      </w:r>
      <w:r>
        <w:rPr>
          <w:rStyle w:val="OperatorTok"/>
        </w:rPr>
        <w:t xml:space="preserve">,</w:t>
      </w:r>
      <w:r>
        <w:rPr>
          <w:rStyle w:val="SpecialStringTok"/>
        </w:rPr>
        <w:t xml:space="preserve">'FixedStep'</w:t>
      </w:r>
      <w:r>
        <w:rPr>
          <w:rStyle w:val="OperatorTok"/>
        </w:rPr>
        <w:t xml:space="preserve">,</w:t>
      </w:r>
      <w:r>
        <w:rPr>
          <w:rStyle w:val="SpecialStringTok"/>
        </w:rPr>
        <w:t xml:space="preserve">'1e-5'</w:t>
      </w:r>
      <w:r>
        <w:rPr>
          <w:rStyle w:val="OperatorTok"/>
        </w:rPr>
        <w:t xml:space="preserve">,</w:t>
      </w:r>
      <w:r>
        <w:rPr>
          <w:rStyle w:val="SpecialStringTok"/>
        </w:rPr>
        <w:t xml:space="preserve">'StopTime'</w:t>
      </w:r>
      <w:r>
        <w:rPr>
          <w:rStyle w:val="OperatorTok"/>
        </w:rPr>
        <w:t xml:space="preserve">,</w:t>
      </w:r>
      <w:r>
        <w:rPr>
          <w:rStyle w:val="SpecialStringTok"/>
        </w:rPr>
        <w:t xml:space="preserve">'1.0'</w:t>
      </w:r>
      <w:r>
        <w:rPr>
          <w:rStyle w:val="NormalTok"/>
        </w:rPr>
        <w:t xml:space="preserve">)</w:t>
      </w:r>
      <w:r>
        <w:rPr>
          <w:rStyle w:val="OperatorTok"/>
        </w:rPr>
        <w:t xml:space="preserve">;</w:t>
      </w:r>
      <w:r>
        <w:br/>
      </w:r>
      <w:r>
        <w:br/>
      </w:r>
      <w:r>
        <w:rPr>
          <w:rStyle w:val="CommentTok"/>
        </w:rPr>
        <w:t xml:space="preserve">%% ONNX Predict block (Opset 14 model)</w:t>
      </w:r>
      <w:r>
        <w:br/>
      </w:r>
      <w:r>
        <w:rPr>
          <w:rStyle w:val="VariableTok"/>
        </w:rPr>
        <w:t xml:space="preserve">set_param</w:t>
      </w:r>
      <w:r>
        <w:rPr>
          <w:rStyle w:val="NormalTok"/>
        </w:rPr>
        <w:t xml:space="preserve">(</w:t>
      </w:r>
      <w:r>
        <w:rPr>
          <w:rStyle w:val="SpecialStringTok"/>
        </w:rPr>
        <w:t xml:space="preserve">'hatdp_relay/LSTM_Classifier'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'NetworkFilename'</w:t>
      </w:r>
      <w:r>
        <w:rPr>
          <w:rStyle w:val="OperatorTok"/>
        </w:rPr>
        <w:t xml:space="preserve">,</w:t>
      </w:r>
      <w:r>
        <w:rPr>
          <w:rStyle w:val="SpecialStringTok"/>
        </w:rPr>
        <w:t xml:space="preserve">'dwt_lstm_relay.onnx'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'OutputLayer'</w:t>
      </w:r>
      <w:r>
        <w:rPr>
          <w:rStyle w:val="OperatorTok"/>
        </w:rPr>
        <w:t xml:space="preserve">,</w:t>
      </w:r>
      <w:r>
        <w:rPr>
          <w:rStyle w:val="SpecialStringTok"/>
        </w:rPr>
        <w:t xml:space="preserve">'softmax'</w:t>
      </w:r>
      <w:r>
        <w:rPr>
          <w:rStyle w:val="OperatorTok"/>
        </w:rPr>
        <w:t xml:space="preserve">,</w:t>
      </w:r>
      <w:r>
        <w:rPr>
          <w:rStyle w:val="SpecialStringTok"/>
        </w:rPr>
        <w:t xml:space="preserve">'ExecutionMode'</w:t>
      </w:r>
      <w:r>
        <w:rPr>
          <w:rStyle w:val="OperatorTok"/>
        </w:rPr>
        <w:t xml:space="preserve">,</w:t>
      </w:r>
      <w:r>
        <w:rPr>
          <w:rStyle w:val="SpecialStringTok"/>
        </w:rPr>
        <w:t xml:space="preserve">'SIM'</w:t>
      </w:r>
      <w:r>
        <w:rPr>
          <w:rStyle w:val="NormalTok"/>
        </w:rPr>
        <w:t xml:space="preserve">)</w:t>
      </w:r>
      <w:r>
        <w:rPr>
          <w:rStyle w:val="OperatorTok"/>
        </w:rPr>
        <w:t xml:space="preserve">;</w:t>
      </w:r>
      <w:r>
        <w:br/>
      </w:r>
      <w:r>
        <w:br/>
      </w:r>
      <w:r>
        <w:rPr>
          <w:rStyle w:val="CommentTok"/>
        </w:rPr>
        <w:t xml:space="preserve">%% Adaptive 87T relay and hybrid AND/veto gate</w:t>
      </w:r>
      <w:r>
        <w:br/>
      </w:r>
      <w:r>
        <w:rPr>
          <w:rStyle w:val="VariableTok"/>
        </w:rPr>
        <w:t xml:space="preserve">relay</w:t>
      </w:r>
      <w:r>
        <w:rPr>
          <w:rStyle w:val="NormalTok"/>
        </w:rPr>
        <w:t xml:space="preserve">.</w:t>
      </w:r>
      <w:r>
        <w:rPr>
          <w:rStyle w:val="VariableTok"/>
        </w:rPr>
        <w:t xml:space="preserve">Slope</w:t>
      </w:r>
      <w:r>
        <w:rPr>
          <w:rStyle w:val="NormalTok"/>
        </w:rPr>
        <w:t xml:space="preserve"> </w:t>
      </w:r>
      <w:r>
        <w:rPr>
          <w:rStyle w:val="OperatorTok"/>
        </w:rPr>
        <w:t xml:space="preserve">=</w:t>
      </w:r>
      <w:r>
        <w:rPr>
          <w:rStyle w:val="NormalTok"/>
        </w:rPr>
        <w:t xml:space="preserve"> </w:t>
      </w:r>
      <w:r>
        <w:rPr>
          <w:rStyle w:val="FloatTok"/>
        </w:rPr>
        <w:t xml:space="preserve">0.30</w:t>
      </w:r>
      <w:r>
        <w:rPr>
          <w:rStyle w:val="OperatorTok"/>
        </w:rPr>
        <w:t xml:space="preserve">;</w:t>
      </w:r>
      <w:r>
        <w:rPr>
          <w:rStyle w:val="NormalTok"/>
        </w:rPr>
        <w:t xml:space="preserve">  </w:t>
      </w:r>
      <w:r>
        <w:rPr>
          <w:rStyle w:val="VariableTok"/>
        </w:rPr>
        <w:t xml:space="preserve">relay</w:t>
      </w:r>
      <w:r>
        <w:rPr>
          <w:rStyle w:val="NormalTok"/>
        </w:rPr>
        <w:t xml:space="preserve">.</w:t>
      </w:r>
      <w:r>
        <w:rPr>
          <w:rStyle w:val="VariableTok"/>
        </w:rPr>
        <w:t xml:space="preserve">Ipick</w:t>
      </w:r>
      <w:r>
        <w:rPr>
          <w:rStyle w:val="NormalTok"/>
        </w:rPr>
        <w:t xml:space="preserve"> </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w:t>
      </w:r>
      <w:r>
        <w:rPr>
          <w:rStyle w:val="CommentTok"/>
        </w:rPr>
        <w:t xml:space="preserve">% pu of rated</w:t>
      </w:r>
      <w:r>
        <w:br/>
      </w:r>
      <w:r>
        <w:rPr>
          <w:rStyle w:val="VariableTok"/>
        </w:rPr>
        <w:t xml:space="preserve">relay</w:t>
      </w:r>
      <w:r>
        <w:rPr>
          <w:rStyle w:val="NormalTok"/>
        </w:rPr>
        <w:t xml:space="preserve">.</w:t>
      </w:r>
      <w:r>
        <w:rPr>
          <w:rStyle w:val="VariableTok"/>
        </w:rPr>
        <w:t xml:space="preserve">I2_restraint</w:t>
      </w:r>
      <w:r>
        <w:rPr>
          <w:rStyle w:val="NormalTok"/>
        </w:rPr>
        <w:t xml:space="preserve"> </w:t>
      </w:r>
      <w:r>
        <w:rPr>
          <w:rStyle w:val="OperatorTok"/>
        </w:rPr>
        <w:t xml:space="preserve">=</w:t>
      </w:r>
      <w:r>
        <w:rPr>
          <w:rStyle w:val="NormalTok"/>
        </w:rPr>
        <w:t xml:space="preserve"> </w:t>
      </w:r>
      <w:r>
        <w:rPr>
          <w:rStyle w:val="FloatTok"/>
        </w:rPr>
        <w:t xml:space="preserve">0.20</w:t>
      </w:r>
      <w:r>
        <w:rPr>
          <w:rStyle w:val="OperatorTok"/>
        </w:rPr>
        <w:t xml:space="preserve">;</w:t>
      </w:r>
      <w:r>
        <w:rPr>
          <w:rStyle w:val="NormalTok"/>
        </w:rPr>
        <w:t xml:space="preserve">  </w:t>
      </w:r>
      <w:r>
        <w:rPr>
          <w:rStyle w:val="VariableTok"/>
        </w:rPr>
        <w:t xml:space="preserve">relay</w:t>
      </w:r>
      <w:r>
        <w:rPr>
          <w:rStyle w:val="NormalTok"/>
        </w:rPr>
        <w:t xml:space="preserve">.</w:t>
      </w:r>
      <w:r>
        <w:rPr>
          <w:rStyle w:val="VariableTok"/>
        </w:rPr>
        <w:t xml:space="preserve">CrossBlock</w:t>
      </w:r>
      <w:r>
        <w:rPr>
          <w:rStyle w:val="NormalTok"/>
        </w:rPr>
        <w:t xml:space="preserve"> </w:t>
      </w:r>
      <w:r>
        <w:rPr>
          <w:rStyle w:val="OperatorTok"/>
        </w:rPr>
        <w:t xml:space="preserve">=</w:t>
      </w:r>
      <w:r>
        <w:rPr>
          <w:rStyle w:val="NormalTok"/>
        </w:rPr>
        <w:t xml:space="preserve"> </w:t>
      </w:r>
      <w:r>
        <w:rPr>
          <w:rStyle w:val="SpecialStringTok"/>
        </w:rPr>
        <w:t xml:space="preserve">'on'</w:t>
      </w:r>
      <w:r>
        <w:rPr>
          <w:rStyle w:val="OperatorTok"/>
        </w:rPr>
        <w:t xml:space="preserve">;</w:t>
      </w:r>
      <w:r>
        <w:br/>
      </w:r>
      <w:r>
        <w:rPr>
          <w:rStyle w:val="VariableTok"/>
        </w:rPr>
        <w:t xml:space="preserve">gate</w:t>
      </w:r>
      <w:r>
        <w:rPr>
          <w:rStyle w:val="NormalTok"/>
        </w:rPr>
        <w:t xml:space="preserve">.</w:t>
      </w:r>
      <w:r>
        <w:rPr>
          <w:rStyle w:val="VariableTok"/>
        </w:rPr>
        <w:t xml:space="preserve">Mode</w:t>
      </w:r>
      <w:r>
        <w:rPr>
          <w:rStyle w:val="NormalTok"/>
        </w:rPr>
        <w:t xml:space="preserve"> </w:t>
      </w:r>
      <w:r>
        <w:rPr>
          <w:rStyle w:val="OperatorTok"/>
        </w:rPr>
        <w:t xml:space="preserve">=</w:t>
      </w:r>
      <w:r>
        <w:rPr>
          <w:rStyle w:val="NormalTok"/>
        </w:rPr>
        <w:t xml:space="preserve"> </w:t>
      </w:r>
      <w:r>
        <w:rPr>
          <w:rStyle w:val="SpecialStringTok"/>
        </w:rPr>
        <w:t xml:space="preserve">'AND'</w:t>
      </w:r>
      <w:r>
        <w:rPr>
          <w:rStyle w:val="OperatorTok"/>
        </w:rPr>
        <w:t xml:space="preserve">;</w:t>
      </w:r>
      <w:r>
        <w:rPr>
          <w:rStyle w:val="NormalTok"/>
        </w:rPr>
        <w:t xml:space="preserve">  </w:t>
      </w:r>
      <w:r>
        <w:rPr>
          <w:rStyle w:val="VariableTok"/>
        </w:rPr>
        <w:t xml:space="preserve">gate</w:t>
      </w:r>
      <w:r>
        <w:rPr>
          <w:rStyle w:val="NormalTok"/>
        </w:rPr>
        <w:t xml:space="preserve">.</w:t>
      </w:r>
      <w:r>
        <w:rPr>
          <w:rStyle w:val="VariableTok"/>
        </w:rPr>
        <w:t xml:space="preserve">LSTM_class</w:t>
      </w:r>
      <w:r>
        <w:rPr>
          <w:rStyle w:val="NormalTok"/>
        </w:rPr>
        <w:t xml:space="preserve"> </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CommentTok"/>
        </w:rPr>
        <w:t xml:space="preserve">% class 3 = internal fault (Trip)</w:t>
      </w:r>
      <w:r>
        <w:br/>
      </w:r>
      <w:r>
        <w:rPr>
          <w:rStyle w:val="VariableTok"/>
        </w:rPr>
        <w:t xml:space="preserve">gate</w:t>
      </w:r>
      <w:r>
        <w:rPr>
          <w:rStyle w:val="NormalTok"/>
        </w:rPr>
        <w:t xml:space="preserve">.</w:t>
      </w:r>
      <w:r>
        <w:rPr>
          <w:rStyle w:val="VariableTok"/>
        </w:rPr>
        <w:t xml:space="preserve">ConfThreshold</w:t>
      </w:r>
      <w:r>
        <w:rPr>
          <w:rStyle w:val="NormalTok"/>
        </w:rPr>
        <w:t xml:space="preserve"> </w:t>
      </w:r>
      <w:r>
        <w:rPr>
          <w:rStyle w:val="OperatorTok"/>
        </w:rPr>
        <w:t xml:space="preserve">=</w:t>
      </w:r>
      <w:r>
        <w:rPr>
          <w:rStyle w:val="NormalTok"/>
        </w:rPr>
        <w:t xml:space="preserve"> </w:t>
      </w:r>
      <w:r>
        <w:rPr>
          <w:rStyle w:val="FloatTok"/>
        </w:rPr>
        <w:t xml:space="preserve">0.85</w:t>
      </w:r>
      <w:r>
        <w:rPr>
          <w:rStyle w:val="OperatorTok"/>
        </w:rPr>
        <w:t xml:space="preserve">;</w:t>
      </w:r>
    </w:p>
    <w:p>
      <w:pPr>
        <w:pStyle w:val="FirstParagraph"/>
      </w:pPr>
      <w:r>
        <w:t xml:space="preserv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159" Target="media/rId159.png" /><Relationship Type="http://schemas.openxmlformats.org/officeDocument/2006/relationships/image" Id="rId77" Target="media/rId77.png" /><Relationship Type="http://schemas.openxmlformats.org/officeDocument/2006/relationships/image" Id="rId79" Target="media/rId79.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5" Target="media/rId75.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20" Target="media/rId120.png" /><Relationship Type="http://schemas.openxmlformats.org/officeDocument/2006/relationships/image" Id="rId127" Target="media/rId127.png" /><Relationship Type="http://schemas.openxmlformats.org/officeDocument/2006/relationships/image" Id="rId180" Target="media/rId180.png" /><Relationship Type="http://schemas.openxmlformats.org/officeDocument/2006/relationships/image" Id="rId182" Target="media/rId182.png" /><Relationship Type="http://schemas.openxmlformats.org/officeDocument/2006/relationships/image" Id="rId130" Target="media/rId130.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63" Target="media/rId163.png" /><Relationship Type="http://schemas.openxmlformats.org/officeDocument/2006/relationships/image" Id="rId152" Target="media/rId152.png" /><Relationship Type="http://schemas.openxmlformats.org/officeDocument/2006/relationships/image" Id="rId177" Target="media/rId177.png" /><Relationship Type="http://schemas.openxmlformats.org/officeDocument/2006/relationships/image" Id="rId165" Target="media/rId165.png" /><Relationship Type="http://schemas.openxmlformats.org/officeDocument/2006/relationships/image" Id="rId117" Target="media/rId117.png" /><Relationship Type="http://schemas.openxmlformats.org/officeDocument/2006/relationships/image" Id="rId157" Target="media/rId157.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2026-06-04T08:09:04Z</dcterms:created>
  <dcterms:modified xsi:type="dcterms:W3CDTF">2026-06-04T08:09:04Z</dcterms:modified>
</cp:coreProperties>
</file>

<file path=docProps/custom.xml><?xml version="1.0" encoding="utf-8"?>
<Properties xmlns="http://schemas.openxmlformats.org/officeDocument/2006/custom-properties" xmlns:vt="http://schemas.openxmlformats.org/officeDocument/2006/docPropsVTypes"/>
</file>