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Lire le tuto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https://openclassrooms.com/courses/creez-votre-application-web-avec-java-ee/premiers-pas-avec-jsf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explique le JSF, le JPA, les servlet, les transferts de données, les interactions avec la BDD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Comprendre le fonctionnement des techno employées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Refaire un UML BDD au propre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Réaliser la BDD avec MySQL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(Attention form = forme)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 tables sont, pour l’instant,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Texture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texture)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Equipment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Armor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Helmet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Shield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Weave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Accessory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Earings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Bracelet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Necklace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Weapon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RangeWeapon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CloseCombatWeapon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name, description, form, texture, weight)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Scripts nécessaires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Pour les interfaces CRUD, il est requis d’en avoir au moins une en 1-*, *-*.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* est présente sur tous les liens en contact de texture (sauf erreur de ma part).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Chercher comment faire des interfaces avec JEE 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http://tahe.developpez.com/java/webservice-jee/?page=page_5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EJB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https://www.jmdoudoux.fr/java/dej/chap-ejb3.htm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Cherche le fonctionnement de </w:t>
      </w:r>
      <w:r w:rsidDel="00000000" w:rsidR="00000000" w:rsidRPr="00000000">
        <w:rPr>
          <w:color w:val="ff0000"/>
          <w:rtl w:val="0"/>
        </w:rPr>
        <w:t xml:space="preserve">CDI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http://rmannibucau.developpez.com/tutoriels/cdi/introduction-cdi/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Architecture en couches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BDD ←- DAL ←- BLL ←- IHM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openclassrooms.com/courses/creez-votre-application-web-avec-java-ee/premiers-pas-avec-jsf" TargetMode="External"/><Relationship Id="rId6" Type="http://schemas.openxmlformats.org/officeDocument/2006/relationships/hyperlink" Target="http://tahe.developpez.com/java/webservice-jee/?page=page_5" TargetMode="External"/><Relationship Id="rId7" Type="http://schemas.openxmlformats.org/officeDocument/2006/relationships/hyperlink" Target="https://www.jmdoudoux.fr/java/dej/chap-ejb3.htm" TargetMode="External"/><Relationship Id="rId8" Type="http://schemas.openxmlformats.org/officeDocument/2006/relationships/hyperlink" Target="http://rmannibucau.developpez.com/tutoriels/cdi/introduction-cdi/" TargetMode="External"/></Relationships>
</file>