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73" w:rsidRDefault="00A67473">
      <w:pPr>
        <w:rPr>
          <w:b/>
        </w:rPr>
      </w:pPr>
      <w:r w:rsidRPr="00A67473">
        <w:rPr>
          <w:b/>
        </w:rPr>
        <w:t>КРИПТОГРАФИЧЕСКИЙ ПРОТОКОЛ ЗАЩИТЫ ИНФОРМАЦИИ В РАДИОКАНАЛАХ СЕТЕВЫХ СПУТНИКОВЫХ СИСТЕМ С ИСПОЛЬЗОВАНИЕМ АСИММЕТРИЧНЫХ АЛГОРИТМОВ</w:t>
      </w:r>
    </w:p>
    <w:p w:rsidR="00A67473" w:rsidRDefault="00A67473">
      <w:pPr>
        <w:rPr>
          <w:b/>
        </w:rPr>
      </w:pPr>
      <w:r>
        <w:rPr>
          <w:b/>
        </w:rPr>
        <w:t xml:space="preserve">ЦЕЛЬ: </w:t>
      </w:r>
      <w:r w:rsidRPr="00A67473">
        <w:t>рассмотреть способ защиты информации на космических связях с использованием асимметричных алгоритмов</w:t>
      </w:r>
    </w:p>
    <w:p w:rsidR="00A67473" w:rsidRDefault="00A67473">
      <w:pPr>
        <w:rPr>
          <w:b/>
        </w:rPr>
      </w:pPr>
      <w:r>
        <w:rPr>
          <w:b/>
        </w:rPr>
        <w:t>Задачи:</w:t>
      </w:r>
    </w:p>
    <w:p w:rsidR="00A67473" w:rsidRPr="00A67473" w:rsidRDefault="00A67473" w:rsidP="00A67473">
      <w:pPr>
        <w:pStyle w:val="a3"/>
        <w:numPr>
          <w:ilvl w:val="0"/>
          <w:numId w:val="4"/>
        </w:numPr>
      </w:pPr>
      <w:r w:rsidRPr="00A67473">
        <w:t>Рассмотреть варианты угроз безопасности информации</w:t>
      </w:r>
    </w:p>
    <w:p w:rsidR="00A67473" w:rsidRPr="00A67473" w:rsidRDefault="00A67473" w:rsidP="00A67473">
      <w:pPr>
        <w:pStyle w:val="a3"/>
        <w:numPr>
          <w:ilvl w:val="0"/>
          <w:numId w:val="4"/>
        </w:numPr>
      </w:pPr>
      <w:r w:rsidRPr="00A67473">
        <w:t>Выделить преимущества использования ассиметричных криптосистем</w:t>
      </w:r>
    </w:p>
    <w:p w:rsidR="00A67473" w:rsidRPr="00004383" w:rsidRDefault="00004383" w:rsidP="00A67473">
      <w:pPr>
        <w:pStyle w:val="a3"/>
        <w:numPr>
          <w:ilvl w:val="0"/>
          <w:numId w:val="4"/>
        </w:numPr>
      </w:pPr>
      <w:r w:rsidRPr="00004383">
        <w:t xml:space="preserve">Изучить способ </w:t>
      </w:r>
      <w:r w:rsidRPr="00004383">
        <w:t>построения асимметричных криптоалгоритмов</w:t>
      </w:r>
    </w:p>
    <w:p w:rsidR="00A67473" w:rsidRDefault="00A67473">
      <w:pPr>
        <w:rPr>
          <w:b/>
        </w:rPr>
      </w:pPr>
    </w:p>
    <w:p w:rsidR="009B0EA3" w:rsidRDefault="00D4681A">
      <w:r>
        <w:t>Развитие сетевых спутниковых технологий управления и передачи информации приводит к значительному возрастанию информационных потоков в радиоканалах. Информация, циркулирующая по рад</w:t>
      </w:r>
      <w:r>
        <w:t>иоканалам управления и информа</w:t>
      </w:r>
      <w:r>
        <w:t>ционного обмена, может иметь критическое значение для пользователя, т. е. раскрытие информации посторонними лицами (в дальнейшем «нарушителем») может привести к значительному ущербу для пользователя. Такая информация является конфиденциальной и требует защиты от различных угроз. Под угрозой безопасности информации будем понимать потенциально возможное воздействие на информацию, которое прямо или косвенно может нанести ущерб е</w:t>
      </w:r>
      <w:r w:rsidR="00DB539E">
        <w:t>ё</w:t>
      </w:r>
      <w:r>
        <w:t xml:space="preserve"> безопасности. Под безопасностью информации будем понимать состояние информации, при котором с требуемой вероятностью обеспечивается защита информации от раз</w:t>
      </w:r>
      <w:r w:rsidR="009B0EA3">
        <w:t>личных угроз.</w:t>
      </w:r>
      <w:bookmarkStart w:id="0" w:name="_GoBack"/>
      <w:bookmarkEnd w:id="0"/>
    </w:p>
    <w:p w:rsidR="00DB539E" w:rsidRDefault="00D4681A">
      <w:r>
        <w:t xml:space="preserve">Среди множества угроз безопасности информации в сетевых спутниковых системах можно выделить: </w:t>
      </w:r>
    </w:p>
    <w:p w:rsidR="00DB539E" w:rsidRDefault="00D4681A" w:rsidP="00DB539E">
      <w:pPr>
        <w:pStyle w:val="a3"/>
        <w:numPr>
          <w:ilvl w:val="0"/>
          <w:numId w:val="1"/>
        </w:numPr>
      </w:pPr>
      <w:r>
        <w:t>перехват в радиоканале (контроль трафика);</w:t>
      </w:r>
    </w:p>
    <w:p w:rsidR="00DB539E" w:rsidRDefault="00D4681A" w:rsidP="00DB539E">
      <w:pPr>
        <w:pStyle w:val="a3"/>
        <w:numPr>
          <w:ilvl w:val="0"/>
          <w:numId w:val="1"/>
        </w:numPr>
      </w:pPr>
      <w:r>
        <w:t xml:space="preserve">воздействие преднамеренных помех; </w:t>
      </w:r>
    </w:p>
    <w:p w:rsidR="00DB539E" w:rsidRDefault="00D4681A" w:rsidP="00DB539E">
      <w:pPr>
        <w:pStyle w:val="a3"/>
        <w:numPr>
          <w:ilvl w:val="0"/>
          <w:numId w:val="1"/>
        </w:numPr>
      </w:pPr>
      <w:r>
        <w:t xml:space="preserve">несанкционированное декодирование и дешифрование информации; </w:t>
      </w:r>
    </w:p>
    <w:p w:rsidR="00D4681A" w:rsidRDefault="00D4681A" w:rsidP="00DB539E">
      <w:pPr>
        <w:pStyle w:val="a3"/>
        <w:numPr>
          <w:ilvl w:val="0"/>
          <w:numId w:val="1"/>
        </w:numPr>
      </w:pPr>
      <w:r>
        <w:t xml:space="preserve">информационную перегрузку за </w:t>
      </w:r>
      <w:r w:rsidR="00DB539E">
        <w:t>счёт</w:t>
      </w:r>
      <w:r>
        <w:t xml:space="preserve"> передачи большого количества фрагментов ложной информации;</w:t>
      </w:r>
    </w:p>
    <w:p w:rsidR="00DB539E" w:rsidRDefault="00DB539E" w:rsidP="00DB539E">
      <w:pPr>
        <w:pStyle w:val="a3"/>
        <w:numPr>
          <w:ilvl w:val="0"/>
          <w:numId w:val="1"/>
        </w:numPr>
      </w:pPr>
      <w:r>
        <w:t>передачу ложной информац</w:t>
      </w:r>
      <w:r>
        <w:t>ии (в том числе ложной командно-</w:t>
      </w:r>
      <w:r>
        <w:t xml:space="preserve">программной информации), постановку имитирующих помех; </w:t>
      </w:r>
    </w:p>
    <w:p w:rsidR="00DB539E" w:rsidRDefault="00DB539E" w:rsidP="00DB539E">
      <w:pPr>
        <w:pStyle w:val="a3"/>
        <w:numPr>
          <w:ilvl w:val="0"/>
          <w:numId w:val="1"/>
        </w:numPr>
      </w:pPr>
      <w:r>
        <w:t>физическое в</w:t>
      </w:r>
      <w:r>
        <w:t>оздействие на оконечные устрой</w:t>
      </w:r>
      <w:r>
        <w:t>ства.</w:t>
      </w:r>
    </w:p>
    <w:p w:rsidR="00DB539E" w:rsidRDefault="00DB539E">
      <w:r>
        <w:t>Учитывая п</w:t>
      </w:r>
      <w:r>
        <w:t>ространственную доступность ра</w:t>
      </w:r>
      <w:r>
        <w:t>диоканалов упр</w:t>
      </w:r>
      <w:r>
        <w:t>авления и информационного обме</w:t>
      </w:r>
      <w:r>
        <w:t>на с космическим</w:t>
      </w:r>
      <w:r>
        <w:t xml:space="preserve"> аппаратом (КА) в сетевых спут</w:t>
      </w:r>
      <w:r>
        <w:t>никовых систем</w:t>
      </w:r>
      <w:r>
        <w:t>ах, значительное внимание необ</w:t>
      </w:r>
      <w:r>
        <w:t>ходимо уделять вопросам защиты информации от несанкциониров</w:t>
      </w:r>
      <w:r>
        <w:t>анного доступа (НСД) к её смысловому содержанию</w:t>
      </w:r>
      <w:r>
        <w:t>. Основным инструментом защиты информац</w:t>
      </w:r>
      <w:r>
        <w:t>ии в этом случае является крип</w:t>
      </w:r>
      <w:r>
        <w:t>тографическая защ</w:t>
      </w:r>
      <w:r>
        <w:t>ита, построенная на основе раз</w:t>
      </w:r>
      <w:r>
        <w:t>личных алгоритмов шифрования. Кроме того, при осуществлении п</w:t>
      </w:r>
      <w:r>
        <w:t>ередачи конфиденциальной инфор</w:t>
      </w:r>
      <w:r>
        <w:t>мации по сетев</w:t>
      </w:r>
      <w:r>
        <w:t>ым спутниковым системам принци</w:t>
      </w:r>
      <w:r>
        <w:t>пиально необход</w:t>
      </w:r>
      <w:r>
        <w:t>имо выполнение процедуры аутен</w:t>
      </w:r>
      <w:r>
        <w:t xml:space="preserve">тификации – </w:t>
      </w:r>
      <w:r>
        <w:t>подтверждения</w:t>
      </w:r>
      <w:r>
        <w:t xml:space="preserve"> </w:t>
      </w:r>
      <w:r>
        <w:t>подлинности</w:t>
      </w:r>
      <w:r>
        <w:t xml:space="preserve"> абонента. В сетевых сп</w:t>
      </w:r>
      <w:r>
        <w:t>утниковых системах целесообразнее</w:t>
      </w:r>
      <w:r>
        <w:t xml:space="preserve"> использовать асимметричные криптосистемы, которые обладают следующими преимуществами: </w:t>
      </w:r>
    </w:p>
    <w:p w:rsidR="00DB539E" w:rsidRDefault="00DB539E" w:rsidP="00DB539E">
      <w:pPr>
        <w:pStyle w:val="a3"/>
        <w:numPr>
          <w:ilvl w:val="0"/>
          <w:numId w:val="2"/>
        </w:numPr>
      </w:pPr>
      <w:r>
        <w:t>в сетях с большим количеством а</w:t>
      </w:r>
      <w:r>
        <w:t>бонентов ча</w:t>
      </w:r>
      <w:r>
        <w:t>сто возникают ситуации, когда абоненты не могут доверять друг др</w:t>
      </w:r>
      <w:r>
        <w:t>угу, а асимметричные криптосис</w:t>
      </w:r>
      <w:r>
        <w:t>темы позволяют строить эффективные алгоритмы аутентификации;</w:t>
      </w:r>
    </w:p>
    <w:p w:rsidR="00DB539E" w:rsidRDefault="00DB539E" w:rsidP="00DB539E">
      <w:pPr>
        <w:pStyle w:val="a3"/>
        <w:numPr>
          <w:ilvl w:val="0"/>
          <w:numId w:val="2"/>
        </w:numPr>
      </w:pPr>
      <w:r>
        <w:t>использование для защиты информации в сетях с большим количеством абонентов только с</w:t>
      </w:r>
      <w:r>
        <w:t>имметрич</w:t>
      </w:r>
      <w:r>
        <w:t xml:space="preserve">ных криптосистем </w:t>
      </w:r>
      <w:r>
        <w:t>требует распространения большо</w:t>
      </w:r>
      <w:r>
        <w:t>го числа ключевой информации, а асимметричные криптосистемы свободны от данного недостатка</w:t>
      </w:r>
    </w:p>
    <w:p w:rsidR="00DB539E" w:rsidRDefault="00B657BA" w:rsidP="00B657BA">
      <w:r w:rsidRPr="00B657BA">
        <w:lastRenderedPageBreak/>
        <w:t>В общем случае системы управления и информационного обмена с КА могут быть разнородными и использовать различные протоколы на различных уровнях модели взаимодействия открытых систем. В таких сетях могут быть использованы различные каналы передачи информации, в том числе проводные, радио, оптические и др. Кроме</w:t>
      </w:r>
      <w:r>
        <w:t xml:space="preserve"> того, в интересах управления и </w:t>
      </w:r>
      <w:r w:rsidRPr="00B657BA">
        <w:t>информационного обмена с КА возможно использование сетевых спутниковых систем связи общего пользования. В связи с этим наиболее целесообразно размещать криптографические функции на уровне пред</w:t>
      </w:r>
      <w:r>
        <w:t xml:space="preserve">ставления или </w:t>
      </w:r>
      <w:r>
        <w:t xml:space="preserve">прикладном уровне семиуровневой </w:t>
      </w:r>
      <w:r>
        <w:t xml:space="preserve">модели взаимодействия открытых систем, что аналогично «туннелированию» при создании закрытых </w:t>
      </w:r>
      <w:r w:rsidR="002C68BE">
        <w:t>каналов в компьютерных сетях</w:t>
      </w:r>
      <w:r>
        <w:t>. Шифрование всей передаваемой информации в этом случае осуществляется до е</w:t>
      </w:r>
      <w:r>
        <w:t>ё</w:t>
      </w:r>
      <w:r>
        <w:t xml:space="preserve"> поступления в терминальную абонентскую аппаратуру. За </w:t>
      </w:r>
      <w:r>
        <w:t>счёт</w:t>
      </w:r>
      <w:r w:rsidR="00A67473">
        <w:t xml:space="preserve"> этого </w:t>
      </w:r>
      <w:r>
        <w:t>становится возможной аутентификации абонентов</w:t>
      </w:r>
      <w:r>
        <w:t xml:space="preserve"> </w:t>
      </w:r>
      <w:r w:rsidRPr="00B657BA">
        <w:t xml:space="preserve">с последующим </w:t>
      </w:r>
      <w:r>
        <w:t>переходом к информационному об</w:t>
      </w:r>
      <w:r w:rsidRPr="00B657BA">
        <w:t>мену в закрытом режиме работы.</w:t>
      </w:r>
    </w:p>
    <w:p w:rsidR="001F0B3C" w:rsidRDefault="001F0B3C" w:rsidP="00B657BA">
      <w:r w:rsidRPr="001F0B3C">
        <w:t>Шифрование передаваемых сообщений в этом случае производится только конечными абонентами. Зашифрованный пакет информационного обмена абонентов инкапсулируется в пакет по стандарту, принятому в используемой сети связи</w:t>
      </w:r>
    </w:p>
    <w:p w:rsidR="001F0B3C" w:rsidRDefault="001F0B3C" w:rsidP="001F0B3C">
      <w:r>
        <w:t>В данном случ</w:t>
      </w:r>
      <w:r>
        <w:t>ае пакет будет состоять из слу</w:t>
      </w:r>
      <w:r>
        <w:t>жебной части и области данных (рис. 1).</w:t>
      </w:r>
      <w:r>
        <w:t xml:space="preserve"> В служ</w:t>
      </w:r>
      <w:r>
        <w:t>ебной части передаются номер пакета (</w:t>
      </w:r>
      <w:r w:rsidRPr="00375693">
        <w:rPr>
          <w:i/>
        </w:rPr>
        <w:t>n</w:t>
      </w:r>
      <w:r>
        <w:t xml:space="preserve">), адреса абонентов (идентификаторы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), другая служебная информация (например, флаги). В области данных </w:t>
      </w:r>
      <w:r>
        <w:t>передаётся зашифрованный пакет ин</w:t>
      </w:r>
      <w:r>
        <w:t>формационного обмена абонентов. В случае,</w:t>
      </w:r>
      <w:r>
        <w:t xml:space="preserve"> </w:t>
      </w:r>
      <w:r>
        <w:t>если длина зашифрованного пакета превышает размер области данных пакета используемой сети связи, последний может быть разбит на несколько частей в соответствии с принятыми стандартами.</w:t>
      </w:r>
    </w:p>
    <w:p w:rsidR="001F0107" w:rsidRDefault="001F0107" w:rsidP="001F0B3C">
      <w:r w:rsidRPr="001F0107">
        <w:drawing>
          <wp:inline distT="0" distB="0" distL="0" distR="0" wp14:anchorId="4B53787A" wp14:editId="61C8DA78">
            <wp:extent cx="3801005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3C" w:rsidRDefault="001F0B3C" w:rsidP="001F0B3C">
      <w:r>
        <w:t>Для построения асимметричных криптоалгоритмов предпочтительнее использовать математические конструкции на эллиптических кривых, как обладающие наибольшей стойкостью и скоростью криптографических преобразований по сравнению с другими типами асимметричных ал</w:t>
      </w:r>
      <w:r w:rsidR="002C68BE">
        <w:t>горитмов защиты информации</w:t>
      </w:r>
      <w:r>
        <w:t>.</w:t>
      </w:r>
    </w:p>
    <w:p w:rsidR="001F0B3C" w:rsidRDefault="001F0B3C" w:rsidP="001F0B3C">
      <w:r w:rsidRPr="001F0B3C">
        <w:t xml:space="preserve">Рассмотрим математические основы использования эллиптических кривых в криптографических целях. Рассмотрим эллиптическую группу по модулю </w:t>
      </w:r>
      <w:r w:rsidRPr="0071402E">
        <w:rPr>
          <w:i/>
        </w:rPr>
        <w:t>p</w:t>
      </w:r>
      <w:r w:rsidRPr="001F0B3C">
        <w:t xml:space="preserve">, где </w:t>
      </w:r>
      <w:r w:rsidRPr="0071402E">
        <w:rPr>
          <w:i/>
        </w:rPr>
        <w:t>p</w:t>
      </w:r>
      <w:r w:rsidRPr="001F0B3C">
        <w:t xml:space="preserve"> является простым числом. Выберем два неотрицательных целых числа </w:t>
      </w:r>
      <w:r w:rsidRPr="0071402E">
        <w:rPr>
          <w:i/>
        </w:rPr>
        <w:t>a</w:t>
      </w:r>
      <w:r w:rsidRPr="001F0B3C">
        <w:t xml:space="preserve"> и </w:t>
      </w:r>
      <w:r w:rsidRPr="0071402E">
        <w:rPr>
          <w:i/>
        </w:rPr>
        <w:t>b</w:t>
      </w:r>
      <w:r w:rsidRPr="001F0B3C">
        <w:t xml:space="preserve">, меньшие </w:t>
      </w:r>
      <w:r w:rsidRPr="0071402E">
        <w:rPr>
          <w:i/>
        </w:rPr>
        <w:t>p</w:t>
      </w:r>
      <w:r w:rsidRPr="001F0B3C">
        <w:t xml:space="preserve"> и удовлетворяющие условию</w:t>
      </w:r>
    </w:p>
    <w:p w:rsidR="0071402E" w:rsidRDefault="0071402E" w:rsidP="001F0B3C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(mod p)≠0</m:t>
          </m:r>
        </m:oMath>
      </m:oMathPara>
    </w:p>
    <w:p w:rsidR="0071402E" w:rsidRDefault="0071402E" w:rsidP="001F0B3C">
      <w:r>
        <w:t>Эллиптическ</w:t>
      </w:r>
      <w:r>
        <w:t>ую кривую (ЭК) над конечным по</w:t>
      </w:r>
      <w:r>
        <w:t xml:space="preserve">лем Галуа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можно представить в виде</w:t>
      </w:r>
    </w:p>
    <w:p w:rsidR="0071402E" w:rsidRPr="005407E0" w:rsidRDefault="005407E0" w:rsidP="001F0B3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+ax+b </m:t>
          </m:r>
          <m:r>
            <w:rPr>
              <w:rFonts w:ascii="Cambria Math" w:hAnsi="Cambria Math"/>
            </w:rPr>
            <m:t>(mod p</m:t>
          </m:r>
          <m:r>
            <w:rPr>
              <w:rFonts w:ascii="Cambria Math" w:hAnsi="Cambria Math"/>
            </w:rPr>
            <m:t>)</m:t>
          </m:r>
        </m:oMath>
      </m:oMathPara>
    </w:p>
    <w:p w:rsidR="0071402E" w:rsidRDefault="0071402E" w:rsidP="001F0B3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</w:rPr>
          <m:t>(a, b)</m:t>
        </m:r>
      </m:oMath>
      <w:r>
        <w:t xml:space="preserve"> – эллиптическая группа по модулю </w:t>
      </w:r>
      <w:r w:rsidRPr="00403C18">
        <w:rPr>
          <w:i/>
        </w:rPr>
        <w:t>p</w:t>
      </w:r>
      <w:r>
        <w:t>, элементами ко</w:t>
      </w:r>
      <w:r>
        <w:t xml:space="preserve">торой </w:t>
      </w:r>
      <m:oMath>
        <m:r>
          <w:rPr>
            <w:rFonts w:ascii="Cambria Math" w:hAnsi="Cambria Math"/>
          </w:rPr>
          <m:t xml:space="preserve">(x, y) </m:t>
        </m:r>
      </m:oMath>
      <w:r w:rsidR="00403C18">
        <w:t>являются пары неотрицательных</w:t>
      </w:r>
      <w:r>
        <w:t xml:space="preserve"> </w:t>
      </w:r>
      <w:r>
        <w:t xml:space="preserve">чисел, меньших </w:t>
      </w:r>
      <w:r w:rsidRPr="005407E0">
        <w:rPr>
          <w:i/>
        </w:rPr>
        <w:t>p</w:t>
      </w:r>
      <w:r>
        <w:t xml:space="preserve"> и удовлетворя</w:t>
      </w:r>
      <w:r>
        <w:t>ющих уравнению</w:t>
      </w:r>
      <w:r>
        <w:t xml:space="preserve"> кривой, а также точка в беско</w:t>
      </w:r>
      <w:r>
        <w:t xml:space="preserve">нечности </w:t>
      </w:r>
      <w:r w:rsidRPr="005407E0">
        <w:rPr>
          <w:i/>
        </w:rPr>
        <w:t>O</w:t>
      </w:r>
      <w:r>
        <w:t>.</w:t>
      </w:r>
    </w:p>
    <w:p w:rsidR="0071402E" w:rsidRDefault="0071402E" w:rsidP="001F0B3C">
      <w:r>
        <w:t>Операция о</w:t>
      </w:r>
      <w:r>
        <w:t>бращения точки для кривой запи</w:t>
      </w:r>
      <w:r>
        <w:t xml:space="preserve">сывается следующим образом: </w:t>
      </w:r>
      <m:oMath>
        <m:r>
          <w:rPr>
            <w:rFonts w:ascii="Cambria Math" w:hAnsi="Cambria Math"/>
          </w:rPr>
          <m:t>–(x, y) = (x, –y).</m:t>
        </m:r>
      </m:oMath>
      <w:r>
        <w:t xml:space="preserve"> Групповой закон сложения точек</w:t>
      </w:r>
      <w:r w:rsidR="005407E0" w:rsidRPr="005407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rPr>
          <w:rFonts w:ascii="Calibri" w:hAnsi="Calibri" w:cs="Calibri"/>
        </w:rPr>
        <w:t>имеет</w:t>
      </w:r>
      <w:r>
        <w:t xml:space="preserve"> вид</w:t>
      </w:r>
      <w:r w:rsidR="005407E0" w:rsidRPr="005407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t xml:space="preserve"> </w:t>
      </w:r>
      <w:r>
        <w:rPr>
          <w:rFonts w:ascii="Calibri" w:hAnsi="Calibri" w:cs="Calibri"/>
        </w:rPr>
        <w:t>гд</w:t>
      </w:r>
      <w:r>
        <w:t>е</w:t>
      </w:r>
    </w:p>
    <w:p w:rsidR="005407E0" w:rsidRPr="005407E0" w:rsidRDefault="005407E0" w:rsidP="001F0B3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407E0" w:rsidRPr="005407E0" w:rsidRDefault="005407E0" w:rsidP="001F0B3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1402E" w:rsidRDefault="0071402E" w:rsidP="001F0B3C"/>
    <w:p w:rsidR="0071402E" w:rsidRDefault="0071402E" w:rsidP="001F0B3C"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B86BA5">
        <w:t xml:space="preserve"> </w:t>
      </w:r>
      <w:r>
        <w:t xml:space="preserve"> получаем</w:t>
      </w:r>
      <w:r w:rsidR="00B86BA5" w:rsidRPr="00B86B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:</m:t>
        </m:r>
      </m:oMath>
      <w:r w:rsidR="00B86BA5">
        <w:t xml:space="preserve">  </w:t>
      </w:r>
      <w:r>
        <w:t xml:space="preserve"> </w:t>
      </w:r>
    </w:p>
    <w:p w:rsidR="00B86BA5" w:rsidRPr="00B86BA5" w:rsidRDefault="00B86BA5" w:rsidP="00B86BA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1402E" w:rsidRPr="00B86BA5" w:rsidRDefault="00B86BA5" w:rsidP="001F0B3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1402E" w:rsidRDefault="0071402E" w:rsidP="001F0B3C">
      <w:r>
        <w:t>Непосредственно из формул видно, что точка в бесконечности получается при удвоении точки</w:t>
      </w:r>
      <w:r w:rsidR="00403C1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03C18">
        <w:t xml:space="preserve"> </w:t>
      </w:r>
      <w:r>
        <w:t xml:space="preserve"> с нулевой координатой </w:t>
      </w:r>
      <w:r w:rsidR="00403C18">
        <w:rPr>
          <w:i/>
          <w:lang w:val="en-US"/>
        </w:rPr>
        <w:t>y</w:t>
      </w:r>
      <w:r>
        <w:t xml:space="preserve"> либо при сложении двух различных то</w:t>
      </w:r>
      <w:r>
        <w:t xml:space="preserve">чек с одинаковой координатой </w:t>
      </w:r>
      <w:r w:rsidRPr="00403C18">
        <w:rPr>
          <w:i/>
        </w:rPr>
        <w:t>x</w:t>
      </w:r>
      <w:r>
        <w:t>.</w:t>
      </w:r>
    </w:p>
    <w:p w:rsidR="0071402E" w:rsidRDefault="0071402E" w:rsidP="001F0B3C">
      <w:r>
        <w:t>Чтобы построить криптографическую систему, используя ЭК, нужно найти «вычислительную проблему», кот</w:t>
      </w:r>
      <w:r>
        <w:t>орую можно использовать в каче</w:t>
      </w:r>
      <w:r>
        <w:t>стве од</w:t>
      </w:r>
      <w:r>
        <w:t>носторонней функции с секретом.</w:t>
      </w:r>
    </w:p>
    <w:p w:rsidR="0071402E" w:rsidRDefault="0071402E" w:rsidP="001F0B3C">
      <w:r>
        <w:t xml:space="preserve">Пусть </w:t>
      </w:r>
      <w:r w:rsidRPr="00D232A7">
        <w:rPr>
          <w:i/>
        </w:rPr>
        <w:t>p</w:t>
      </w:r>
      <w:r>
        <w:t xml:space="preserve"> – простое число, а </w:t>
      </w:r>
      <w:r w:rsidRPr="00D232A7">
        <w:rPr>
          <w:i/>
        </w:rPr>
        <w:t>G</w:t>
      </w:r>
      <w:r>
        <w:t xml:space="preserve"> – примитивный элемент или генератор аддитивной циклической подгруппы группы точек ЭК; </w:t>
      </w:r>
      <w:r w:rsidRPr="00D232A7">
        <w:rPr>
          <w:i/>
        </w:rPr>
        <w:t>P</w:t>
      </w:r>
      <w:r>
        <w:t xml:space="preserve"> – произвольная точка, принадл</w:t>
      </w:r>
      <w:r>
        <w:t>ежащая данной кривой. Тогда лю</w:t>
      </w:r>
      <w:r>
        <w:t xml:space="preserve">бую точку </w:t>
      </w:r>
      <w:r w:rsidRPr="00D232A7">
        <w:rPr>
          <w:i/>
        </w:rPr>
        <w:t>P</w:t>
      </w:r>
      <w:r>
        <w:t xml:space="preserve"> кривой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E(</m:t>
        </m:r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>
        <w:t xml:space="preserve"> можно представить как кратную генератору подгруппы в виде</w:t>
      </w:r>
    </w:p>
    <w:p w:rsidR="0071402E" w:rsidRDefault="00375693" w:rsidP="001F0B3C">
      <m:oMathPara>
        <m:oMath>
          <m:r>
            <w:rPr>
              <w:rFonts w:ascii="Cambria Math" w:hAnsi="Cambria Math"/>
              <w:lang w:val="en-US"/>
            </w:rPr>
            <m:t>P=n×G=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groupChr>
              <m:r>
                <w:rPr>
                  <w:rFonts w:ascii="Cambria Math" w:hAnsi="Cambria Math"/>
                  <w:lang w:val="en-US"/>
                </w:rPr>
                <m:t>,</m:t>
              </m:r>
            </m:e>
            <m:lim>
              <m:r>
                <w:rPr>
                  <w:rFonts w:ascii="Cambria Math" w:hAnsi="Cambria Math"/>
                </w:rPr>
                <m:t>n раз</m:t>
              </m:r>
            </m:lim>
          </m:limLow>
        </m:oMath>
      </m:oMathPara>
    </w:p>
    <w:p w:rsidR="0071402E" w:rsidRDefault="0071402E" w:rsidP="001F0B3C">
      <w:r>
        <w:t xml:space="preserve">где </w:t>
      </w:r>
      <w:r w:rsidRPr="00D232A7">
        <w:rPr>
          <w:i/>
        </w:rPr>
        <w:t>n</w:t>
      </w:r>
      <w:r>
        <w:t xml:space="preserve"> – кратнос</w:t>
      </w:r>
      <w:r>
        <w:t>ть данной точки генератору подгруппы;</w:t>
      </w:r>
      <w:r>
        <w:t xml:space="preserve"> </w:t>
      </w:r>
      <w:r w:rsidR="00B86BA5">
        <w:t>«</w:t>
      </w:r>
      <m:oMath>
        <m:r>
          <w:rPr>
            <w:rFonts w:ascii="Cambria Math" w:hAnsi="Cambria Math"/>
          </w:rPr>
          <m:t>⊕</m:t>
        </m:r>
      </m:oMath>
      <w:r w:rsidR="00B86BA5">
        <w:t>»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знак</w:t>
      </w:r>
      <w:r>
        <w:t xml:space="preserve"> </w:t>
      </w:r>
      <w:r>
        <w:rPr>
          <w:rFonts w:ascii="Calibri" w:hAnsi="Calibri" w:cs="Calibri"/>
        </w:rPr>
        <w:t>групповой</w:t>
      </w:r>
      <w:r>
        <w:t xml:space="preserve"> </w:t>
      </w:r>
      <w:r>
        <w:rPr>
          <w:rFonts w:ascii="Calibri" w:hAnsi="Calibri" w:cs="Calibri"/>
        </w:rPr>
        <w:t>операции</w:t>
      </w:r>
      <w:r>
        <w:t xml:space="preserve"> в группе точек кривой.</w:t>
      </w:r>
    </w:p>
    <w:p w:rsidR="0071402E" w:rsidRDefault="0071402E" w:rsidP="001F0B3C">
      <w:r>
        <w:t>Групповой закон сложения точек аддитивной абелевой групп</w:t>
      </w:r>
      <w:r w:rsidR="00375693">
        <w:t>ы ЭК обладает следующим крипто</w:t>
      </w:r>
      <w:r>
        <w:t xml:space="preserve">графическим свойством: нахождение числа </w:t>
      </w:r>
      <w:r w:rsidRPr="00D232A7">
        <w:rPr>
          <w:i/>
        </w:rPr>
        <w:t>n</w:t>
      </w:r>
      <w:r>
        <w:t xml:space="preserve"> по двум заданным элементам группы </w:t>
      </w:r>
      <w:r w:rsidRPr="00D232A7">
        <w:rPr>
          <w:i/>
        </w:rPr>
        <w:t>P</w:t>
      </w:r>
      <w:r>
        <w:t xml:space="preserve"> и </w:t>
      </w:r>
      <w:r w:rsidRPr="00D232A7">
        <w:rPr>
          <w:i/>
        </w:rPr>
        <w:t>G</w:t>
      </w:r>
      <w:r w:rsidR="00D232A7">
        <w:t xml:space="preserve"> при </w:t>
      </w:r>
      <m:oMath>
        <m:r>
          <w:rPr>
            <w:rFonts w:ascii="Cambria Math" w:hAnsi="Cambria Math"/>
          </w:rPr>
          <m:t>n →∞</m:t>
        </m:r>
      </m:oMath>
      <w:r>
        <w:t xml:space="preserve"> является в</w:t>
      </w:r>
      <w:r w:rsidR="00D232A7">
        <w:t>ычислительно сложной задачей</w:t>
      </w:r>
      <w:r>
        <w:t xml:space="preserve">. Таким образом, групповой закон </w:t>
      </w:r>
      <w:r w:rsidR="00D232A7">
        <w:t>сложения</w:t>
      </w:r>
      <w:r>
        <w:t xml:space="preserve"> точек ЭК рассматрива</w:t>
      </w:r>
      <w:r w:rsidR="002C68BE">
        <w:t>ется в качестве функции крипто</w:t>
      </w:r>
      <w:r>
        <w:t>графического преобразования.</w:t>
      </w:r>
    </w:p>
    <w:sectPr w:rsidR="00714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18B"/>
    <w:multiLevelType w:val="hybridMultilevel"/>
    <w:tmpl w:val="EB386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00A5"/>
    <w:multiLevelType w:val="hybridMultilevel"/>
    <w:tmpl w:val="ED72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F61C9"/>
    <w:multiLevelType w:val="hybridMultilevel"/>
    <w:tmpl w:val="2438E34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0E7E4F"/>
    <w:multiLevelType w:val="hybridMultilevel"/>
    <w:tmpl w:val="004E2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16"/>
    <w:rsid w:val="00004383"/>
    <w:rsid w:val="001D3616"/>
    <w:rsid w:val="001F0107"/>
    <w:rsid w:val="001F0B3C"/>
    <w:rsid w:val="00293CCD"/>
    <w:rsid w:val="002C68BE"/>
    <w:rsid w:val="00375693"/>
    <w:rsid w:val="00403C18"/>
    <w:rsid w:val="0051614F"/>
    <w:rsid w:val="005407E0"/>
    <w:rsid w:val="0071402E"/>
    <w:rsid w:val="008F0E18"/>
    <w:rsid w:val="009B0EA3"/>
    <w:rsid w:val="009B1B9D"/>
    <w:rsid w:val="00A67473"/>
    <w:rsid w:val="00B657BA"/>
    <w:rsid w:val="00B86BA5"/>
    <w:rsid w:val="00C50981"/>
    <w:rsid w:val="00D232A7"/>
    <w:rsid w:val="00D4681A"/>
    <w:rsid w:val="00DA54CB"/>
    <w:rsid w:val="00DB539E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4F3C"/>
  <w15:chartTrackingRefBased/>
  <w15:docId w15:val="{BB4D8267-E460-4E15-9F5C-DC4CF71B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39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4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10</cp:revision>
  <dcterms:created xsi:type="dcterms:W3CDTF">2021-11-28T17:11:00Z</dcterms:created>
  <dcterms:modified xsi:type="dcterms:W3CDTF">2021-11-28T19:30:00Z</dcterms:modified>
</cp:coreProperties>
</file>