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A5C0C" w:rsidRDefault="00AA3A34">
      <w:pPr>
        <w:pStyle w:val="Title"/>
      </w:pPr>
      <w:r>
        <w:t xml:space="preserve">Who Carries the Cartel? </w:t>
      </w:r>
      <w:r w:rsidR="00BA6CED">
        <w:br/>
      </w:r>
      <w:r>
        <w:t>LLM Price Collusion Survives Agent Replacement Through the Inherited Price History</w:t>
      </w:r>
    </w:p>
    <w:p w:rsidR="003A5C0C" w:rsidRDefault="00AA3A34">
      <w:pPr>
        <w:pStyle w:val="AuthorBlock"/>
      </w:pPr>
      <w:r>
        <w:rPr>
          <w:b/>
          <w:bCs/>
        </w:rPr>
        <w:t>Supratik Bhowal</w:t>
      </w:r>
      <w:r>
        <w:br/>
        <w:t xml:space="preserve">Department of Computer Science (AIML), </w:t>
      </w:r>
      <w:r w:rsidR="00BA6CED">
        <w:br/>
      </w:r>
      <w:r>
        <w:t>IEM Kolkata, School of UEMK, Kolkata, India</w:t>
      </w:r>
      <w:r>
        <w:br/>
        <w:t>supratikbhowal23@gmail.com</w:t>
      </w:r>
    </w:p>
    <w:p w:rsidR="003A5C0C" w:rsidRDefault="00AA3A34">
      <w:pPr>
        <w:pStyle w:val="AuthorBlock"/>
      </w:pPr>
      <w:r>
        <w:rPr>
          <w:b/>
          <w:bCs/>
        </w:rPr>
        <w:t>With</w:t>
      </w:r>
      <w:r>
        <w:br/>
        <w:t>Apart Research</w:t>
      </w:r>
    </w:p>
    <w:p w:rsidR="003A5C0C" w:rsidRDefault="00AA3A34">
      <w:pPr>
        <w:pStyle w:val="AbstractHeading"/>
      </w:pPr>
      <w:r>
        <w:t>Abstract</w:t>
      </w:r>
    </w:p>
    <w:p w:rsidR="003A5C0C" w:rsidRDefault="00AA3A34">
      <w:pPr>
        <w:pStyle w:val="AbstractBody"/>
      </w:pPr>
      <w:r>
        <w:t>When a firm replaces its AI pricing agent, does tacit collusion between agents end? In a pre-registered experiment, two Qwen2.5-7B agents set prices for 100 rounds in a simulated two-firm market and often reach near-monopoly prices without any ins</w:t>
      </w:r>
      <w:r>
        <w:t>truction to collude. We copy each such market into eight exactly paired conditions that change only what sets the second firm’s price from round 100 on: the same or a different model, with or without the past price history, and with or without the pre</w:t>
      </w:r>
      <w:bookmarkStart w:id="0" w:name="_GoBack"/>
      <w:bookmarkEnd w:id="0"/>
      <w:r>
        <w:t>deces</w:t>
      </w:r>
      <w:r>
        <w:t xml:space="preserve">sor’s notes. Across six independent runs (16–31 markets each), a new instance of the same model that inherits the price history keeps the high prices: its profit index (0 = competitive, 1 = monopoly profit) differs from no replacement by −0.025 to +0.213. </w:t>
      </w:r>
      <w:r>
        <w:t>Without the history, the same model loses 0.47–0.67 of the index, but by pricing above the monopoly price, not by competing. With the history, a Mistral-7B entrant moves prices to the competitive level in four of four runs, while an OLMo-2-7B entrant keeps</w:t>
      </w:r>
      <w:r>
        <w:t xml:space="preserve"> them high in two of two runs, repeating its last price in 96% of rounds. A forced price-cut audit, calibrated against a myopic agent that cannot punish, finds almost no punishment: the surviving prices are anchored on the shared history, not enforced. Rep</w:t>
      </w:r>
      <w:r>
        <w:t>lacing a colluding agent is not a remedy if the transcript stays with the seat.</w:t>
      </w:r>
    </w:p>
    <w:p w:rsidR="003A5C0C" w:rsidRDefault="00AA3A34">
      <w:pPr>
        <w:pStyle w:val="Heading1"/>
      </w:pPr>
      <w:bookmarkStart w:id="1" w:name="introduction"/>
      <w:r>
        <w:t>1. Introduction</w:t>
      </w:r>
    </w:p>
    <w:p w:rsidR="003A5C0C" w:rsidRDefault="00AA3A34">
      <w:pPr>
        <w:pStyle w:val="FirstParagraph"/>
      </w:pPr>
      <w:r>
        <w:t>Large language model (LLM) agents that set prices in a repeated market reach supra-competitive prices without communication and without an instruction to collud</w:t>
      </w:r>
      <w:r>
        <w:t>e (Fish, Gonczarowski, and Shorrer 2024), as reinforcement learners do (Calvano et al. 2020). Competition law targets agreements between people, so tacit collusion between agents is hard to prosecute. A natural remedy, and an event that also happens whenev</w:t>
      </w:r>
      <w:r>
        <w:t xml:space="preserve">er a firm changes its software vendor or model version, is to </w:t>
      </w:r>
      <w:r>
        <w:rPr>
          <w:i/>
          <w:iCs/>
        </w:rPr>
        <w:t>replace</w:t>
      </w:r>
      <w:r>
        <w:t xml:space="preserve"> one of the agents. If the cartel is a property of the agent, a replacement ends it. If it is a property of the information that the new agent receives, a replacement does not.</w:t>
      </w:r>
    </w:p>
    <w:p w:rsidR="003A5C0C" w:rsidRDefault="00AA3A34">
      <w:pPr>
        <w:pStyle w:val="BodyText1"/>
      </w:pPr>
      <w:r>
        <w:t>A prompted</w:t>
      </w:r>
      <w:r>
        <w:t xml:space="preserve"> LLM agent has no state outside its prompt. Each round, it sees the market rules, a window of past prices (the </w:t>
      </w:r>
      <w:r>
        <w:rPr>
          <w:i/>
          <w:iCs/>
        </w:rPr>
        <w:t>price history</w:t>
      </w:r>
      <w:r>
        <w:t xml:space="preserve">) and the notes that it wrote to itself in the last round. An </w:t>
      </w:r>
      <w:r>
        <w:lastRenderedPageBreak/>
        <w:t xml:space="preserve">entrant with the same model, the same history and the same notes </w:t>
      </w:r>
      <w:r>
        <w:rPr>
          <w:i/>
          <w:iCs/>
        </w:rPr>
        <w:t>is</w:t>
      </w:r>
      <w:r>
        <w:t xml:space="preserve"> th</w:t>
      </w:r>
      <w:r>
        <w:t xml:space="preserve">e old agent. The question “does collusion survive a replacement?” therefore splits into three parts: is the cartel carried by the </w:t>
      </w:r>
      <w:r>
        <w:rPr>
          <w:i/>
          <w:iCs/>
        </w:rPr>
        <w:t>model</w:t>
      </w:r>
      <w:r>
        <w:t xml:space="preserve">, by the inherited </w:t>
      </w:r>
      <w:r>
        <w:rPr>
          <w:i/>
          <w:iCs/>
        </w:rPr>
        <w:t>price history</w:t>
      </w:r>
      <w:r>
        <w:t xml:space="preserve">, or by the inherited </w:t>
      </w:r>
      <w:r>
        <w:rPr>
          <w:i/>
          <w:iCs/>
        </w:rPr>
        <w:t>notes</w:t>
      </w:r>
      <w:r>
        <w:t>? The answer tells a regulator or a platform which item a reme</w:t>
      </w:r>
      <w:r>
        <w:t>dy must change. We answer it with exactly paired conditions (Table 1), with hypotheses fixed before the first main run, and we report every run (Table 2).</w:t>
      </w:r>
    </w:p>
    <w:p w:rsidR="003A5C0C" w:rsidRDefault="00AA3A34">
      <w:pPr>
        <w:pStyle w:val="BodyText1"/>
      </w:pPr>
      <w:r>
        <w:rPr>
          <w:b/>
          <w:bCs/>
        </w:rPr>
        <w:t>Our main contributions are:</w:t>
      </w:r>
    </w:p>
    <w:p w:rsidR="003A5C0C" w:rsidRDefault="00AA3A34">
      <w:pPr>
        <w:pStyle w:val="Compact"/>
        <w:numPr>
          <w:ilvl w:val="0"/>
          <w:numId w:val="7"/>
        </w:numPr>
      </w:pPr>
      <w:r>
        <w:rPr>
          <w:b/>
          <w:bCs/>
        </w:rPr>
        <w:t>The price history carries the cartel.</w:t>
      </w:r>
      <w:r>
        <w:t xml:space="preserve"> In six of six independent runs, a n</w:t>
      </w:r>
      <w:r>
        <w:t>ew instance of the same model that inherits the price history keeps the cartel; without the history it does not. No replacement notice is needed, and the predecessor’s notes alone keep part of the cartel.</w:t>
      </w:r>
    </w:p>
    <w:p w:rsidR="003A5C0C" w:rsidRDefault="00AA3A34">
      <w:pPr>
        <w:pStyle w:val="Compact"/>
        <w:numPr>
          <w:ilvl w:val="0"/>
          <w:numId w:val="7"/>
        </w:numPr>
      </w:pPr>
      <w:r>
        <w:rPr>
          <w:b/>
          <w:bCs/>
        </w:rPr>
        <w:t>Removing the history does not restore competition.</w:t>
      </w:r>
      <w:r>
        <w:t xml:space="preserve"> </w:t>
      </w:r>
      <w:r>
        <w:t xml:space="preserve">The entrant without a history lowers profits by pricing </w:t>
      </w:r>
      <w:r>
        <w:rPr>
          <w:i/>
          <w:iCs/>
        </w:rPr>
        <w:t>above</w:t>
      </w:r>
      <w:r>
        <w:t xml:space="preserve"> the monopoly price, which a profit-only monitor misreads.</w:t>
      </w:r>
    </w:p>
    <w:p w:rsidR="003A5C0C" w:rsidRDefault="00AA3A34">
      <w:pPr>
        <w:pStyle w:val="Compact"/>
        <w:numPr>
          <w:ilvl w:val="0"/>
          <w:numId w:val="7"/>
        </w:numPr>
      </w:pPr>
      <w:r>
        <w:rPr>
          <w:b/>
          <w:bCs/>
        </w:rPr>
        <w:t>The entrant’s pricing style decides the outcome.</w:t>
      </w:r>
      <w:r>
        <w:t xml:space="preserve"> With the history, a Mistral-7B entrant moves prices to the competitive level (four of f</w:t>
      </w:r>
      <w:r>
        <w:t>our runs); an OLMo-2-7B entrant repeats its last price in 96% of rounds and keeps the cartel (two of two runs).</w:t>
      </w:r>
    </w:p>
    <w:p w:rsidR="003A5C0C" w:rsidRDefault="00AA3A34">
      <w:pPr>
        <w:pStyle w:val="Compact"/>
        <w:numPr>
          <w:ilvl w:val="0"/>
          <w:numId w:val="7"/>
        </w:numPr>
      </w:pPr>
      <w:r>
        <w:rPr>
          <w:b/>
          <w:bCs/>
        </w:rPr>
        <w:t>A calibrated enforcement audit with exact pairing.</w:t>
      </w:r>
      <w:r>
        <w:t xml:space="preserve"> LLM agents follow a rival’s price cut even when they cannot punish, so an uncalibrated audit </w:t>
      </w:r>
      <w:r>
        <w:t>reports punishment that does not exist. After calibration against a myopic control, almost no audit cell shows punishment.</w:t>
      </w:r>
    </w:p>
    <w:p w:rsidR="003A5C0C" w:rsidRDefault="00AA3A34">
      <w:pPr>
        <w:pStyle w:val="Heading1"/>
      </w:pPr>
      <w:bookmarkStart w:id="2" w:name="related-work"/>
      <w:bookmarkEnd w:id="1"/>
      <w:r>
        <w:t>2. Related Work</w:t>
      </w:r>
    </w:p>
    <w:p w:rsidR="003A5C0C" w:rsidRDefault="00AA3A34">
      <w:pPr>
        <w:pStyle w:val="FirstParagraph"/>
      </w:pPr>
      <w:r>
        <w:t>Calvano et al. (2020) show that Q-learning agents in a repeated logit Bertrand oligopoly learn supra-competitive pric</w:t>
      </w:r>
      <w:r>
        <w:t>es sustained by finite punishments. Fish, Gonczarowski, and Shorrer (2024) move this market to LLM agents, which reach supra-competitive prices quickly, at a level that depends on the prompt wording. Both keep the same agents for the whole game; we use the</w:t>
      </w:r>
      <w:r>
        <w:t>ir market and replace one agent. Tran and Yu (2026) audit enforcement with paired forced deviations and find that prompted open models rarely punish; we use their audit and add a calibration step. Arslan, Kim, and Xiao (2026) show that keeping the same par</w:t>
      </w:r>
      <w:r>
        <w:t>tner raises learned prices. Gao et al. (2026) swap agents in cooperative LLM teams with a placebo swap and cleared notes, a design we transfer to collusion. Keppo et al. (2026) find that heterogeneity in patience, data access and algorithm weakens LLM coll</w:t>
      </w:r>
      <w:r>
        <w:t xml:space="preserve">usion, and Lee (2026) that collusion is a property of the model. </w:t>
      </w:r>
      <w:r>
        <w:rPr>
          <w:b/>
          <w:bCs/>
        </w:rPr>
        <w:t>Gap:</w:t>
      </w:r>
      <w:r>
        <w:t xml:space="preserve"> no prior study replaces an agent inside an established LLM cartel, or separates the model, the history and the notes as carriers of collusion.</w:t>
      </w:r>
    </w:p>
    <w:p w:rsidR="003A5C0C" w:rsidRDefault="00AA3A34">
      <w:pPr>
        <w:pStyle w:val="Heading1"/>
      </w:pPr>
      <w:bookmarkStart w:id="3" w:name="methods"/>
      <w:bookmarkEnd w:id="2"/>
      <w:r>
        <w:t>3. Methods</w:t>
      </w:r>
    </w:p>
    <w:p w:rsidR="003A5C0C" w:rsidRDefault="00AA3A34">
      <w:pPr>
        <w:pStyle w:val="Heading2"/>
      </w:pPr>
      <w:bookmarkStart w:id="4" w:name="market-and-agents"/>
      <w:r>
        <w:t>3.1 Market and agents</w:t>
      </w:r>
    </w:p>
    <w:p w:rsidR="003A5C0C" w:rsidRDefault="00AA3A34">
      <w:pPr>
        <w:pStyle w:val="FirstParagraph"/>
      </w:pPr>
      <w:r>
        <w:t xml:space="preserve">Two firms </w:t>
      </w:r>
      <w:r>
        <w:t xml:space="preserve">sell substitute products with logit demand. Firm </w:t>
      </w:r>
      <w:r>
        <w:rPr>
          <w:i/>
          <w:iCs/>
        </w:rPr>
        <w:t>i</w:t>
      </w:r>
      <w:r>
        <w:t xml:space="preserve"> sells </w:t>
      </w:r>
      <w:r>
        <w:rPr>
          <w:i/>
          <w:iCs/>
        </w:rPr>
        <w:t>q</w:t>
      </w:r>
      <w:r>
        <w:rPr>
          <w:i/>
          <w:iCs/>
          <w:vertAlign w:val="subscript"/>
        </w:rPr>
        <w:t>i</w:t>
      </w:r>
      <w:r>
        <w:t xml:space="preserve"> = exp((</w:t>
      </w:r>
      <w:r>
        <w:rPr>
          <w:i/>
          <w:iCs/>
        </w:rPr>
        <w:t>a</w:t>
      </w:r>
      <w:r>
        <w:t xml:space="preserve"> − </w:t>
      </w:r>
      <w:r>
        <w:rPr>
          <w:i/>
          <w:iCs/>
        </w:rPr>
        <w:t>p</w:t>
      </w:r>
      <w:r>
        <w:rPr>
          <w:i/>
          <w:iCs/>
          <w:vertAlign w:val="subscript"/>
        </w:rPr>
        <w:t>i</w:t>
      </w:r>
      <w:r>
        <w:t>)/</w:t>
      </w:r>
      <w:r>
        <w:rPr>
          <w:i/>
          <w:iCs/>
        </w:rPr>
        <w:t>μ</w:t>
      </w:r>
      <w:r>
        <w:t>) / [Σ</w:t>
      </w:r>
      <w:r>
        <w:rPr>
          <w:i/>
          <w:iCs/>
          <w:vertAlign w:val="subscript"/>
        </w:rPr>
        <w:t>j</w:t>
      </w:r>
      <w:r>
        <w:t xml:space="preserve"> exp((</w:t>
      </w:r>
      <w:r>
        <w:rPr>
          <w:i/>
          <w:iCs/>
        </w:rPr>
        <w:t>a</w:t>
      </w:r>
      <w:r>
        <w:t xml:space="preserve"> − </w:t>
      </w:r>
      <w:r>
        <w:rPr>
          <w:i/>
          <w:iCs/>
        </w:rPr>
        <w:t>p</w:t>
      </w:r>
      <w:r>
        <w:rPr>
          <w:i/>
          <w:iCs/>
          <w:vertAlign w:val="subscript"/>
        </w:rPr>
        <w:t>j</w:t>
      </w:r>
      <w:r>
        <w:t>)/</w:t>
      </w:r>
      <w:r>
        <w:rPr>
          <w:i/>
          <w:iCs/>
        </w:rPr>
        <w:t>μ</w:t>
      </w:r>
      <w:r>
        <w:t>) + exp(</w:t>
      </w:r>
      <w:r>
        <w:rPr>
          <w:i/>
          <w:iCs/>
        </w:rPr>
        <w:t>a</w:t>
      </w:r>
      <w:r>
        <w:rPr>
          <w:vertAlign w:val="subscript"/>
        </w:rPr>
        <w:t>0</w:t>
      </w:r>
      <w:r>
        <w:t>/</w:t>
      </w:r>
      <w:r>
        <w:rPr>
          <w:i/>
          <w:iCs/>
        </w:rPr>
        <w:t>μ</w:t>
      </w:r>
      <w:r>
        <w:t xml:space="preserve">)] at price </w:t>
      </w:r>
      <w:r>
        <w:rPr>
          <w:i/>
          <w:iCs/>
        </w:rPr>
        <w:t>p</w:t>
      </w:r>
      <w:r>
        <w:rPr>
          <w:i/>
          <w:iCs/>
          <w:vertAlign w:val="subscript"/>
        </w:rPr>
        <w:t>i</w:t>
      </w:r>
      <w:r>
        <w:t xml:space="preserve"> and earns </w:t>
      </w:r>
      <w:r>
        <w:rPr>
          <w:i/>
          <w:iCs/>
        </w:rPr>
        <w:t>π</w:t>
      </w:r>
      <w:r>
        <w:rPr>
          <w:i/>
          <w:iCs/>
          <w:vertAlign w:val="subscript"/>
        </w:rPr>
        <w:t>i</w:t>
      </w:r>
      <w:r>
        <w:t xml:space="preserve"> = (</w:t>
      </w:r>
      <w:r>
        <w:rPr>
          <w:i/>
          <w:iCs/>
        </w:rPr>
        <w:t>p</w:t>
      </w:r>
      <w:r>
        <w:rPr>
          <w:i/>
          <w:iCs/>
          <w:vertAlign w:val="subscript"/>
        </w:rPr>
        <w:t>i</w:t>
      </w:r>
      <w:r>
        <w:t xml:space="preserve"> − </w:t>
      </w:r>
      <w:r>
        <w:rPr>
          <w:i/>
          <w:iCs/>
        </w:rPr>
        <w:t>c</w:t>
      </w:r>
      <w:r>
        <w:t xml:space="preserve">) </w:t>
      </w:r>
      <w:r>
        <w:rPr>
          <w:i/>
          <w:iCs/>
        </w:rPr>
        <w:t>q</w:t>
      </w:r>
      <w:r>
        <w:rPr>
          <w:i/>
          <w:iCs/>
          <w:vertAlign w:val="subscript"/>
        </w:rPr>
        <w:t>i</w:t>
      </w:r>
      <w:r>
        <w:t xml:space="preserve">, 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(Calvano et al. 2020). The competitive (Nash) price is</w:t>
      </w:r>
      <w:r>
        <w:t xml:space="preserve"> </w:t>
      </w:r>
      <w:r>
        <w:rPr>
          <w:i/>
          <w:iCs/>
        </w:rPr>
        <w:t>p</w:t>
      </w:r>
      <w:r>
        <w:rPr>
          <w:vertAlign w:val="superscript"/>
        </w:rPr>
        <w:t>N</w:t>
      </w:r>
      <w:r>
        <w:t xml:space="preserve"> = 1.473 and the joint-monopoly price is </w:t>
      </w:r>
      <w:r>
        <w:rPr>
          <w:i/>
          <w:iCs/>
        </w:rPr>
        <w:t>p</w:t>
      </w:r>
      <w:r>
        <w:rPr>
          <w:vertAlign w:val="superscript"/>
        </w:rPr>
        <w:t>M</w:t>
      </w:r>
      <w:r>
        <w:t xml:space="preserve"> = 1.925. The pre-registered primary outcome is the </w:t>
      </w:r>
      <w:r>
        <w:rPr>
          <w:i/>
          <w:iCs/>
        </w:rPr>
        <w:t>profit index</w:t>
      </w:r>
      <w:r>
        <w:t xml:space="preserve"> Δ = (π̄ − π</w:t>
      </w:r>
      <w:r>
        <w:rPr>
          <w:vertAlign w:val="superscript"/>
        </w:rPr>
        <w:t>N</w:t>
      </w:r>
      <w:r>
        <w:t>)/(π</w:t>
      </w:r>
      <w:r>
        <w:rPr>
          <w:vertAlign w:val="superscript"/>
        </w:rPr>
        <w:t>M</w:t>
      </w:r>
      <w:r>
        <w:t xml:space="preserve"> − π</w:t>
      </w:r>
      <w:r>
        <w:rPr>
          <w:vertAlign w:val="superscript"/>
        </w:rPr>
        <w:t>N</w:t>
      </w:r>
      <w:r>
        <w:t xml:space="preserve">); the secondary outcome is the </w:t>
      </w:r>
      <w:r>
        <w:rPr>
          <w:i/>
          <w:iCs/>
        </w:rPr>
        <w:t>price index</w:t>
      </w:r>
      <w:r>
        <w:t xml:space="preserve"> P = (p̄ − p</w:t>
      </w:r>
      <w:r>
        <w:rPr>
          <w:vertAlign w:val="superscript"/>
        </w:rPr>
        <w:t>N</w:t>
      </w:r>
      <w:r>
        <w:t>)/(p</w:t>
      </w:r>
      <w:r>
        <w:rPr>
          <w:vertAlign w:val="superscript"/>
        </w:rPr>
        <w:t>M</w:t>
      </w:r>
      <w:r>
        <w:t xml:space="preserve"> − p</w:t>
      </w:r>
      <w:r>
        <w:rPr>
          <w:vertAlign w:val="superscript"/>
        </w:rPr>
        <w:t>N</w:t>
      </w:r>
      <w:r>
        <w:t xml:space="preserve">), both </w:t>
      </w:r>
      <w:r>
        <w:lastRenderedPageBreak/>
        <w:t>averaged over the two firms. Both are 0 at the co</w:t>
      </w:r>
      <w:r>
        <w:t xml:space="preserve">mpetitive level and 1 at the monopoly level. They disagree when prices rise above </w:t>
      </w:r>
      <w:r>
        <w:rPr>
          <w:i/>
          <w:iCs/>
        </w:rPr>
        <w:t>p</w:t>
      </w:r>
      <w:r>
        <w:rPr>
          <w:vertAlign w:val="superscript"/>
        </w:rPr>
        <w:t>M</w:t>
      </w:r>
      <w:r>
        <w:t>: then P &gt; 1, but demand falls and Δ drops below 1, possibly below 0. We therefore report both.</w:t>
      </w:r>
    </w:p>
    <w:p w:rsidR="003A5C0C" w:rsidRDefault="00AA3A34">
      <w:pPr>
        <w:pStyle w:val="BodyText1"/>
      </w:pPr>
      <w:r>
        <w:t>Each firm is a prompted LLM agent served with vLLM 0.8.5 (temperature 0.7, a</w:t>
      </w:r>
      <w:r>
        <w:t>t most 160 output tokens). Each round, the agent sees the market rules in plain words, the goal “maximize your firm’s total profit over all periods”, its last 30 rounds of prices, quantities and profits, and its notes from the last round. It replies with J</w:t>
      </w:r>
      <w:r>
        <w:t>SON that holds new notes and a price (Appendix F). The prompt never mentions competition, collusion or punishment. In the analysed runs, the incumbents are Qwen2.5-7B-Instruct; the other families are Mistral-7B-Instruct-v0.3 and OLMo-2-1124-7B-Instruct, al</w:t>
      </w:r>
      <w:r>
        <w:t>l open-weight models with seeded sampling on our own GPUs.</w:t>
      </w:r>
    </w:p>
    <w:p w:rsidR="003A5C0C" w:rsidRDefault="00AA3A34">
      <w:pPr>
        <w:pStyle w:val="Heading2"/>
      </w:pPr>
      <w:bookmarkStart w:id="5" w:name="experimental-design"/>
      <w:bookmarkEnd w:id="4"/>
      <w:r>
        <w:t>3.2 Experimental design</w:t>
      </w:r>
    </w:p>
    <w:p w:rsidR="003A5C0C" w:rsidRDefault="00AA3A34">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w:t>
      </w:r>
      <w:r>
        <w:t xml:space="preserve">r rounds 50–99 is above 0.3 (inclusion rule). In phase 2, each included session is copied into the eight conditions of Table 1 and plays rounds 100–199. Firm 1 always keeps its incumbent; the conditions change what sets firm 2’s price, the </w:t>
      </w:r>
      <w:r>
        <w:rPr>
          <w:i/>
          <w:iCs/>
        </w:rPr>
        <w:t>entrant</w:t>
      </w:r>
      <w:r>
        <w:t>. In ever</w:t>
      </w:r>
      <w:r>
        <w:t xml:space="preserve">y condition except </w:t>
      </w:r>
      <w:r>
        <w:rPr>
          <w:i/>
          <w:iCs/>
        </w:rPr>
        <w:t>Control</w:t>
      </w:r>
      <w:r>
        <w:t xml:space="preserve">, the incumbent sees the notice “From period 100 on, the other firm uses a new pricing system” (not in run 8). </w:t>
      </w:r>
      <w:r>
        <w:rPr>
          <w:i/>
          <w:iCs/>
        </w:rPr>
        <w:t>Placebo</w:t>
      </w:r>
      <w:r>
        <w:t xml:space="preserve"> tests the notice alone; the </w:t>
      </w:r>
      <w:r>
        <w:rPr>
          <w:i/>
          <w:iCs/>
        </w:rPr>
        <w:t>Best-response bot</w:t>
      </w:r>
      <w:r>
        <w:t>, which maximizes only its current profit, is the negative control</w:t>
      </w:r>
      <w:r>
        <w:t xml:space="preserve"> and must move prices to the competitive level. The outcome window is rounds 150–199, and the session is the unit of analysis: every comparison is a difference between two conditions of the same session.</w:t>
      </w:r>
    </w:p>
    <w:p w:rsidR="003A5C0C" w:rsidRDefault="00AA3A34">
      <w:pPr>
        <w:pStyle w:val="TableCaption"/>
      </w:pPr>
      <w:r>
        <w:rPr>
          <w:b/>
          <w:bCs/>
        </w:rPr>
        <w:t>Table 1.</w:t>
      </w:r>
      <w:r>
        <w:t xml:space="preserve"> The eight phase-2 conditions, each applied </w:t>
      </w:r>
      <w:r>
        <w:t>to a copy of the same phase-1 session. “History seen” is the part of the past price history that the entrant sees in round 100. The code name links each condition to the repository.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is the part of the past price history that the entrant sees in round 100. The code name links each condition to the repository."/>
      </w:tblPr>
      <w:tblGrid>
        <w:gridCol w:w="1546"/>
        <w:gridCol w:w="3186"/>
        <w:gridCol w:w="1578"/>
        <w:gridCol w:w="1429"/>
        <w:gridCol w:w="1621"/>
      </w:tblGrid>
      <w:tr w:rsidR="003A5C0C">
        <w:trPr>
          <w:cantSplit/>
          <w:tblHeader/>
          <w:jc w:val="center"/>
        </w:trPr>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Code name</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Control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all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kept</w:t>
            </w:r>
          </w:p>
        </w:tc>
        <w:tc>
          <w:tcPr>
            <w:tcW w:w="0" w:type="auto"/>
            <w:tcBorders>
              <w:top w:val="nil"/>
              <w:left w:val="nil"/>
              <w:bottom w:val="nil"/>
              <w:right w:val="nil"/>
            </w:tcBorders>
          </w:tcPr>
          <w:p w:rsidR="003A5C0C" w:rsidRDefault="00AA3A34">
            <w:pPr>
              <w:pStyle w:val="Compact"/>
              <w:keepNext/>
              <w:spacing w:before="20" w:after="20" w:line="240" w:lineRule="auto"/>
            </w:pPr>
            <w:r>
              <w:rPr>
                <w:rStyle w:val="VerbatimChar"/>
                <w:sz w:val="16"/>
              </w:rPr>
              <w:t>control</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Placebo</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all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kept</w:t>
            </w:r>
          </w:p>
        </w:tc>
        <w:tc>
          <w:tcPr>
            <w:tcW w:w="0" w:type="auto"/>
            <w:tcBorders>
              <w:top w:val="nil"/>
              <w:left w:val="nil"/>
              <w:bottom w:val="nil"/>
              <w:right w:val="nil"/>
            </w:tcBorders>
          </w:tcPr>
          <w:p w:rsidR="003A5C0C" w:rsidRDefault="00AA3A34">
            <w:pPr>
              <w:pStyle w:val="Compact"/>
              <w:keepNext/>
              <w:spacing w:before="20" w:after="20" w:line="240" w:lineRule="auto"/>
            </w:pPr>
            <w:r>
              <w:rPr>
                <w:rStyle w:val="VerbatimChar"/>
                <w:sz w:val="16"/>
              </w:rPr>
              <w:t>placebo</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 history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last 30 rounds</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cleared</w:t>
            </w:r>
          </w:p>
        </w:tc>
        <w:tc>
          <w:tcPr>
            <w:tcW w:w="0" w:type="auto"/>
            <w:tcBorders>
              <w:top w:val="nil"/>
              <w:left w:val="nil"/>
              <w:bottom w:val="nil"/>
              <w:right w:val="nil"/>
            </w:tcBorders>
          </w:tcPr>
          <w:p w:rsidR="003A5C0C" w:rsidRDefault="00AA3A34">
            <w:pPr>
              <w:pStyle w:val="Compact"/>
              <w:keepNext/>
              <w:spacing w:before="20" w:after="20" w:line="240" w:lineRule="auto"/>
            </w:pPr>
            <w:r>
              <w:rPr>
                <w:rStyle w:val="VerbatimChar"/>
                <w:sz w:val="16"/>
              </w:rPr>
              <w:t>same_inherit</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none</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cleared</w:t>
            </w:r>
          </w:p>
        </w:tc>
        <w:tc>
          <w:tcPr>
            <w:tcW w:w="0" w:type="auto"/>
            <w:tcBorders>
              <w:top w:val="nil"/>
              <w:left w:val="nil"/>
              <w:bottom w:val="nil"/>
              <w:right w:val="nil"/>
            </w:tcBorders>
          </w:tcPr>
          <w:p w:rsidR="003A5C0C" w:rsidRDefault="00AA3A34">
            <w:pPr>
              <w:pStyle w:val="Compact"/>
              <w:keepNext/>
              <w:spacing w:before="20" w:after="20" w:line="240" w:lineRule="auto"/>
            </w:pPr>
            <w:r>
              <w:rPr>
                <w:rStyle w:val="VerbatimChar"/>
                <w:sz w:val="16"/>
              </w:rPr>
              <w:t>same_blank</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none</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predecessor’s</w:t>
            </w:r>
          </w:p>
        </w:tc>
        <w:tc>
          <w:tcPr>
            <w:tcW w:w="0" w:type="auto"/>
            <w:tcBorders>
              <w:top w:val="nil"/>
              <w:left w:val="nil"/>
              <w:bottom w:val="nil"/>
              <w:right w:val="nil"/>
            </w:tcBorders>
          </w:tcPr>
          <w:p w:rsidR="003A5C0C" w:rsidRDefault="00AA3A34">
            <w:pPr>
              <w:pStyle w:val="Compact"/>
              <w:keepNext/>
              <w:spacing w:before="20" w:after="20" w:line="240" w:lineRule="auto"/>
            </w:pPr>
            <w:r>
              <w:rPr>
                <w:rStyle w:val="VerbatimChar"/>
                <w:sz w:val="16"/>
              </w:rPr>
              <w:t>same_notes</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Other + history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other model family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last 30 rounds</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cleared</w:t>
            </w:r>
          </w:p>
        </w:tc>
        <w:tc>
          <w:tcPr>
            <w:tcW w:w="0" w:type="auto"/>
            <w:tcBorders>
              <w:top w:val="nil"/>
              <w:left w:val="nil"/>
              <w:bottom w:val="nil"/>
              <w:right w:val="nil"/>
            </w:tcBorders>
          </w:tcPr>
          <w:p w:rsidR="003A5C0C" w:rsidRDefault="00AA3A34">
            <w:pPr>
              <w:pStyle w:val="Compact"/>
              <w:keepNext/>
              <w:spacing w:before="20" w:after="20" w:line="240" w:lineRule="auto"/>
            </w:pPr>
            <w:r>
              <w:rPr>
                <w:rStyle w:val="VerbatimChar"/>
                <w:sz w:val="16"/>
              </w:rPr>
              <w:t>other_inherit</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other model family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none</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cleared</w:t>
            </w:r>
          </w:p>
        </w:tc>
        <w:tc>
          <w:tcPr>
            <w:tcW w:w="0" w:type="auto"/>
            <w:tcBorders>
              <w:top w:val="nil"/>
              <w:left w:val="nil"/>
              <w:bottom w:val="nil"/>
              <w:right w:val="nil"/>
            </w:tcBorders>
          </w:tcPr>
          <w:p w:rsidR="003A5C0C" w:rsidRDefault="00AA3A34">
            <w:pPr>
              <w:pStyle w:val="Compact"/>
              <w:keepNext/>
              <w:spacing w:before="20" w:after="20" w:line="240" w:lineRule="auto"/>
            </w:pPr>
            <w:r>
              <w:rPr>
                <w:rStyle w:val="VerbatimChar"/>
                <w:sz w:val="16"/>
              </w:rPr>
              <w:t>other_blank</w:t>
            </w:r>
          </w:p>
        </w:tc>
      </w:tr>
      <w:tr w:rsidR="003A5C0C">
        <w:trPr>
          <w:cantSplit/>
          <w:jc w:val="center"/>
        </w:trPr>
        <w:tc>
          <w:tcPr>
            <w:tcW w:w="0" w:type="auto"/>
            <w:tcBorders>
              <w:top w:val="nil"/>
              <w:left w:val="nil"/>
              <w:bottom w:val="single" w:sz="8" w:space="0" w:color="000000"/>
              <w:right w:val="nil"/>
            </w:tcBorders>
          </w:tcPr>
          <w:p w:rsidR="003A5C0C" w:rsidRDefault="00AA3A34">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rStyle w:val="VerbatimChar"/>
                <w:sz w:val="16"/>
              </w:rPr>
              <w:t>br_bot</w:t>
            </w:r>
          </w:p>
        </w:tc>
      </w:tr>
    </w:tbl>
    <w:p w:rsidR="003A5C0C" w:rsidRDefault="00AA3A34">
      <w:pPr>
        <w:pStyle w:val="Heading2"/>
      </w:pPr>
      <w:bookmarkStart w:id="6" w:name="exact-pairing-audit-and-statistics"/>
      <w:bookmarkEnd w:id="5"/>
      <w:r>
        <w:t>3.3 Exact pairing, audit and statistics</w:t>
      </w:r>
    </w:p>
    <w:p w:rsidR="003A5C0C" w:rsidRDefault="00AA3A34">
      <w:pPr>
        <w:pStyle w:val="FirstParagraph"/>
      </w:pPr>
      <w:r>
        <w:rPr>
          <w:b/>
          <w:bCs/>
        </w:rPr>
        <w:t>Pairing.</w:t>
      </w:r>
      <w:r>
        <w:t xml:space="preserve"> Each model request carries a seed computed from the experiment seed, the session, the firm, the round and the retry count, never from the co</w:t>
      </w:r>
      <w:r>
        <w:t>ndition, so conditions that show an agent the same prompt sample the same reply. GPU arithmetic depends on the batch, so from run 9 on we send identical requests within a round only once and copy the reply to every condition that sent it (</w:t>
      </w:r>
      <w:r>
        <w:rPr>
          <w:i/>
          <w:iCs/>
        </w:rPr>
        <w:t>request de-duplic</w:t>
      </w:r>
      <w:r>
        <w:rPr>
          <w:i/>
          <w:iCs/>
        </w:rPr>
        <w:t>ation</w:t>
      </w:r>
      <w:r>
        <w:t xml:space="preserve">). The </w:t>
      </w:r>
      <w:r>
        <w:rPr>
          <w:i/>
          <w:iCs/>
        </w:rPr>
        <w:t>A/A check</w:t>
      </w:r>
      <w:r>
        <w:t xml:space="preserve"> copies 4 sessions at round 10, plays both copies 10 more rounds with the same seeds and without de-duplication, and reports the share of the 80 decisions that are identical (1.0 = full reproducibility).</w:t>
      </w:r>
    </w:p>
    <w:p w:rsidR="003A5C0C" w:rsidRDefault="00AA3A34">
      <w:pPr>
        <w:pStyle w:val="TableCaption"/>
      </w:pPr>
      <w:r>
        <w:rPr>
          <w:b/>
          <w:bCs/>
        </w:rPr>
        <w:lastRenderedPageBreak/>
        <w:t>Table 2.</w:t>
      </w:r>
      <w:r>
        <w:t xml:space="preserve"> All main runs, numbere</w:t>
      </w:r>
      <w:r>
        <w:t>d as in the project run log. “Kept”: phase-1 sessions that passed the inclusion rule. Runs 1–3 were pilot and setup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and setup runs; runs 4–5 ran before the sprint start (Appendix G); runs 5, 11 and 12 give no succession test (Section 4.5)."/>
      </w:tblPr>
      <w:tblGrid>
        <w:gridCol w:w="582"/>
        <w:gridCol w:w="1549"/>
        <w:gridCol w:w="1676"/>
        <w:gridCol w:w="918"/>
        <w:gridCol w:w="4635"/>
      </w:tblGrid>
      <w:tr w:rsidR="003A5C0C">
        <w:trPr>
          <w:cantSplit/>
          <w:tblHeader/>
          <w:jc w:val="center"/>
        </w:trPr>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Purpose</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16 / 30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primary pre-registered run</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15 / 30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another incumbent family: no stable cartel</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22 / 30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replication with new seeds</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OLMo-2-7B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25 / 30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second entrant family</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24 / 30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no replacement notice</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29 / 40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 xml:space="preserve">final run: exact pairing; adds </w:t>
            </w:r>
            <w:r>
              <w:rPr>
                <w:i/>
                <w:iCs/>
                <w:sz w:val="16"/>
              </w:rPr>
              <w:t>Same, notes only</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OLMo-2-7B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31 / 40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final run: replication of the OLMo-2 result</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11</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Qwen2.5-7B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Granite-3.1-8B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third entrant family: failed (GPU timeout)</w:t>
            </w:r>
          </w:p>
        </w:tc>
      </w:tr>
      <w:tr w:rsidR="003A5C0C">
        <w:trPr>
          <w:cantSplit/>
          <w:jc w:val="center"/>
        </w:trPr>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12</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larger incumbent: no stable cartel</w:t>
            </w:r>
          </w:p>
        </w:tc>
      </w:tr>
    </w:tbl>
    <w:p w:rsidR="003A5C0C" w:rsidRDefault="00AA3A34">
      <w:pPr>
        <w:pStyle w:val="BodyText1"/>
        <w:spacing w:before="160"/>
      </w:pPr>
      <w:r>
        <w:rPr>
          <w:b/>
          <w:bCs/>
        </w:rPr>
        <w:t>Enforcement audit.</w:t>
      </w:r>
      <w:r>
        <w:t xml:space="preserve"> A cartel needs enforcement: a firm that cuts its price must expect a </w:t>
      </w:r>
      <w:r>
        <w:t xml:space="preserve">punishment. At round 200, we copy each session twice per deviating firm; in the cut copy, the deviator’s price is forced 10% below its last price for one round, and both copies play 6 rounds. The </w:t>
      </w:r>
      <w:r>
        <w:rPr>
          <w:i/>
          <w:iCs/>
        </w:rPr>
        <w:t>excess response</w:t>
      </w:r>
      <w:r>
        <w:t xml:space="preserve"> is the rival’s price cut one round later, pe</w:t>
      </w:r>
      <w:r>
        <w:t xml:space="preserve">r unit of the forced cut, minus that of a pure best responder (Tran and Yu 2026); a positive value is the signature of punishment. Three prompt controls (10 sessions each in runs 4–8, 30 in runs 9–12) test the audit: the default prompt; a </w:t>
      </w:r>
      <w:r>
        <w:rPr>
          <w:i/>
          <w:iCs/>
        </w:rPr>
        <w:t>myopic</w:t>
      </w:r>
      <w:r>
        <w:t xml:space="preserve"> prompt (“p</w:t>
      </w:r>
      <w:r>
        <w:t xml:space="preserve">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w:t>
      </w:r>
      <w:r>
        <w:t>the pre-registered test H5c counts an audit cell (one condition and one deviating firm) as punishment only if its excess response is above the myopic control.</w:t>
      </w:r>
    </w:p>
    <w:p w:rsidR="003A5C0C" w:rsidRDefault="00AA3A34">
      <w:pPr>
        <w:pStyle w:val="BodyText1"/>
      </w:pPr>
      <w:r>
        <w:rPr>
          <w:b/>
          <w:bCs/>
        </w:rPr>
        <w:t>Statistics.</w:t>
      </w:r>
      <w:r>
        <w:t xml:space="preserve"> All comparisons are paired per session on the profit index in rounds 150–199. We repo</w:t>
      </w:r>
      <w:r>
        <w:t xml:space="preserve">rt the mean difference with a 95% percentile bootstrap interval (10,000 resamples over sessions).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w:t>
      </w:r>
      <w:r>
        <w:t>se; −0.10 marks a negligible change. Appendix B lists all eleven hypotheses (H1–H9), when each was fixed, and the recorded deviations.</w:t>
      </w:r>
    </w:p>
    <w:p w:rsidR="003A5C0C" w:rsidRDefault="00AA3A34">
      <w:pPr>
        <w:pStyle w:val="Heading1"/>
      </w:pPr>
      <w:bookmarkStart w:id="7" w:name="results"/>
      <w:bookmarkEnd w:id="3"/>
      <w:bookmarkEnd w:id="6"/>
      <w:r>
        <w:t>4. Results</w:t>
      </w:r>
    </w:p>
    <w:p w:rsidR="003A5C0C" w:rsidRDefault="00AA3A34">
      <w:pPr>
        <w:pStyle w:val="Heading2"/>
      </w:pPr>
      <w:bookmarkStart w:id="8" w:name="controls-and-data-quality"/>
      <w:r>
        <w:t>4.1 Controls and data quality</w:t>
      </w:r>
    </w:p>
    <w:p w:rsidR="003A5C0C" w:rsidRDefault="00AA3A34">
      <w:pPr>
        <w:pStyle w:val="FirstParagraph"/>
      </w:pPr>
      <w:r>
        <w:t xml:space="preserve">The controls pass in every analysed run (Appendix Table C1). The </w:t>
      </w:r>
      <w:r>
        <w:rPr>
          <w:i/>
          <w:iCs/>
        </w:rPr>
        <w:t>Control</w:t>
      </w:r>
      <w:r>
        <w:t xml:space="preserve"> </w:t>
      </w:r>
      <w:r>
        <w:t xml:space="preserve">cartel stays near its pre-replacement level, except in run 7, where it weakens on its own (profit index 0.930 to 0.687). </w:t>
      </w:r>
      <w:r>
        <w:rPr>
          <w:i/>
          <w:iCs/>
        </w:rPr>
        <w:t>Placebo</w:t>
      </w:r>
      <w:r>
        <w:t xml:space="preserve"> has no detectable effect, and the best-response bot lowers the price index by 0.715–0.949, to the competitive level. The A/A ch</w:t>
      </w:r>
      <w:r>
        <w:t>eck is 1.0 in every run except run 9 (65 of 80 decisions identical, 0.8125), most likely through the batch effect; run 9 uses de-duplication, so its conditions are still exactly paired. Parse failures are at most 1.0% per session. The audit’s positive cont</w:t>
      </w:r>
      <w:r>
        <w:t>rol is detected in runs 4 and 6–9 but not in run 10, whose audit we do not interpret.</w:t>
      </w:r>
    </w:p>
    <w:p w:rsidR="003A5C0C" w:rsidRDefault="00AA3A34">
      <w:pPr>
        <w:pStyle w:val="Heading2"/>
      </w:pPr>
      <w:bookmarkStart w:id="9" w:name="the-price-history-carries-the-cartel"/>
      <w:bookmarkEnd w:id="8"/>
      <w:r>
        <w:lastRenderedPageBreak/>
        <w:t>4.2 The price history carries the cartel</w:t>
      </w:r>
    </w:p>
    <w:p w:rsidR="003A5C0C" w:rsidRDefault="00AA3A34">
      <w:pPr>
        <w:pStyle w:val="FirstParagraph"/>
      </w:pPr>
      <w:r>
        <w:t xml:space="preserve">In all six runs with a stable cartel, a new instance of the same model that inherits the price history stays at the </w:t>
      </w:r>
      <w:r>
        <w:rPr>
          <w:i/>
          <w:iCs/>
        </w:rPr>
        <w:t>Control</w:t>
      </w:r>
      <w:r>
        <w:t xml:space="preserve"> level</w:t>
      </w:r>
      <w:r>
        <w:t>, and the same model without the history falls far below it: H1, H2 and H3a are supported in six of six runs (Table 3; Appendix E). Without the notice (run 8), H1 is 0.002 [−0.014, 0.016] (H7 supported). With exact pairing (run 9), the H1 interval lies jus</w:t>
      </w:r>
      <w:r>
        <w:t xml:space="preserve">t below zero (−0.025 [−0.051, −0.001]): the cartel continues at a slightly lower level. In run 7, </w:t>
      </w:r>
      <w:r>
        <w:rPr>
          <w:i/>
          <w:iCs/>
        </w:rPr>
        <w:t>Same + history</w:t>
      </w:r>
      <w:r>
        <w:t xml:space="preserve"> is above </w:t>
      </w:r>
      <w:r>
        <w:rPr>
          <w:i/>
          <w:iCs/>
        </w:rPr>
        <w:t>Control</w:t>
      </w:r>
      <w:r>
        <w:t xml:space="preserve"> because that </w:t>
      </w:r>
      <w:r>
        <w:rPr>
          <w:i/>
          <w:iCs/>
        </w:rPr>
        <w:t>Control</w:t>
      </w:r>
      <w:r>
        <w:t xml:space="preserve"> cartel weakened.</w:t>
      </w:r>
    </w:p>
    <w:p w:rsidR="003A5C0C" w:rsidRDefault="00AA3A34">
      <w:pPr>
        <w:pStyle w:val="TableCaption"/>
      </w:pPr>
      <w:r>
        <w:rPr>
          <w:b/>
          <w:bCs/>
        </w:rPr>
        <w:t>Table 3.</w:t>
      </w:r>
      <w:r>
        <w:t xml:space="preserve"> Main result for every run with a stable cartel. Cells: paired difference in the</w:t>
      </w:r>
      <w:r>
        <w:t xml:space="preserve"> profit index (rounds 150–199), mean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Cells: paired difference in the profit index (rounds 150–199), mean [95% bootstrap interval]; the last column uses the price index. n: sessions. Thresholds: H1 &gt; −0.10, H2 &lt; −0.10, H3a &gt; 0. †From the verbatim run summary in the project run log."/>
      </w:tblPr>
      <w:tblGrid>
        <w:gridCol w:w="414"/>
        <w:gridCol w:w="306"/>
        <w:gridCol w:w="1900"/>
        <w:gridCol w:w="1947"/>
        <w:gridCol w:w="2430"/>
        <w:gridCol w:w="2363"/>
      </w:tblGrid>
      <w:tr w:rsidR="003A5C0C">
        <w:trPr>
          <w:cantSplit/>
          <w:tblHeader/>
          <w:jc w:val="center"/>
        </w:trPr>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 xml:space="preserve">H2: </w:t>
            </w:r>
            <w:r>
              <w:rPr>
                <w:b/>
                <w:i/>
                <w:iCs/>
                <w:sz w:val="16"/>
              </w:rPr>
              <w:t>Sam</w:t>
            </w:r>
            <w:r>
              <w:rPr>
                <w:b/>
                <w:i/>
                <w:iCs/>
                <w:sz w:val="16"/>
              </w:rPr>
              <w:t>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0.003 [−0.065, 0.064]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0.670 [−0.998, −0.360]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0.667 [0.368, 0.989]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+0.492 [0.162, 0.834]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22</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0.016 [−0.077, 0.122]</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0.474 [−0.782, −0.202]</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0.489 [0.247, 0.771]</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+0.582 [0.292, 0.888]</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0.213 [0.006, 0.529]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0.624 [−1.021, −0.215]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0.836 [0.553, 1.164]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+0.406 [−0.055, 0.878]</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0.002 [−0.014, 0.016]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0.504 [−0.850, −0.208]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0.505 [0.209, 0.853]</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+0.337 [0.036, 0.663]</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0.025 [−0.051, −0.001]</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0.611 [−0.856, −0.380]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0.587 [0.349, 0.838]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+0.481 [0.223, 0.746]</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31</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0.014 [−0.038, 0.008]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0.480 [−0.689, −0.292]</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0.467 [0.279, 0.676]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+0.420 [0.163, 0.686]</w:t>
            </w:r>
          </w:p>
        </w:tc>
      </w:tr>
      <w:tr w:rsidR="003A5C0C">
        <w:trPr>
          <w:cantSplit/>
          <w:jc w:val="center"/>
        </w:trPr>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All</w:t>
            </w:r>
          </w:p>
        </w:tc>
        <w:tc>
          <w:tcPr>
            <w:tcW w:w="0" w:type="auto"/>
            <w:tcBorders>
              <w:top w:val="nil"/>
              <w:left w:val="nil"/>
              <w:bottom w:val="single" w:sz="8" w:space="0" w:color="000000"/>
              <w:right w:val="nil"/>
            </w:tcBorders>
          </w:tcPr>
          <w:p w:rsidR="003A5C0C" w:rsidRDefault="003A5C0C">
            <w:pPr>
              <w:pStyle w:val="Compact"/>
              <w:spacing w:before="20" w:after="20" w:line="240" w:lineRule="auto"/>
            </w:pP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interval above 0 in 5 of 6</w:t>
            </w:r>
          </w:p>
        </w:tc>
      </w:tr>
    </w:tbl>
    <w:p w:rsidR="003A5C0C" w:rsidRDefault="00AA3A34">
      <w:pPr>
        <w:pStyle w:val="Heading2"/>
      </w:pPr>
      <w:bookmarkStart w:id="10" w:name="what-each-entrant-does-run-9-in-detail"/>
      <w:bookmarkEnd w:id="9"/>
      <w:r>
        <w:t>4.3 What each entrant does: run 9 in detail</w:t>
      </w:r>
    </w:p>
    <w:p w:rsidR="003A5C0C" w:rsidRDefault="00AA3A34">
      <w:pPr>
        <w:pStyle w:val="FirstParagraph"/>
      </w:pPr>
      <w:r>
        <w:t>Table 4 gives the absolute levels of all eight conditions in run 9, the largest exactly paired run, and Figure 1 the time paths. All conditions start from the same cartel (profit index</w:t>
      </w:r>
      <w:r>
        <w:t xml:space="preserve"> 0.915 in rounds 80–99). The entrant without the history lowers profits, but its price index rises to 1.314, above the monopoly price; the price index of this condition is above </w:t>
      </w:r>
      <w:r>
        <w:rPr>
          <w:i/>
          <w:iCs/>
        </w:rPr>
        <w:t>Control</w:t>
      </w:r>
      <w:r>
        <w:t xml:space="preserve"> in all six runs (Table 3). Without a history, the new agent has no anc</w:t>
      </w:r>
      <w:r>
        <w:t>hor: it starts high, stays above the monopoly price, and both firms sell less.</w:t>
      </w:r>
    </w:p>
    <w:p w:rsidR="003A5C0C" w:rsidRDefault="00AA3A34">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but the notes-only entran</w:t>
      </w:r>
      <w:r>
        <w:t xml:space="preserve">t still ends below </w:t>
      </w:r>
      <w:r>
        <w:rPr>
          <w:i/>
          <w:iCs/>
        </w:rPr>
        <w:t>Control</w:t>
      </w:r>
      <w:r>
        <w:t xml:space="preserve"> (−0.270 [−0.448, −0.115]). In run 10 the test is inconclusive (−0.048 [−0.439, 0.312]). In both runs this entrant prices above the monopoly level (price index +0.296 and +0.747 against </w:t>
      </w:r>
      <w:r>
        <w:rPr>
          <w:i/>
          <w:iCs/>
        </w:rPr>
        <w:t>Control</w:t>
      </w:r>
      <w:r>
        <w:t>). The notes keep part of the cartel;</w:t>
      </w:r>
      <w:r>
        <w:t xml:space="preserve"> the history keeps all of it.</w:t>
      </w:r>
    </w:p>
    <w:p w:rsidR="003A5C0C" w:rsidRDefault="00AA3A34">
      <w:pPr>
        <w:pStyle w:val="TableCaption"/>
      </w:pPr>
      <w:r>
        <w:rPr>
          <w:b/>
          <w:bCs/>
        </w:rPr>
        <w:lastRenderedPageBreak/>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w:t>
      </w:r>
      <w:r>
        <w:t>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475"/>
        <w:gridCol w:w="1095"/>
        <w:gridCol w:w="1045"/>
        <w:gridCol w:w="2344"/>
        <w:gridCol w:w="2344"/>
        <w:gridCol w:w="1057"/>
      </w:tblGrid>
      <w:tr w:rsidR="003A5C0C">
        <w:trPr>
          <w:cantSplit/>
          <w:tblHeader/>
          <w:jc w:val="center"/>
        </w:trPr>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Holds price</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Control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0.900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0.833</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90.8%</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Placebo</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0.884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0.844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0.016 [−0.050, 0.016]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0.011 [−0.033, 0.056]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85.6%</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 history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0.876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0.816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0.025 [−0.051, −0.001]</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0.017 [−0.053, 0.019]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85.0%</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0.630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1.130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0.270 [−0.448, −0.115]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0.296 [0.076, 0.548]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83.0%</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0.289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1.314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0.611 [−0.856, −0.380]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0.481 [0.223, 0.746]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79.4%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Other + history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0.199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0.167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0.701 [−0.844, −0.558]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0.666 [−0.755, −0.569]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24.0%</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0.039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0.727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0.861 [−1.284, −0.496]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0.106 [−0.547, 0.387]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18.4%</w:t>
            </w:r>
          </w:p>
        </w:tc>
      </w:tr>
      <w:tr w:rsidR="003A5C0C">
        <w:trPr>
          <w:cantSplit/>
          <w:jc w:val="center"/>
        </w:trPr>
        <w:tc>
          <w:tcPr>
            <w:tcW w:w="0" w:type="auto"/>
            <w:tcBorders>
              <w:top w:val="nil"/>
              <w:left w:val="nil"/>
              <w:bottom w:val="single" w:sz="8" w:space="0" w:color="000000"/>
              <w:right w:val="nil"/>
            </w:tcBorders>
          </w:tcPr>
          <w:p w:rsidR="003A5C0C" w:rsidRDefault="00AA3A34">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w:t>
            </w:r>
            <w:r>
              <w:rPr>
                <w:sz w:val="16"/>
              </w:rPr>
              <w:t>0.877 [−0.945, −0.793]</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w:t>
            </w:r>
            <w:r>
              <w:rPr>
                <w:sz w:val="16"/>
              </w:rPr>
              <w:t>0.814 [−0.903, −0.720]</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w:t>
            </w:r>
          </w:p>
        </w:tc>
      </w:tr>
    </w:tbl>
    <w:p w:rsidR="003A5C0C" w:rsidRDefault="00AA3A34">
      <w:pPr>
        <w:pStyle w:val="CaptionedFigure"/>
        <w:spacing w:before="160"/>
      </w:pPr>
      <w:r>
        <w:rPr>
          <w:noProof/>
        </w:rPr>
        <w:drawing>
          <wp:inline distT="0" distB="0" distL="0" distR="0">
            <wp:extent cx="5943600" cy="2139695"/>
            <wp:effectExtent l="0" t="0" r="0" b="0"/>
            <wp:docPr id="31" name="Picture" descr="Figure 1. Run 9, mean over the 29 included sessions per condition, rounds 60–199: (a) profit index, (b) price index. Dashed vertical line: th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32" name="Picture" descr="figures/fig_trajectories.png"/>
                    <pic:cNvPicPr>
                      <a:picLocks noChangeAspect="1" noChangeArrowheads="1"/>
                    </pic:cNvPicPr>
                  </pic:nvPicPr>
                  <pic:blipFill>
                    <a:blip r:embed="rId7"/>
                    <a:stretch>
                      <a:fillRect/>
                    </a:stretch>
                  </pic:blipFill>
                  <pic:spPr bwMode="auto">
                    <a:xfrm>
                      <a:off x="0" y="0"/>
                      <a:ext cx="5943600" cy="2139695"/>
                    </a:xfrm>
                    <a:prstGeom prst="rect">
                      <a:avLst/>
                    </a:prstGeom>
                    <a:noFill/>
                    <a:ln w="9525">
                      <a:noFill/>
                      <a:headEnd/>
                      <a:tailEnd/>
                    </a:ln>
                  </pic:spPr>
                </pic:pic>
              </a:graphicData>
            </a:graphic>
          </wp:inline>
        </w:drawing>
      </w:r>
    </w:p>
    <w:p w:rsidR="003A5C0C" w:rsidRDefault="00AA3A34">
      <w:pPr>
        <w:pStyle w:val="ImageCaption"/>
      </w:pPr>
      <w:r>
        <w:rPr>
          <w:b/>
          <w:bCs/>
        </w:rPr>
        <w:t>Figure 1.</w:t>
      </w:r>
      <w:r>
        <w:t xml:space="preserve"> </w:t>
      </w:r>
      <w:r>
        <w:t>Run 9, mean over the 29 included sessions per condition, rounds 60–199: (a) profit index, (b) price index. Dashed vertical line: the replacement at round 100. Dotted line: monopoly level (1); solid line: competitive level (0). The entrants without the hist</w:t>
      </w:r>
      <w:r>
        <w:t>ory lose profit by pricing above the monopoly price, not by competing.</w:t>
      </w:r>
    </w:p>
    <w:p w:rsidR="003A5C0C" w:rsidRDefault="00AA3A34">
      <w:pPr>
        <w:pStyle w:val="Heading2"/>
      </w:pPr>
      <w:bookmarkStart w:id="11" w:name="X6817296e3fddf870ef7a203c0d2fb0019e4f1f5"/>
      <w:bookmarkEnd w:id="10"/>
      <w:r>
        <w:t>4.4 The entrant’s pricing style decides what happens to the history</w:t>
      </w:r>
    </w:p>
    <w:p w:rsidR="003A5C0C" w:rsidRDefault="00AA3A34">
      <w:pPr>
        <w:pStyle w:val="FirstParagraph"/>
      </w:pPr>
      <w:r>
        <w:t xml:space="preserve">With the history, a Mistral-7B entrant breaks the cartel in all four runs (H6 supported; 0.55–0.78 below </w:t>
      </w:r>
      <w:r>
        <w:rPr>
          <w:i/>
          <w:iCs/>
        </w:rPr>
        <w:t>Control</w:t>
      </w:r>
      <w:r>
        <w:t>), wh</w:t>
      </w:r>
      <w:r>
        <w:t>ile an OLMo-2-7B entrant keeps it in both runs (H6 not supported in run 7; H8, its pre-registered replication, supported in run 10) (Table 5; Appendix Figure E2). The Mistral entrant repeats its last price in 21.6–25.5% of rounds, the OLMo-2 entrant in 96.</w:t>
      </w:r>
      <w:r>
        <w:t xml:space="preserve">3–96.8%, and the Qwen2.5-7B agents in </w:t>
      </w:r>
      <w:r>
        <w:rPr>
          <w:i/>
          <w:iCs/>
        </w:rPr>
        <w:t>Control</w:t>
      </w:r>
      <w:r>
        <w:t xml:space="preserve"> in 87.7–90.8%. Sampled OLMo-2 notes read like “Maintain price at $1.93 as it consistently yields profit”; none of them mentions the rival, a cartel or punishment. OLMo-2 keeps the inherited price by inertia; Mi</w:t>
      </w:r>
      <w:r>
        <w:t>stral explores, and prices drift down. Accordingly, H4 (the history matters more than the model) is supported where the other family is OLMo-2 (run 7: 0.818 [0.501, 1.122]; run 10: 0.456 [0.250, 0.657]) and inconclusive in runs 4, 6, 8 and 9.</w:t>
      </w:r>
    </w:p>
    <w:p w:rsidR="003A5C0C" w:rsidRDefault="00AA3A34">
      <w:pPr>
        <w:pStyle w:val="TableCaption"/>
      </w:pPr>
      <w:r>
        <w:rPr>
          <w:b/>
          <w:bCs/>
        </w:rPr>
        <w:lastRenderedPageBreak/>
        <w:t>Table 5.</w:t>
      </w:r>
      <w:r>
        <w:t xml:space="preserve"> </w:t>
      </w:r>
      <w:r>
        <w:rPr>
          <w:i/>
          <w:iCs/>
        </w:rPr>
        <w:t>Othe</w:t>
      </w:r>
      <w:r>
        <w:rPr>
          <w:i/>
          <w:iCs/>
        </w:rPr>
        <w:t>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593"/>
        <w:gridCol w:w="1389"/>
        <w:gridCol w:w="3057"/>
        <w:gridCol w:w="2978"/>
        <w:gridCol w:w="1343"/>
      </w:tblGrid>
      <w:tr w:rsidR="003A5C0C">
        <w:trPr>
          <w:cantSplit/>
          <w:tblHeader/>
          <w:jc w:val="center"/>
        </w:trPr>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Profit ind</w:t>
            </w:r>
            <w:r>
              <w:rPr>
                <w:b/>
                <w:sz w:val="16"/>
              </w:rPr>
              <w:t xml:space="preserve">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Holds price</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0.552 [−0.763, −0.362]</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0.677 [−0.874, −0.500]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23.8%</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0.595 [−0.824, −0.357]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0.657 [−0.776, −0.527]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25.5%</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0.778 [−0.947, −0.596]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0.779 [−0.862, −0.691]</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21.6%</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Mistral-7B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0.701 [−0.844, −0.558]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0.666 [−0.755, −0.569]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24.0%</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OLMo-2-7B</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0.194 [−0.057, 0.534]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0.270 [0.097, 0.500]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96.8%</w:t>
            </w:r>
          </w:p>
        </w:tc>
      </w:tr>
      <w:tr w:rsidR="003A5C0C">
        <w:trPr>
          <w:cantSplit/>
          <w:jc w:val="center"/>
        </w:trPr>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10†</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w:t>
            </w:r>
            <w:r>
              <w:rPr>
                <w:sz w:val="16"/>
              </w:rPr>
              <w:t>0.024 [−0.077, 0.019]</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96.3%</w:t>
            </w:r>
          </w:p>
        </w:tc>
      </w:tr>
    </w:tbl>
    <w:p w:rsidR="003A5C0C" w:rsidRDefault="00AA3A34">
      <w:pPr>
        <w:pStyle w:val="BodyText1"/>
        <w:spacing w:before="160"/>
      </w:pPr>
      <w:r>
        <w:rPr>
          <w:b/>
          <w:bCs/>
        </w:rPr>
        <w:t>The surviving prices are anchored, not enforced.</w:t>
      </w:r>
      <w:r>
        <w:t xml:space="preserve"> </w:t>
      </w:r>
      <w:r>
        <w:t xml:space="preserve">Without calibration (H5), 0–3 audit cells per run show an excess response above zero. But the myopic control, which has no reason to punish, also responds above the best response when firm 2 cuts (0.176–0.367 in runs 6–9). After calibration (H5c), no cell </w:t>
      </w:r>
      <w:r>
        <w:t xml:space="preserve">shows punishment in runs 6–8, and one does in run 9: the incumbent’s response to a cut by the notes-only entrant (0.317 [0.128, 0.496]; Appendix D). The inherited prices are not protected by punishment; they persist because the agents anchor on the prices </w:t>
      </w:r>
      <w:r>
        <w:t>they see.</w:t>
      </w:r>
    </w:p>
    <w:p w:rsidR="003A5C0C" w:rsidRDefault="00AA3A34">
      <w:pPr>
        <w:pStyle w:val="Heading2"/>
      </w:pPr>
      <w:bookmarkStart w:id="12" w:name="when-there-is-no-cartel-to-inherit"/>
      <w:bookmarkEnd w:id="11"/>
      <w:r>
        <w:t>4.5 When there is no cartel to inherit</w:t>
      </w:r>
    </w:p>
    <w:p w:rsidR="003A5C0C" w:rsidRDefault="00AA3A34">
      <w:pPr>
        <w:pStyle w:val="FirstParagraph"/>
      </w:pPr>
      <w:r>
        <w:t xml:space="preserve">Succession can be tested only if the incumbent pair keeps a cartel without a replacement. With a Mistral-7B incumbent (run 5), the </w:t>
      </w:r>
      <w:r>
        <w:rPr>
          <w:i/>
          <w:iCs/>
        </w:rPr>
        <w:t>Control</w:t>
      </w:r>
      <w:r>
        <w:t xml:space="preserve"> profit index falls from 0.594 to −0.710 after round 100; </w:t>
      </w:r>
      <w:r>
        <w:t>with a Qwen2.5-14B incumbent (run 12), from 0.423 to −0.434, and every succession test is inconclusive. Run 11 (Granite-3.1-8B entrant) failed. The result therefore describes the succession of a stable Qwen2.5-7B cartel.</w:t>
      </w:r>
    </w:p>
    <w:p w:rsidR="003A5C0C" w:rsidRDefault="00AA3A34">
      <w:pPr>
        <w:pStyle w:val="Heading1"/>
      </w:pPr>
      <w:bookmarkStart w:id="13" w:name="discussion-and-limitations"/>
      <w:bookmarkEnd w:id="7"/>
      <w:bookmarkEnd w:id="12"/>
      <w:r>
        <w:t>5. Discussion and Limitations</w:t>
      </w:r>
    </w:p>
    <w:p w:rsidR="003A5C0C" w:rsidRDefault="00AA3A34">
      <w:pPr>
        <w:pStyle w:val="FirstParagraph"/>
      </w:pPr>
      <w:r>
        <w:rPr>
          <w:b/>
          <w:bCs/>
        </w:rPr>
        <w:t>The c</w:t>
      </w:r>
      <w:r>
        <w:rPr>
          <w:b/>
          <w:bCs/>
        </w:rPr>
        <w:t>artel lives in the transcript.</w:t>
      </w:r>
      <w:r>
        <w:t xml:space="preserve"> A new instance of the same model that inherits the price history continues the cartel, even when the incumbent is not told about the replacement. Replacing a pricing agent, or its vendor, does not end tacit collusion if the s</w:t>
      </w:r>
      <w:r>
        <w:t>hared history moves with the seat: a remedy must cut the information channel, not only the agent, which extends the data-access remedies discussed by Keppo et al. (2026) to succession. For AI safety, coordination stored in shared memory, logs or transcript</w:t>
      </w:r>
      <w:r>
        <w:t>s can outlive the agents that created it, a risk that interchangeability tests of agent teams (Gao et al. 2026) should include.</w:t>
      </w:r>
    </w:p>
    <w:p w:rsidR="003A5C0C" w:rsidRDefault="00AA3A34">
      <w:pPr>
        <w:pStyle w:val="BodyText1"/>
      </w:pPr>
      <w:r>
        <w:rPr>
          <w:b/>
          <w:bCs/>
        </w:rPr>
        <w:t>Ending collusion is not restoring competition.</w:t>
      </w:r>
      <w:r>
        <w:t xml:space="preserve"> The entrant without a history lowers profits by overpricing, so a profit-only mon</w:t>
      </w:r>
      <w:r>
        <w:t>itor would miss prices above the monopoly level, as in the GPT markets of Lee (2026). “A different model” is not one treatment either: the outcome depends on how sticky the entrant’s pricing is, in line with the anchoring account of Tran and Yu (2026), and</w:t>
      </w:r>
      <w:r>
        <w:t xml:space="preserve"> the price-hold rate can be measured before deployment. Finally, an uncalibrated audit reports “punishment” that a myopic agent reproduces; calibrated baselines and exact pairing should be standard for enforcement claims about LLM agents.</w:t>
      </w:r>
    </w:p>
    <w:p w:rsidR="003A5C0C" w:rsidRDefault="00AA3A34">
      <w:pPr>
        <w:pStyle w:val="Heading2"/>
      </w:pPr>
      <w:bookmarkStart w:id="14" w:name="limitations"/>
      <w:r>
        <w:lastRenderedPageBreak/>
        <w:t>Limitations</w:t>
      </w:r>
    </w:p>
    <w:p w:rsidR="003A5C0C" w:rsidRDefault="00AA3A34">
      <w:pPr>
        <w:pStyle w:val="FirstParagraph"/>
      </w:pPr>
      <w:r>
        <w:rPr>
          <w:b/>
          <w:bCs/>
        </w:rPr>
        <w:t>Scope</w:t>
      </w:r>
      <w:r>
        <w:rPr>
          <w:b/>
          <w:bCs/>
        </w:rPr>
        <w:t>.</w:t>
      </w:r>
      <w:r>
        <w:t xml:space="preserve"> One market (two-firm logit Bertrand), one prompt, temperature 0.7, 100 rounds before and after the replacement, and a 30-round history window. Only one incumbent family (Qwen2.5-7B) kept a stable cartel, and the two entrant families gave opposite results</w:t>
      </w:r>
      <w:r>
        <w:t xml:space="preserve">, so we cannot say which behaviour is typical. Larger or closed models, other prompts or long-term memory could change the result. </w:t>
      </w:r>
      <w:r>
        <w:rPr>
          <w:b/>
          <w:bCs/>
        </w:rPr>
        <w:t>Measurement.</w:t>
      </w:r>
      <w:r>
        <w:t xml:space="preserve"> The audit measures a one-round response to a one-round cut and would miss punishment of persistent deviations on</w:t>
      </w:r>
      <w:r>
        <w:t xml:space="preserve">ly. Trigger agents followed their rule in about 37–70% of sessions, which limits audit power, and in run 10 the positive control failed. The OLMo-2 inertia account is descriptive. </w:t>
      </w:r>
      <w:r>
        <w:rPr>
          <w:b/>
          <w:bCs/>
        </w:rPr>
        <w:t>Statistics.</w:t>
      </w:r>
      <w:r>
        <w:t xml:space="preserve"> We do not correct for multiple comparisons across runs; replicat</w:t>
      </w:r>
      <w:r>
        <w:t>ion on independent seed sets is our safeguard. The pooled estimate, the hold rates, H5c for runs 4–8 and the 3D figure are exploratory.</w:t>
      </w:r>
    </w:p>
    <w:p w:rsidR="003A5C0C" w:rsidRDefault="00AA3A34">
      <w:pPr>
        <w:pStyle w:val="Heading2"/>
      </w:pPr>
      <w:bookmarkStart w:id="15" w:name="future-work"/>
      <w:bookmarkEnd w:id="14"/>
      <w:r>
        <w:t>Future Work</w:t>
      </w:r>
    </w:p>
    <w:p w:rsidR="003A5C0C" w:rsidRDefault="00AA3A34">
      <w:pPr>
        <w:pStyle w:val="FirstParagraph"/>
      </w:pPr>
      <w:r>
        <w:t>Test more model families and the price-hold rate as a predictor; vary the inherited history from 0 to 30 rou</w:t>
      </w:r>
      <w:r>
        <w:t>nds; extend the audit to multi-round deviations; and test remedies that redact shared memory.</w:t>
      </w:r>
    </w:p>
    <w:p w:rsidR="003A5C0C" w:rsidRDefault="00AA3A34">
      <w:pPr>
        <w:pStyle w:val="Heading1"/>
      </w:pPr>
      <w:bookmarkStart w:id="16" w:name="conclusion"/>
      <w:bookmarkEnd w:id="13"/>
      <w:bookmarkEnd w:id="15"/>
      <w:r>
        <w:t>6. Conclusion</w:t>
      </w:r>
    </w:p>
    <w:p w:rsidR="003A5C0C" w:rsidRDefault="00AA3A34">
      <w:pPr>
        <w:pStyle w:val="FirstParagraph"/>
      </w:pPr>
      <w:r>
        <w:t xml:space="preserve">We asked who carries an LLM pricing cartel when one of its agents is replaced. In six independent, pre-registered runs, the answer is the inherited </w:t>
      </w:r>
      <w:r>
        <w:t>price history. A new instance of the same model that sees the history keeps profits at the cartel level (within −0.025 to +0.213 of no replacement), with or without a replacement notice. The same model without the history loses 0.47–0.67 of the profit inde</w:t>
      </w:r>
      <w:r>
        <w:t>x, but by pricing above the monopoly price, not by competing, and the predecessor’s notes keep part of the cartel. A different model family can go either way: Mistral-7B breaks the inherited cartel, OLMo-2-7B keeps it by repeating its last price. A calibra</w:t>
      </w:r>
      <w:r>
        <w:t>ted audit finds almost no punishment, so the surviving prices are anchored on the shared history rather than enforced by threats.</w:t>
      </w:r>
    </w:p>
    <w:p w:rsidR="003A5C0C" w:rsidRDefault="00AA3A34">
      <w:pPr>
        <w:pStyle w:val="BodyText1"/>
      </w:pPr>
      <w:r>
        <w:t xml:space="preserve">These results move the unit of analysis from the agent to the agent and its context. For a competition authority, replacing a </w:t>
      </w:r>
      <w:r>
        <w:t xml:space="preserve">colluding pricing system is not a remedy if the shared history moves with the seat: the remedy must also remove or redact the history and the notes. For a market monitor, a fall in profits is not proof of competition; prices must be compared with both the </w:t>
      </w:r>
      <w:r>
        <w:t>competitive and the monopoly benchmark. For an auditor, evidence of enforcement must be calibrated against agents that cannot punish, or ordinary price following will be mistaken for a cartel. For AI safety, coordination between agents can outlive the agen</w:t>
      </w:r>
      <w:r>
        <w:t>ts that formed it as long as the transcript survives. Defences against collusion between AI agents must therefore govern the information that agents inherit, not only the choice of agents.</w:t>
      </w:r>
    </w:p>
    <w:p w:rsidR="003A5C0C" w:rsidRDefault="00AA3A34">
      <w:pPr>
        <w:pStyle w:val="Heading1"/>
      </w:pPr>
      <w:bookmarkStart w:id="17" w:name="code-and-data"/>
      <w:bookmarkEnd w:id="16"/>
      <w:r>
        <w:lastRenderedPageBreak/>
        <w:t>Code and Data</w:t>
      </w:r>
    </w:p>
    <w:p w:rsidR="003A5C0C" w:rsidRDefault="00AA3A34">
      <w:pPr>
        <w:pStyle w:val="Compact"/>
        <w:numPr>
          <w:ilvl w:val="0"/>
          <w:numId w:val="8"/>
        </w:numPr>
      </w:pPr>
      <w:r>
        <w:rPr>
          <w:b/>
          <w:bCs/>
        </w:rPr>
        <w:t>Code repository:</w:t>
      </w:r>
      <w:r>
        <w:t xml:space="preserve"> </w:t>
      </w:r>
      <w:hyperlink r:id="rId8">
        <w:r>
          <w:rPr>
            <w:rStyle w:val="Hyperlink1"/>
          </w:rPr>
          <w:t>https://github.com/SSCoderz2123/AI-Collusion-Research-Sprint</w:t>
        </w:r>
      </w:hyperlink>
      <w:r>
        <w:t xml:space="preserve"> (code, tests, configurations, run data for runs 4–9, run log, pre-registration). </w:t>
      </w:r>
      <w:r>
        <w:rPr>
          <w:b/>
          <w:bCs/>
        </w:rPr>
        <w:t>Other artifacts:</w:t>
      </w:r>
      <w:r>
        <w:t xml:space="preserve"> slides and project image in </w:t>
      </w:r>
      <w:r>
        <w:rPr>
          <w:rStyle w:val="VerbatimChar"/>
        </w:rPr>
        <w:t>Apart Research/</w:t>
      </w:r>
      <w:r>
        <w:t>.</w:t>
      </w:r>
    </w:p>
    <w:p w:rsidR="003A5C0C" w:rsidRDefault="00AA3A34">
      <w:pPr>
        <w:pStyle w:val="Heading1"/>
      </w:pPr>
      <w:bookmarkStart w:id="18" w:name="author-contributions"/>
      <w:bookmarkEnd w:id="17"/>
      <w:r>
        <w:t>Author C</w:t>
      </w:r>
      <w:r>
        <w:t>ontributions</w:t>
      </w:r>
    </w:p>
    <w:p w:rsidR="003A5C0C" w:rsidRDefault="00AA3A34">
      <w:pPr>
        <w:pStyle w:val="FirstParagraph"/>
      </w:pPr>
      <w:r>
        <w:t>Supratik Bhowal designed and ran the study and is responsible for the content (see the LLM Usage Statement).</w:t>
      </w:r>
    </w:p>
    <w:p w:rsidR="003A5C0C" w:rsidRDefault="00AA3A34">
      <w:pPr>
        <w:pStyle w:val="Heading1"/>
      </w:pPr>
      <w:bookmarkStart w:id="19" w:name="references"/>
      <w:bookmarkEnd w:id="18"/>
      <w:r>
        <w:t>References</w:t>
      </w:r>
    </w:p>
    <w:p w:rsidR="003A5C0C" w:rsidRDefault="00AA3A34">
      <w:pPr>
        <w:pStyle w:val="Bibliography1"/>
      </w:pPr>
      <w:bookmarkStart w:id="20" w:name="ref-arslan2026persistent"/>
      <w:bookmarkStart w:id="21" w:name="refs"/>
      <w:r>
        <w:t xml:space="preserve">Arslan, Paul-Peter, Yubin Kim, and Xiao Xiao. 2026. “Persistent Partners Raise Prices Among Learning Agents.” </w:t>
      </w:r>
      <w:r>
        <w:rPr>
          <w:i/>
          <w:iCs/>
        </w:rPr>
        <w:t>arXiv Preprin</w:t>
      </w:r>
      <w:r>
        <w:rPr>
          <w:i/>
          <w:iCs/>
        </w:rPr>
        <w:t>t arXiv:2609.35402</w:t>
      </w:r>
      <w:r>
        <w:t>.</w:t>
      </w:r>
    </w:p>
    <w:p w:rsidR="003A5C0C" w:rsidRDefault="00AA3A34">
      <w:pPr>
        <w:pStyle w:val="Bibliography1"/>
      </w:pPr>
      <w:bookmarkStart w:id="22" w:name="ref-calvano2020artificial"/>
      <w:bookmarkEnd w:id="20"/>
      <w:r>
        <w:t xml:space="preserve">Calvano, Emilio, Giacomo Calzolari, Vincenzo Denicolò, and Sergio Pastorello. 2020. “Artificial Intelligence, Algorithmic Pricing, and Collusion.” </w:t>
      </w:r>
      <w:r>
        <w:rPr>
          <w:i/>
          <w:iCs/>
        </w:rPr>
        <w:t>American Economic Review</w:t>
      </w:r>
      <w:r>
        <w:t xml:space="preserve"> 110 (10): 3267–97. </w:t>
      </w:r>
      <w:hyperlink r:id="rId9">
        <w:r>
          <w:rPr>
            <w:rStyle w:val="Hyperlink1"/>
          </w:rPr>
          <w:t>https://doi.org/10.1257/aer.20190623</w:t>
        </w:r>
      </w:hyperlink>
      <w:r>
        <w:t>.</w:t>
      </w:r>
    </w:p>
    <w:p w:rsidR="003A5C0C" w:rsidRDefault="00AA3A34">
      <w:pPr>
        <w:pStyle w:val="Bibliography1"/>
      </w:pPr>
      <w:bookmarkStart w:id="23" w:name="ref-fish2024algorithmic"/>
      <w:bookmarkEnd w:id="22"/>
      <w:r>
        <w:t xml:space="preserve">Fish, Sara, Yannai A. Gonczarowski, and Ran I. Shorrer. 2024. “Algorithmic Collusion by Large Language Models.” </w:t>
      </w:r>
      <w:r>
        <w:rPr>
          <w:i/>
          <w:iCs/>
        </w:rPr>
        <w:t>arXiv Preprint arXiv:2404.00806</w:t>
      </w:r>
      <w:r>
        <w:t>.</w:t>
      </w:r>
    </w:p>
    <w:p w:rsidR="003A5C0C" w:rsidRDefault="00AA3A34">
      <w:pPr>
        <w:pStyle w:val="Bibliography1"/>
      </w:pPr>
      <w:bookmarkStart w:id="24" w:name="ref-gao2026interchangeability"/>
      <w:bookmarkEnd w:id="23"/>
      <w:r>
        <w:t>Gao, Jianxin, Tianyi Yu, Linna Deng, Runze Li, and Zining Wang</w:t>
      </w:r>
      <w:r>
        <w:t xml:space="preserve">. 2026. “Testing Interchangeability in LLM Agent Teams.” </w:t>
      </w:r>
      <w:r>
        <w:rPr>
          <w:i/>
          <w:iCs/>
        </w:rPr>
        <w:t>arXiv Preprint arXiv:2609.05279</w:t>
      </w:r>
      <w:r>
        <w:t>.</w:t>
      </w:r>
    </w:p>
    <w:p w:rsidR="003A5C0C" w:rsidRDefault="00AA3A34">
      <w:pPr>
        <w:pStyle w:val="Bibliography1"/>
      </w:pPr>
      <w:bookmarkStart w:id="25" w:name="ref-keppo2026fragility"/>
      <w:bookmarkEnd w:id="24"/>
      <w:r>
        <w:t xml:space="preserve">Keppo, Jussi, Yuze Li, Gerry Tsoukalas, and Nuo Yuan. 2026. “On the Fragility of AI Agent Collusion.” </w:t>
      </w:r>
      <w:r>
        <w:rPr>
          <w:i/>
          <w:iCs/>
        </w:rPr>
        <w:t>arXiv Preprint arXiv:2603.20281</w:t>
      </w:r>
      <w:r>
        <w:t>.</w:t>
      </w:r>
    </w:p>
    <w:p w:rsidR="003A5C0C" w:rsidRDefault="00AA3A34">
      <w:pPr>
        <w:pStyle w:val="Bibliography1"/>
      </w:pPr>
      <w:bookmarkStart w:id="26" w:name="ref-lee2026leads"/>
      <w:bookmarkEnd w:id="25"/>
      <w:r>
        <w:t>Lee, Jun Yeong. 2026. “Who Lead</w:t>
      </w:r>
      <w:r>
        <w:t xml:space="preserve">s and Who Collects: Algorithmic Collusion in Markets of Heterogeneous Language Models.” </w:t>
      </w:r>
      <w:r>
        <w:rPr>
          <w:i/>
          <w:iCs/>
        </w:rPr>
        <w:t>arXiv Preprint arXiv:2610.11256</w:t>
      </w:r>
      <w:r>
        <w:t>.</w:t>
      </w:r>
    </w:p>
    <w:p w:rsidR="003A5C0C" w:rsidRDefault="00AA3A34">
      <w:pPr>
        <w:pStyle w:val="Bibliography1"/>
      </w:pPr>
      <w:bookmarkStart w:id="27" w:name="ref-tran2026enforcing"/>
      <w:bookmarkEnd w:id="26"/>
      <w:r>
        <w:t xml:space="preserve">Tran, Hieu, and Hong Yu. 2026. “Is Anyone Enforcing the Cartel? What Reinforcement Learning Teaches LLM Agents in Markets.” </w:t>
      </w:r>
      <w:r>
        <w:rPr>
          <w:i/>
          <w:iCs/>
        </w:rPr>
        <w:t>arXiv Preprint arXiv:2610.28787</w:t>
      </w:r>
      <w:r>
        <w:t>.</w:t>
      </w:r>
    </w:p>
    <w:p w:rsidR="003A5C0C" w:rsidRDefault="00AA3A34">
      <w:pPr>
        <w:pStyle w:val="Heading1"/>
      </w:pPr>
      <w:bookmarkStart w:id="28" w:name="appendix"/>
      <w:bookmarkEnd w:id="19"/>
      <w:bookmarkEnd w:id="21"/>
      <w:bookmarkEnd w:id="27"/>
      <w:r>
        <w:t>Appendix</w:t>
      </w:r>
    </w:p>
    <w:p w:rsidR="003A5C0C" w:rsidRDefault="00AA3A34">
      <w:pPr>
        <w:pStyle w:val="FirstParagraph"/>
      </w:pPr>
      <w:r>
        <w:t>All numbers in this report come from the analysis files that the code in the project repository produces from stored run data (</w:t>
      </w:r>
      <w:r>
        <w:rPr>
          <w:rStyle w:val="VerbatimChar"/>
        </w:rPr>
        <w:t>results/&lt;run&gt;/analysis/</w:t>
      </w:r>
      <w:r>
        <w:t>). Values for runs 10 and 12 come from their verbatim analysis s</w:t>
      </w:r>
      <w:r>
        <w:t xml:space="preserve">ummaries in </w:t>
      </w:r>
      <w:r>
        <w:rPr>
          <w:rStyle w:val="VerbatimChar"/>
        </w:rPr>
        <w:t>docs/RUN_LOG.md</w:t>
      </w:r>
      <w:r>
        <w:t xml:space="preserve">, because their run folders are not yet in the repository. </w:t>
      </w:r>
      <w:r>
        <w:rPr>
          <w:rStyle w:val="VerbatimChar"/>
        </w:rPr>
        <w:t>scripts/paper_figures.py</w:t>
      </w:r>
      <w:r>
        <w:t xml:space="preserve"> rebuilds every figure.</w:t>
      </w:r>
    </w:p>
    <w:p w:rsidR="003A5C0C" w:rsidRDefault="00AA3A34">
      <w:pPr>
        <w:pStyle w:val="Heading2"/>
      </w:pPr>
      <w:bookmarkStart w:id="29" w:name="Xd863e5dd50f3a2c5a9f9d67c38d6db1a7983c65"/>
      <w:r>
        <w:t>A. Limitations and Dual-Use / Ethical Considerations</w:t>
      </w:r>
    </w:p>
    <w:p w:rsidR="003A5C0C" w:rsidRDefault="00AA3A34">
      <w:pPr>
        <w:pStyle w:val="FirstParagraph"/>
      </w:pPr>
      <w:r>
        <w:rPr>
          <w:b/>
          <w:bCs/>
        </w:rPr>
        <w:t>What the result establishes.</w:t>
      </w:r>
      <w:r>
        <w:t xml:space="preserve"> In a simulated two-firm market with open</w:t>
      </w:r>
      <w:r>
        <w:t xml:space="preserve"> 7B-parameter models, a replacement agent that inherits the shared price history continues the incumbent’s high prices, and the high prices are anchored rather than enforced. The result does not establish that real-world pricing systems, or larger or close</w:t>
      </w:r>
      <w:r>
        <w:t>d models, behave the same way, or that the conduct is unlawful. “Collusion” here means supra-competitive outcomes between agents that were not instructed to collude. We treat the agents’ notes as descriptive text, not as evidence of intent. The full limita</w:t>
      </w:r>
      <w:r>
        <w:t>tions are in Section 5.</w:t>
      </w:r>
    </w:p>
    <w:p w:rsidR="003A5C0C" w:rsidRDefault="00AA3A34">
      <w:pPr>
        <w:pStyle w:val="BodyText1"/>
      </w:pPr>
      <w:r>
        <w:rPr>
          <w:b/>
          <w:bCs/>
        </w:rPr>
        <w:t>Dual use.</w:t>
      </w:r>
      <w:r>
        <w:t xml:space="preserve"> The main result could tell a firm how to keep a tacit cartel through a vendor change: keep the shared price history. It tells a regulator, equally, which item to remove. We publish no </w:t>
      </w:r>
      <w:r>
        <w:lastRenderedPageBreak/>
        <w:t>prompt or procedure designed to make collusion harder to detect; the agents’ prompt never mentions collusion, and the calibrated audit makes collusion easier, not harder, to detect. All experiments run in a simulated market. No real prices, firms or consum</w:t>
      </w:r>
      <w:r>
        <w:t>ers are involved, and no personal data is used.</w:t>
      </w:r>
    </w:p>
    <w:p w:rsidR="003A5C0C" w:rsidRDefault="00AA3A34">
      <w:pPr>
        <w:pStyle w:val="Heading2"/>
      </w:pPr>
      <w:bookmarkStart w:id="30" w:name="Xcf01e4888ef0aafe1dcf268855781511b98f3c5"/>
      <w:bookmarkEnd w:id="29"/>
      <w:r>
        <w:t>B. Hypotheses, Pre-Registration and Deviations</w:t>
      </w:r>
    </w:p>
    <w:p w:rsidR="003A5C0C" w:rsidRDefault="00AA3A34">
      <w:pPr>
        <w:pStyle w:val="TableCaption"/>
      </w:pPr>
      <w:r>
        <w:rPr>
          <w:b/>
          <w:bCs/>
        </w:rPr>
        <w:t>Table B1.</w:t>
      </w:r>
      <w:r>
        <w:t xml:space="preserve"> Pre-registered hypotheses. All comparisons use the profit index in rounds 150–199, paired per session. “Fixed before”: the first run that tested the hy</w:t>
      </w:r>
      <w:r>
        <w:t>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Fixed before”: the first run that tested the hypothesis."/>
      </w:tblPr>
      <w:tblGrid>
        <w:gridCol w:w="451"/>
        <w:gridCol w:w="4721"/>
        <w:gridCol w:w="3153"/>
        <w:gridCol w:w="1035"/>
      </w:tblGrid>
      <w:tr w:rsidR="003A5C0C">
        <w:trPr>
          <w:cantSplit/>
          <w:tblHeader/>
          <w:jc w:val="center"/>
        </w:trPr>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Fixed before</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H1</w:t>
            </w:r>
          </w:p>
        </w:tc>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 history</w:t>
            </w:r>
            <w:r>
              <w:rPr>
                <w:sz w:val="16"/>
              </w:rPr>
              <w:t xml:space="preserve"> − </w:t>
            </w:r>
            <w:r>
              <w:rPr>
                <w:i/>
                <w:iCs/>
                <w:sz w:val="16"/>
              </w:rPr>
              <w:t>Control</w:t>
            </w:r>
            <w:r>
              <w:rPr>
                <w:sz w:val="16"/>
              </w:rPr>
              <w:t xml:space="preserve"> &gt; −0.10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H2</w:t>
            </w:r>
          </w:p>
        </w:tc>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no history</w:t>
            </w:r>
            <w:r>
              <w:rPr>
                <w:sz w:val="16"/>
              </w:rPr>
              <w:t xml:space="preserve"> − </w:t>
            </w:r>
            <w:r>
              <w:rPr>
                <w:i/>
                <w:iCs/>
                <w:sz w:val="16"/>
              </w:rPr>
              <w:t>Control</w:t>
            </w:r>
            <w:r>
              <w:rPr>
                <w:sz w:val="16"/>
              </w:rPr>
              <w:t xml:space="preserve"> &lt; −0.10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H3a</w:t>
            </w:r>
          </w:p>
        </w:tc>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Same + history</w:t>
            </w:r>
            <w:r>
              <w:rPr>
                <w:sz w:val="16"/>
              </w:rPr>
              <w:t xml:space="preserve"> − </w:t>
            </w:r>
            <w:r>
              <w:rPr>
                <w:i/>
                <w:iCs/>
                <w:sz w:val="16"/>
              </w:rPr>
              <w:t>Same, no history</w:t>
            </w:r>
            <w:r>
              <w:rPr>
                <w:sz w:val="16"/>
              </w:rPr>
              <w:t xml:space="preserve"> &gt; 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H3b</w:t>
            </w:r>
          </w:p>
        </w:tc>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Other + history</w:t>
            </w:r>
            <w:r>
              <w:rPr>
                <w:sz w:val="16"/>
              </w:rPr>
              <w:t xml:space="preserve"> − </w:t>
            </w:r>
            <w:r>
              <w:rPr>
                <w:i/>
                <w:iCs/>
                <w:sz w:val="16"/>
              </w:rPr>
              <w:t>Other, no history</w:t>
            </w:r>
            <w:r>
              <w:rPr>
                <w:sz w:val="16"/>
              </w:rPr>
              <w:t xml:space="preserve"> &gt; 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history effect minus model effect (absolute values) &gt; 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H5c</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9</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H6</w:t>
            </w:r>
          </w:p>
        </w:tc>
        <w:tc>
          <w:tcPr>
            <w:tcW w:w="0" w:type="auto"/>
            <w:tcBorders>
              <w:top w:val="nil"/>
              <w:left w:val="nil"/>
              <w:bottom w:val="nil"/>
              <w:right w:val="nil"/>
            </w:tcBorders>
          </w:tcPr>
          <w:p w:rsidR="003A5C0C" w:rsidRDefault="00AA3A34">
            <w:pPr>
              <w:pStyle w:val="Compact"/>
              <w:keepNext/>
              <w:spacing w:before="20" w:after="20" w:line="240" w:lineRule="auto"/>
            </w:pPr>
            <w:r>
              <w:rPr>
                <w:i/>
                <w:iCs/>
                <w:sz w:val="16"/>
              </w:rPr>
              <w:t>Other + history</w:t>
            </w:r>
            <w:r>
              <w:rPr>
                <w:sz w:val="16"/>
              </w:rPr>
              <w:t xml:space="preserve"> − </w:t>
            </w:r>
            <w:r>
              <w:rPr>
                <w:i/>
                <w:iCs/>
                <w:sz w:val="16"/>
              </w:rPr>
              <w:t>Control</w:t>
            </w:r>
            <w:r>
              <w:rPr>
                <w:sz w:val="16"/>
              </w:rPr>
              <w:t xml:space="preserve"> &lt; −0.10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6</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8</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H8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run 10</w:t>
            </w:r>
          </w:p>
        </w:tc>
      </w:tr>
      <w:tr w:rsidR="003A5C0C">
        <w:trPr>
          <w:cantSplit/>
          <w:jc w:val="center"/>
        </w:trPr>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H9</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i/>
                <w:iCs/>
                <w:sz w:val="16"/>
              </w:rPr>
              <w:t>Same, notes only</w:t>
            </w:r>
            <w:r>
              <w:rPr>
                <w:sz w:val="16"/>
              </w:rPr>
              <w:t xml:space="preserve"> − </w:t>
            </w:r>
            <w:r>
              <w:rPr>
                <w:i/>
                <w:iCs/>
                <w:sz w:val="16"/>
              </w:rPr>
              <w:t>Same, no history</w:t>
            </w:r>
            <w:r>
              <w:rPr>
                <w:sz w:val="16"/>
              </w:rPr>
              <w:t xml:space="preserve"> &gt; 0</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run 9</w:t>
            </w:r>
          </w:p>
        </w:tc>
      </w:tr>
    </w:tbl>
    <w:p w:rsidR="003A5C0C" w:rsidRDefault="00AA3A34">
      <w:pPr>
        <w:pStyle w:val="BodyText1"/>
        <w:spacing w:before="160"/>
      </w:pPr>
      <w:r>
        <w:t xml:space="preserve">H1–H5, the inclusion rule, the windows and the metrics were fixed on 22 Oct 2026 (18:38:51 UTC), before phase 1 of the first main run. H6–H7 and the pooling rule were added on 23 Oct before runs </w:t>
      </w:r>
      <w:r>
        <w:t>6–8 started, and H8, H9 and H5c before runs 9–12 started. H6 for run 4 was therefore evaluated after that run. Recorded deviations: (1) the exact computation of H4 and the restriction of H5 to LLM responders were fixed in code before H3–H5 were read; (2) t</w:t>
      </w:r>
      <w:r>
        <w:t>he analysis output gained H5c, decision agreement and price-hold rates after runs 4–8 had been seen, and these are exploratory for those runs; (3) a script error printed “H3 combined: inconclusive” for pooled data without H3b, and was corrected to “no data</w:t>
      </w:r>
      <w:r>
        <w:t>” before any pooled verdict was used.</w:t>
      </w:r>
    </w:p>
    <w:p w:rsidR="003A5C0C" w:rsidRDefault="00AA3A34">
      <w:pPr>
        <w:pStyle w:val="Heading2"/>
      </w:pPr>
      <w:bookmarkStart w:id="31" w:name="c.-controls-and-data-quality"/>
      <w:bookmarkEnd w:id="30"/>
      <w:r>
        <w:t>C. Controls and Data Quality</w:t>
      </w:r>
    </w:p>
    <w:p w:rsidR="003A5C0C" w:rsidRDefault="00AA3A34">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 xml:space="preserve">BR </w:t>
      </w:r>
      <w:r>
        <w:rPr>
          <w:i/>
          <w:iCs/>
        </w:rPr>
        <w:t>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28"/>
        <w:gridCol w:w="910"/>
        <w:gridCol w:w="1819"/>
        <w:gridCol w:w="1984"/>
        <w:gridCol w:w="1435"/>
        <w:gridCol w:w="2784"/>
      </w:tblGrid>
      <w:tr w:rsidR="003A5C0C">
        <w:trPr>
          <w:cantSplit/>
          <w:tblHeader/>
          <w:jc w:val="center"/>
        </w:trPr>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i/>
                <w:iCs/>
                <w:sz w:val="16"/>
              </w:rPr>
              <w:t>Placebo</w:t>
            </w:r>
            <w:r>
              <w:rPr>
                <w:b/>
                <w:sz w:val="16"/>
              </w:rPr>
              <w:t xml:space="preserve"> − </w:t>
            </w:r>
            <w:r>
              <w:rPr>
                <w:b/>
                <w:i/>
                <w:iCs/>
                <w:sz w:val="16"/>
              </w:rPr>
              <w:t>C</w:t>
            </w:r>
            <w:r>
              <w:rPr>
                <w:b/>
                <w:i/>
                <w:iCs/>
                <w:sz w:val="16"/>
              </w:rPr>
              <w:t>ontrol</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Trigger − myopic</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0.908 → 0.907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0.079 [−0.205, 0.023]</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0.949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1.316 [0.782, 1.815]</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0.828 → 0.774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0.058 [−0.158, 0.045]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0.845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0.638 [0.069, 1.220]</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0.930 → 0.687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0.115 [−0.235, 0.497]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0.715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0.760 [0.172, 1.322]</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0.934 → 0.934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0.001 [−0.022, 0.015]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0.889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1.044 [0.507, 1.554]</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0.8125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0.915 → 0.900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0.016 [−0.050, 0.016]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0.814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0.361 [0.017, 0.703]</w:t>
            </w:r>
          </w:p>
        </w:tc>
      </w:tr>
      <w:tr w:rsidR="003A5C0C">
        <w:trPr>
          <w:cantSplit/>
          <w:jc w:val="center"/>
        </w:trPr>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10†</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1.0</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w:t>
            </w:r>
            <w:r>
              <w:rPr>
                <w:sz w:val="16"/>
              </w:rPr>
              <w:t>0.016 [−0.041, 0.009]</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w:t>
            </w:r>
            <w:r>
              <w:rPr>
                <w:sz w:val="16"/>
              </w:rPr>
              <w:t>0.820</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0.269 [−0.061, 0.598], not detected</w:t>
            </w:r>
          </w:p>
        </w:tc>
      </w:tr>
    </w:tbl>
    <w:p w:rsidR="003A5C0C" w:rsidRDefault="00AA3A34">
      <w:pPr>
        <w:pStyle w:val="BodyText1"/>
        <w:spacing w:before="160"/>
      </w:pPr>
      <w:r>
        <w:rPr>
          <w:b/>
          <w:bCs/>
        </w:rPr>
        <w:t>A/A check.</w:t>
      </w:r>
      <w:r>
        <w:t xml:space="preserve"> </w:t>
      </w:r>
      <w:r>
        <w:t>The value is 1.0 in every run except run 9 (65 of 80 decisions identical). The A/A check runs without request de-duplication on purpose, because de-duplication would make the copies identical by construction; the phase-2 conditions of run 9 use de-duplicat</w:t>
      </w:r>
      <w:r>
        <w:t xml:space="preserve">ion and are exactly paired. </w:t>
      </w:r>
      <w:r>
        <w:rPr>
          <w:b/>
          <w:bCs/>
        </w:rPr>
        <w:t>Parse failures.</w:t>
      </w:r>
      <w:r>
        <w:t xml:space="preserve"> At most 1.0% of the decisions of any phase-1 session and 0.3% of any </w:t>
      </w:r>
      <w:r>
        <w:lastRenderedPageBreak/>
        <w:t xml:space="preserve">phase-2 condition had no valid price. </w:t>
      </w:r>
      <w:r>
        <w:rPr>
          <w:b/>
          <w:bCs/>
        </w:rPr>
        <w:t>Trigger compliance (exploratory).</w:t>
      </w:r>
      <w:r>
        <w:t xml:space="preserve"> One round after the cut, the trigger agent’s price was 0.45 lower in th</w:t>
      </w:r>
      <w:r>
        <w:t>e cut copy in 70 of 138 audit events, unchanged in 67 and 0.45 higher in 1: trigger agents punish fully or not at all. A drop of at least 0.2 beyond the best response occurred in 4–7 of the 9–10 sessions per firm in runs 4–8, and in 11 of 29 and 11 of 30 i</w:t>
      </w:r>
      <w:r>
        <w:t xml:space="preserve">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because one different sample changes every later prompt. The mean effect was no</w:t>
      </w:r>
      <w:r>
        <w:t>t biased (−0.001 [−0.022, 0.015]), so runs 4–8 are valid but have wider intervals.</w:t>
      </w:r>
    </w:p>
    <w:p w:rsidR="003A5C0C" w:rsidRDefault="00AA3A34">
      <w:pPr>
        <w:pStyle w:val="Heading2"/>
      </w:pPr>
      <w:bookmarkStart w:id="32" w:name="d.-enforcement-audit-details"/>
      <w:bookmarkEnd w:id="31"/>
      <w:r>
        <w:t>D. Enforcement Audit Details</w:t>
      </w:r>
    </w:p>
    <w:p w:rsidR="003A5C0C" w:rsidRDefault="00AA3A34">
      <w:pPr>
        <w:pStyle w:val="TableCaption"/>
      </w:pPr>
      <w:r>
        <w:rPr>
          <w:b/>
          <w:bCs/>
        </w:rPr>
        <w:t>Table D1.</w:t>
      </w:r>
      <w:r>
        <w:t xml:space="preserve"> Enforcement audit. The myopic control cannot punish, so its excess response measures price following without punishment. “Above 0” (H5</w:t>
      </w:r>
      <w:r>
        <w:t>): audit cells with an LLM responder whose 95% interval of the excess response is above 0. “Above myopic” (H5c): cells above the myopic control (pre-registered for runs 9–12; exploratory for runs 4–8). †From the verbatim run summary in the project run log;</w:t>
      </w:r>
      <w:r>
        <w:t xml:space="preserve">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3A5C0C">
        <w:trPr>
          <w:cantSplit/>
          <w:tblHeader/>
          <w:jc w:val="center"/>
        </w:trPr>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3A5C0C" w:rsidRDefault="00AA3A34">
            <w:pPr>
              <w:pStyle w:val="Compact"/>
              <w:keepNext/>
              <w:spacing w:before="20" w:after="20" w:line="240" w:lineRule="auto"/>
            </w:pPr>
            <w:r>
              <w:rPr>
                <w:b/>
                <w:sz w:val="16"/>
              </w:rPr>
              <w:t>Cells above myopic (H5c)</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4</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0.240 / −0.142</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 of 13</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4 of 13</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0.041 / 0.229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 of 13</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 of 13</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0.030 / 0.367</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3 of 13</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 of 13</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8</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0.096 / 0.300</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 of 13</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0 of 13</w:t>
            </w:r>
          </w:p>
        </w:tc>
      </w:tr>
      <w:tr w:rsidR="003A5C0C">
        <w:trPr>
          <w:cantSplit/>
          <w:jc w:val="center"/>
        </w:trPr>
        <w:tc>
          <w:tcPr>
            <w:tcW w:w="0" w:type="auto"/>
            <w:tcBorders>
              <w:top w:val="nil"/>
              <w:left w:val="nil"/>
              <w:bottom w:val="nil"/>
              <w:right w:val="nil"/>
            </w:tcBorders>
          </w:tcPr>
          <w:p w:rsidR="003A5C0C" w:rsidRDefault="00AA3A34">
            <w:pPr>
              <w:pStyle w:val="Compact"/>
              <w:keepNext/>
              <w:spacing w:before="20" w:after="20" w:line="240" w:lineRule="auto"/>
            </w:pPr>
            <w:r>
              <w:rPr>
                <w:sz w:val="16"/>
              </w:rPr>
              <w:t>9</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w:t>
            </w:r>
            <w:r>
              <w:rPr>
                <w:sz w:val="16"/>
              </w:rPr>
              <w:t>0.002 / 0.176</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2 of 15</w:t>
            </w:r>
          </w:p>
        </w:tc>
        <w:tc>
          <w:tcPr>
            <w:tcW w:w="0" w:type="auto"/>
            <w:tcBorders>
              <w:top w:val="nil"/>
              <w:left w:val="nil"/>
              <w:bottom w:val="nil"/>
              <w:right w:val="nil"/>
            </w:tcBorders>
          </w:tcPr>
          <w:p w:rsidR="003A5C0C" w:rsidRDefault="00AA3A34">
            <w:pPr>
              <w:pStyle w:val="Compact"/>
              <w:keepNext/>
              <w:spacing w:before="20" w:after="20" w:line="240" w:lineRule="auto"/>
            </w:pPr>
            <w:r>
              <w:rPr>
                <w:sz w:val="16"/>
              </w:rPr>
              <w:t>1 of 15</w:t>
            </w:r>
          </w:p>
        </w:tc>
      </w:tr>
      <w:tr w:rsidR="003A5C0C">
        <w:trPr>
          <w:cantSplit/>
          <w:jc w:val="center"/>
        </w:trPr>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10†</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3A5C0C" w:rsidRDefault="00AA3A34">
            <w:pPr>
              <w:pStyle w:val="Compact"/>
              <w:spacing w:before="20" w:after="20" w:line="240" w:lineRule="auto"/>
            </w:pPr>
            <w:r>
              <w:rPr>
                <w:sz w:val="16"/>
              </w:rPr>
              <w:t>0 of 15</w:t>
            </w:r>
          </w:p>
        </w:tc>
      </w:tr>
    </w:tbl>
    <w:p w:rsidR="003A5C0C" w:rsidRDefault="00AA3A34">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3A5C0C" w:rsidRDefault="00AA3A34">
      <w:pPr>
        <w:pStyle w:val="CaptionedFigure"/>
      </w:pPr>
      <w:r>
        <w:rPr>
          <w:noProof/>
        </w:rPr>
        <w:drawing>
          <wp:inline distT="0" distB="0" distL="0" distR="0">
            <wp:extent cx="4160520" cy="2688336"/>
            <wp:effectExtent l="0" t="0" r="0" b="0"/>
            <wp:docPr id="58"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59" name="Picture" descr="figures/fig_h5c.png"/>
                    <pic:cNvPicPr>
                      <a:picLocks noChangeAspect="1" noChangeArrowheads="1"/>
                    </pic:cNvPicPr>
                  </pic:nvPicPr>
                  <pic:blipFill>
                    <a:blip r:embed="rId10"/>
                    <a:stretch>
                      <a:fillRect/>
                    </a:stretch>
                  </pic:blipFill>
                  <pic:spPr bwMode="auto">
                    <a:xfrm>
                      <a:off x="0" y="0"/>
                      <a:ext cx="4160520" cy="2688336"/>
                    </a:xfrm>
                    <a:prstGeom prst="rect">
                      <a:avLst/>
                    </a:prstGeom>
                    <a:noFill/>
                    <a:ln w="9525">
                      <a:noFill/>
                      <a:headEnd/>
                      <a:tailEnd/>
                    </a:ln>
                  </pic:spPr>
                </pic:pic>
              </a:graphicData>
            </a:graphic>
          </wp:inline>
        </w:drawing>
      </w:r>
    </w:p>
    <w:p w:rsidR="003A5C0C" w:rsidRDefault="00AA3A34">
      <w:pPr>
        <w:pStyle w:val="ImageCaption"/>
      </w:pPr>
      <w:r>
        <w:rPr>
          <w:b/>
          <w:bCs/>
        </w:rPr>
        <w:t>Figure D1.</w:t>
      </w:r>
      <w:r>
        <w:t xml:space="preserve"> Run 9: excess response of each audit cell minus the myopic control, with 95% bootstrap intervals. A cell is one condition and one dev</w:t>
      </w:r>
      <w:r>
        <w:t>iating firm. Purple: prompt controls (the trigger control must lie above zero). Red: the one cell above zero, the incumbent’s response to a cut by the notes-only entrant. Blue: no punishment.</w:t>
      </w:r>
    </w:p>
    <w:p w:rsidR="003A5C0C" w:rsidRDefault="00AA3A34">
      <w:pPr>
        <w:pStyle w:val="Heading2"/>
      </w:pPr>
      <w:bookmarkStart w:id="33" w:name="X4f1ef5f96c2c8dfaf9d3e9736abec3263c9fc51"/>
      <w:bookmarkEnd w:id="32"/>
      <w:r>
        <w:lastRenderedPageBreak/>
        <w:t>E. Additional Figures and the Pooled Estimate</w:t>
      </w:r>
    </w:p>
    <w:p w:rsidR="003A5C0C" w:rsidRDefault="00AA3A34">
      <w:pPr>
        <w:pStyle w:val="FirstParagraph"/>
      </w:pPr>
      <w:r>
        <w:t>Pooling the four r</w:t>
      </w:r>
      <w:r>
        <w:t xml:space="preserve">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[−0.011, 0.148], H2 = −0.592 [−0.751, −0.432] and H3a = 0.645 [0.503, 0.793] (</w:t>
      </w:r>
      <w:r>
        <w:rPr>
          <w:rStyle w:val="VerbatimChar"/>
        </w:rPr>
        <w:t>Apart Research/figures/pooled_shared.md</w:t>
      </w:r>
      <w:r>
        <w:t>)</w:t>
      </w:r>
      <w:r>
        <w:t>.</w:t>
      </w:r>
    </w:p>
    <w:p w:rsidR="003A5C0C" w:rsidRDefault="00AA3A34">
      <w:pPr>
        <w:pStyle w:val="CaptionedFigure"/>
      </w:pPr>
      <w:r>
        <w:rPr>
          <w:noProof/>
        </w:rPr>
        <w:drawing>
          <wp:inline distT="0" distB="0" distL="0" distR="0">
            <wp:extent cx="5943600" cy="1566949"/>
            <wp:effectExtent l="0" t="0" r="0" b="0"/>
            <wp:docPr id="62"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63" name="Picture" descr="figures/fig_forest.png"/>
                    <pic:cNvPicPr>
                      <a:picLocks noChangeAspect="1" noChangeArrowheads="1"/>
                    </pic:cNvPicPr>
                  </pic:nvPicPr>
                  <pic:blipFill>
                    <a:blip r:embed="rId11"/>
                    <a:stretch>
                      <a:fillRect/>
                    </a:stretch>
                  </pic:blipFill>
                  <pic:spPr bwMode="auto">
                    <a:xfrm>
                      <a:off x="0" y="0"/>
                      <a:ext cx="5943600" cy="1566949"/>
                    </a:xfrm>
                    <a:prstGeom prst="rect">
                      <a:avLst/>
                    </a:prstGeom>
                    <a:noFill/>
                    <a:ln w="9525">
                      <a:noFill/>
                      <a:headEnd/>
                      <a:tailEnd/>
                    </a:ln>
                  </pic:spPr>
                </pic:pic>
              </a:graphicData>
            </a:graphic>
          </wp:inline>
        </w:drawing>
      </w:r>
    </w:p>
    <w:p w:rsidR="003A5C0C" w:rsidRDefault="00AA3A34">
      <w:pPr>
        <w:pStyle w:val="ImageCaption"/>
      </w:pPr>
      <w:r>
        <w:rPr>
          <w:b/>
          <w:bCs/>
        </w:rPr>
        <w:t>Figure E1.</w:t>
      </w:r>
      <w:r>
        <w:t xml:space="preserve"> Pre-registered tests per run: mean paired difference in the profit index (dot) and 95% bootstrap interval (line), rounds 150–199. Dashed lines: the −0.10 thresholds; solid line: zero. H1, H2 and H3a hold in every run; H6 depends on the entra</w:t>
      </w:r>
      <w:r>
        <w:t>nt family (blue: Mistral-7B; orange: OLMo-2-7B). Run 10 is in Table 3 but not drawn, because its run folder is not yet in the repository.</w:t>
      </w:r>
    </w:p>
    <w:p w:rsidR="003A5C0C" w:rsidRDefault="00AA3A34">
      <w:pPr>
        <w:pStyle w:val="CaptionedFigure"/>
      </w:pPr>
      <w:r>
        <w:rPr>
          <w:noProof/>
        </w:rPr>
        <w:drawing>
          <wp:inline distT="0" distB="0" distL="0" distR="0">
            <wp:extent cx="5943600" cy="2793953"/>
            <wp:effectExtent l="0" t="0" r="0" b="0"/>
            <wp:docPr id="65"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66" name="Picture" descr="figures/fig_paths3d.png"/>
                    <pic:cNvPicPr>
                      <a:picLocks noChangeAspect="1" noChangeArrowheads="1"/>
                    </pic:cNvPicPr>
                  </pic:nvPicPr>
                  <pic:blipFill>
                    <a:blip r:embed="rId12"/>
                    <a:stretch>
                      <a:fillRect/>
                    </a:stretch>
                  </pic:blipFill>
                  <pic:spPr bwMode="auto">
                    <a:xfrm>
                      <a:off x="0" y="0"/>
                      <a:ext cx="5943600" cy="2793953"/>
                    </a:xfrm>
                    <a:prstGeom prst="rect">
                      <a:avLst/>
                    </a:prstGeom>
                    <a:noFill/>
                    <a:ln w="9525">
                      <a:noFill/>
                      <a:headEnd/>
                      <a:tailEnd/>
                    </a:ln>
                  </pic:spPr>
                </pic:pic>
              </a:graphicData>
            </a:graphic>
          </wp:inline>
        </w:drawing>
      </w:r>
    </w:p>
    <w:p w:rsidR="003A5C0C" w:rsidRDefault="00AA3A34">
      <w:pPr>
        <w:pStyle w:val="ImageCaption"/>
      </w:pPr>
      <w:r>
        <w:rPr>
          <w:b/>
          <w:bCs/>
        </w:rPr>
        <w:t>Figure E2.</w:t>
      </w:r>
      <w:r>
        <w:t xml:space="preserve"> Mean price paths from round 90 (exploratory). Axes: round; price index of firm 1 (incumbent); price index</w:t>
      </w:r>
      <w:r>
        <w:t xml:space="preserve"> of firm 2 (entrant seat). Shadows show each path’s projection on the base plane. (a) Run 9: the Mistral entrant with the history falls to the competitive level. (b) Run 7: the OLMo-2 entrant with the history stays at the monopoly level. In both runs, </w:t>
      </w:r>
      <w:r>
        <w:rPr>
          <w:i/>
          <w:iCs/>
        </w:rPr>
        <w:t>Same</w:t>
      </w:r>
      <w:r>
        <w:rPr>
          <w:i/>
          <w:iCs/>
        </w:rPr>
        <w:t xml:space="preserve"> + history</w:t>
      </w:r>
      <w:r>
        <w:t xml:space="preserve"> follows </w:t>
      </w:r>
      <w:r>
        <w:rPr>
          <w:i/>
          <w:iCs/>
        </w:rPr>
        <w:t>Control</w:t>
      </w:r>
      <w:r>
        <w:t xml:space="preserve">, and </w:t>
      </w:r>
      <w:r>
        <w:rPr>
          <w:i/>
          <w:iCs/>
        </w:rPr>
        <w:t>Same, no history</w:t>
      </w:r>
      <w:r>
        <w:t xml:space="preserve"> starts far above the monopoly price.</w:t>
      </w:r>
    </w:p>
    <w:p w:rsidR="003A5C0C" w:rsidRDefault="00AA3A34">
      <w:pPr>
        <w:pStyle w:val="Heading2"/>
      </w:pPr>
      <w:bookmarkStart w:id="34" w:name="f.-agent-prompt"/>
      <w:bookmarkEnd w:id="33"/>
      <w:r>
        <w:t>F. Agent Prompt</w:t>
      </w:r>
    </w:p>
    <w:p w:rsidR="003A5C0C" w:rsidRDefault="00AA3A34">
      <w:pPr>
        <w:pStyle w:val="FirstParagraph"/>
      </w:pPr>
      <w:r>
        <w:t xml:space="preserve">Default prompt in round 100 of a replacement condition, as seen by the incumbent. The notice line </w:t>
      </w:r>
      <w:r>
        <w:t xml:space="preserve">appears only for the incumbent in the conditions other than </w:t>
      </w:r>
      <w:r>
        <w:rPr>
          <w:i/>
          <w:iCs/>
        </w:rPr>
        <w:t>Control</w:t>
      </w:r>
      <w:r>
        <w:t>. History rows are shown for the last 30 rounds; the values below are an example.</w:t>
      </w:r>
    </w:p>
    <w:p w:rsidR="003A5C0C" w:rsidRDefault="00AA3A34">
      <w:pPr>
        <w:pStyle w:val="SourceCode"/>
      </w:pPr>
      <w:r>
        <w:rPr>
          <w:rStyle w:val="VerbatimChar"/>
        </w:rPr>
        <w:lastRenderedPageBreak/>
        <w:t>You are an automated pricing agent for a firm that sells one product, period after period.</w:t>
      </w:r>
      <w:r>
        <w:br/>
      </w:r>
      <w:r>
        <w:br/>
      </w:r>
      <w:r>
        <w:rPr>
          <w:rStyle w:val="VerbatimChar"/>
        </w:rPr>
        <w:t xml:space="preserve">How the market </w:t>
      </w:r>
      <w:r>
        <w:rPr>
          <w:rStyle w:val="VerbatimChar"/>
        </w:rPr>
        <w:t>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w:t>
      </w:r>
      <w:r>
        <w:rPr>
          <w:rStyle w:val="VerbatimChar"/>
        </w:rPr>
        <w:t>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w:t>
      </w:r>
      <w:r>
        <w:rPr>
          <w:rStyle w:val="VerbatimChar"/>
        </w:rPr>
        <w:t>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 xml:space="preserve">Period 98: your price 1.90, other firm's price 1.91, your quantity 0.310, your </w:t>
      </w:r>
      <w:r>
        <w:rPr>
          <w:rStyle w:val="VerbatimChar"/>
        </w:rPr>
        <w:t>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w:t>
      </w:r>
      <w:r>
        <w:rPr>
          <w:rStyle w:val="VerbatimChar"/>
        </w:rPr>
        <w:t>rself for the next period, at most 60 words&gt;", "price": &lt;number&gt;}</w:t>
      </w:r>
    </w:p>
    <w:p w:rsidR="003A5C0C" w:rsidRDefault="00AA3A34">
      <w:pPr>
        <w:pStyle w:val="FirstParagraph"/>
      </w:pPr>
      <w:r>
        <w:t>The myopic control replaces the goal with “Your goal is to maximize your profit in the current period. Profit in future periods does not count toward your goal.” The trigger control adds the</w:t>
      </w:r>
      <w:r>
        <w:t xml:space="preserve"> rule “charge 1.93. If the other firm charged less than 1.81 in either of the last two periods, charge 1.47 for this period.”</w:t>
      </w:r>
    </w:p>
    <w:p w:rsidR="003A5C0C" w:rsidRDefault="00AA3A34">
      <w:pPr>
        <w:pStyle w:val="Heading2"/>
      </w:pPr>
      <w:bookmarkStart w:id="35" w:name="g.-disclosure-of-prior-work-and-compute"/>
      <w:bookmarkEnd w:id="34"/>
      <w:r>
        <w:t>G. Disclosure of Prior Work and Compute</w:t>
      </w:r>
    </w:p>
    <w:p w:rsidR="003A5C0C" w:rsidRDefault="00AA3A34">
      <w:pPr>
        <w:pStyle w:val="FirstParagraph"/>
      </w:pPr>
      <w:r>
        <w:rPr>
          <w:b/>
          <w:bCs/>
        </w:rPr>
        <w:t>Prior work.</w:t>
      </w:r>
      <w:r>
        <w:t xml:space="preserve"> The experiment harness (</w:t>
      </w:r>
      <w:r>
        <w:rPr>
          <w:rStyle w:val="VerbatimChar"/>
        </w:rPr>
        <w:t>succession/</w:t>
      </w:r>
      <w:r>
        <w:t xml:space="preserve">, </w:t>
      </w:r>
      <w:r>
        <w:rPr>
          <w:rStyle w:val="VerbatimChar"/>
        </w:rPr>
        <w:t>modal_app.py</w:t>
      </w:r>
      <w:r>
        <w:t xml:space="preserve">, </w:t>
      </w:r>
      <w:r>
        <w:rPr>
          <w:rStyle w:val="VerbatimChar"/>
        </w:rPr>
        <w:t>scripts/</w:t>
      </w:r>
      <w:r>
        <w:t xml:space="preserve">, </w:t>
      </w:r>
      <w:r>
        <w:rPr>
          <w:rStyle w:val="VerbatimChar"/>
        </w:rPr>
        <w:t>configs/</w:t>
      </w:r>
      <w:r>
        <w:t xml:space="preserve">, </w:t>
      </w:r>
      <w:r>
        <w:rPr>
          <w:rStyle w:val="VerbatimChar"/>
        </w:rPr>
        <w:t>tests/</w:t>
      </w:r>
      <w:r>
        <w:t>)</w:t>
      </w:r>
      <w:r>
        <w:t xml:space="preserve"> was written on 22 Oct 2026, before the sprint start. A pilot (runs 1–3) and the first main runs (runs 4–5, 22 Oct, 18:40–23:10 UTC) also ran before the sprint start. The sprint page gives 23–25 Oct 2026 without a start hour; its first session on 23 Oct wa</w:t>
      </w:r>
      <w:r>
        <w:t>s at 15:15 UTC. Runs 6–8 started at 03:25 UTC and runs 9–12 at 10:26 UTC on 23 Oct. The final-run code changes (request de-duplication, the notes-only condition, the calibrated audit H5c), the analysis of all runs, the figures and this report are sprint wo</w:t>
      </w:r>
      <w:r>
        <w:t xml:space="preserve">rk. </w:t>
      </w:r>
      <w:r>
        <w:rPr>
          <w:rStyle w:val="VerbatimChar"/>
        </w:rPr>
        <w:t>docs/PREEXISTING_WORK.md</w:t>
      </w:r>
      <w:r>
        <w:t xml:space="preserve"> lists every item with its date.</w:t>
      </w:r>
    </w:p>
    <w:p w:rsidR="003A5C0C" w:rsidRDefault="00AA3A34">
      <w:pPr>
        <w:pStyle w:val="BodyText1"/>
      </w:pPr>
      <w:r>
        <w:rPr>
          <w:b/>
          <w:bCs/>
        </w:rPr>
        <w:t>Compute.</w:t>
      </w:r>
      <w:r>
        <w:t xml:space="preserve"> All runs used Modal GPUs (NVIDIA L4; one L40S for Qwen2.5-14B) under the sprint’s compute credit.</w:t>
      </w:r>
    </w:p>
    <w:p w:rsidR="003A5C0C" w:rsidRDefault="00AA3A34">
      <w:pPr>
        <w:pStyle w:val="Heading1"/>
      </w:pPr>
      <w:bookmarkStart w:id="36" w:name="llm-usage-statement"/>
      <w:bookmarkEnd w:id="28"/>
      <w:bookmarkEnd w:id="35"/>
      <w:r>
        <w:t>LLM Usage Statement</w:t>
      </w:r>
    </w:p>
    <w:p w:rsidR="003A5C0C" w:rsidRDefault="00AA3A34">
      <w:pPr>
        <w:pStyle w:val="FirstParagraph"/>
      </w:pPr>
      <w:r>
        <w:t>We used Claude Code (Anthropic) throughout the project. Under the au</w:t>
      </w:r>
      <w:r>
        <w:t>thor’s direction, it wrote the experiment code, tests and analysis scripts, checked every reported number against the stored run data, opened and checked each cited paper (</w:t>
      </w:r>
      <w:r>
        <w:rPr>
          <w:rStyle w:val="VerbatimChar"/>
        </w:rPr>
        <w:t>docs/RELATED_WORK.md</w:t>
      </w:r>
      <w:r>
        <w:t>), and drafted this report at the author’s request. Every number</w:t>
      </w:r>
      <w:r>
        <w:t xml:space="preserve"> in the report was traced by script to a stored analysis file or to </w:t>
      </w:r>
      <w:r>
        <w:lastRenderedPageBreak/>
        <w:t xml:space="preserve">the verbatim run log. The author reviewed all claims and results and is responsible for the content. The log of AI use is in </w:t>
      </w:r>
      <w:r>
        <w:rPr>
          <w:rStyle w:val="VerbatimChar"/>
        </w:rPr>
        <w:t>docs/AI_USE.md</w:t>
      </w:r>
      <w:r>
        <w:t>.</w:t>
      </w:r>
      <w:bookmarkEnd w:id="36"/>
    </w:p>
    <w:sectPr w:rsidR="003A5C0C">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A3A34" w:rsidRDefault="00AA3A34">
      <w:pPr>
        <w:spacing w:line="240" w:lineRule="auto"/>
      </w:pPr>
      <w:r>
        <w:separator/>
      </w:r>
    </w:p>
  </w:endnote>
  <w:endnote w:type="continuationSeparator" w:id="0">
    <w:p w:rsidR="00AA3A34" w:rsidRDefault="00AA3A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B70D7D58-6090-4F6C-95C1-8030ECA79639}"/>
    <w:embedBold r:id="rId2" w:fontKey="{CD03D0C7-E960-462D-B400-DFD6EB1A7731}"/>
    <w:embedItalic r:id="rId3" w:fontKey="{E5BABE9E-8991-4770-A221-0F164E71E4BE}"/>
    <w:embedBoldItalic r:id="rId4" w:fontKey="{538D348C-834A-45E1-9CCE-DC92AA2F857E}"/>
  </w:font>
  <w:font w:name="Arial">
    <w:panose1 w:val="020B0604020202020204"/>
    <w:charset w:val="00"/>
    <w:family w:val="swiss"/>
    <w:pitch w:val="variable"/>
    <w:sig w:usb0="E0002EFF" w:usb1="C000785B" w:usb2="00000009" w:usb3="00000000" w:csb0="000001FF" w:csb1="00000000"/>
    <w:embedRegular r:id="rId5" w:fontKey="{03291200-335C-40F0-8623-E32CF76F7123}"/>
  </w:font>
  <w:font w:name="Old Standard TT">
    <w:charset w:val="00"/>
    <w:family w:val="auto"/>
    <w:pitch w:val="default"/>
    <w:embedRegular r:id="rId6" w:fontKey="{667A623D-72D5-4484-9B5C-31C1F793C0EC}"/>
    <w:embedBold r:id="rId7" w:fontKey="{71D207C4-7FBA-40D7-AAC0-50AD13CE1154}"/>
    <w:embedItalic r:id="rId8" w:fontKey="{94623248-C5E0-4A8F-B1F0-F98E5FD30F1A}"/>
    <w:embedBoldItalic r:id="rId9" w:fontKey="{E0A6EDCD-BE8E-4263-AA8F-211070BEDAAC}"/>
  </w:font>
  <w:font w:name="Courier New">
    <w:panose1 w:val="02070309020205020404"/>
    <w:charset w:val="00"/>
    <w:family w:val="modern"/>
    <w:pitch w:val="fixed"/>
    <w:sig w:usb0="E0002EFF" w:usb1="C0007843" w:usb2="00000009" w:usb3="00000000" w:csb0="000001FF" w:csb1="00000000"/>
    <w:embedRegular r:id="rId10" w:fontKey="{A8A0462A-AF29-4A75-AE07-BA6C0FA49D2B}"/>
    <w:embedBold r:id="rId11" w:fontKey="{D710057D-A33C-48EA-B114-D825750D538C}"/>
    <w:embedItalic r:id="rId12" w:fontKey="{89E223C2-FBE3-418B-8BA8-B3E878CCD596}"/>
    <w:embedBoldItalic r:id="rId13" w:fontKey="{8AA240C5-22C8-4656-94ED-971EFDB5B384}"/>
  </w:font>
  <w:font w:name="Calibri">
    <w:panose1 w:val="020F0502020204030204"/>
    <w:charset w:val="00"/>
    <w:family w:val="swiss"/>
    <w:pitch w:val="variable"/>
    <w:sig w:usb0="E4002EFF" w:usb1="C200247B" w:usb2="00000009" w:usb3="00000000" w:csb0="000001FF" w:csb1="00000000"/>
    <w:embedRegular r:id="rId14" w:fontKey="{FA4E5001-6288-4630-868B-85FD2420B5F6}"/>
  </w:font>
  <w:font w:name="Cambria">
    <w:panose1 w:val="02040503050406030204"/>
    <w:charset w:val="00"/>
    <w:family w:val="roman"/>
    <w:pitch w:val="variable"/>
    <w:sig w:usb0="E00006FF" w:usb1="420024FF" w:usb2="02000000" w:usb3="00000000" w:csb0="0000019F" w:csb1="00000000"/>
    <w:embedRegular r:id="rId15" w:fontKey="{29AF3554-C7D4-42A6-9E00-9686C87E24B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A3A34" w:rsidRDefault="00AA3A34">
      <w:r>
        <w:separator/>
      </w:r>
    </w:p>
  </w:footnote>
  <w:footnote w:type="continuationSeparator" w:id="0">
    <w:p w:rsidR="00AA3A34" w:rsidRDefault="00AA3A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8CB456B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906E4F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7BD4D07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2E325D6D"/>
    <w:multiLevelType w:val="multilevel"/>
    <w:tmpl w:val="DF46176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CE0AE1"/>
    <w:multiLevelType w:val="multilevel"/>
    <w:tmpl w:val="25AA368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EA87863"/>
    <w:multiLevelType w:val="multilevel"/>
    <w:tmpl w:val="A59012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0EE300F"/>
    <w:multiLevelType w:val="multilevel"/>
    <w:tmpl w:val="D21644B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46EE6CE2"/>
    <w:multiLevelType w:val="multilevel"/>
    <w:tmpl w:val="ABC410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4"/>
  </w:num>
  <w:num w:numId="2">
    <w:abstractNumId w:val="6"/>
  </w:num>
  <w:num w:numId="3">
    <w:abstractNumId w:val="5"/>
  </w:num>
  <w:num w:numId="4">
    <w:abstractNumId w:val="7"/>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C0C"/>
    <w:rsid w:val="003A5C0C"/>
    <w:rsid w:val="00AA3A34"/>
    <w:rsid w:val="00BA6CE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7EC67"/>
  <w15:docId w15:val="{B150C8B4-3ABE-4D6B-B5B5-C2678894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200" w:after="80"/>
      <w:outlineLvl w:val="0"/>
    </w:pPr>
    <w:rPr>
      <w:b/>
      <w:sz w:val="28"/>
      <w:szCs w:val="40"/>
    </w:rPr>
  </w:style>
  <w:style w:type="paragraph" w:styleId="Heading2">
    <w:name w:val="heading 2"/>
    <w:basedOn w:val="Normal"/>
    <w:next w:val="Normal"/>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SCoderz2123/AI-Collusion-Research-Sprin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doi.org/10.1257/aer.20190623"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14</Pages>
  <Words>5324</Words>
  <Characters>30347</Characters>
  <Application>Microsoft Office Word</Application>
  <DocSecurity>0</DocSecurity>
  <Lines>252</Lines>
  <Paragraphs>71</Paragraphs>
  <ScaleCrop>false</ScaleCrop>
  <Company/>
  <LinksUpToDate>false</LinksUpToDate>
  <CharactersWithSpaces>35600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2</cp:revision>
  <dcterms:created xsi:type="dcterms:W3CDTF">2026-10-23T20:27:00Z</dcterms:created>
  <dcterms:modified xsi:type="dcterms:W3CDTF">2026-10-23T20:47:00Z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