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2"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3" w:name="methods"/>
      <w:bookmarkEnd w:id="2"/>
      <w:r>
        <w:t>3. Methods</w:t>
      </w:r>
    </w:p>
    <w:p w:rsidR="00817ED7" w:rsidRDefault="00A02600">
      <w:pPr>
        <w:pStyle w:val="Heading2"/>
      </w:pPr>
      <w:bookmarkStart w:id="4"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817ED7" w:rsidRDefault="00A02600">
      <w:pPr>
        <w:pStyle w:val="BodyText1"/>
        <w:jc w:val="center"/>
      </w:pPr>
      <w:r>
        <w:rPr>
          <w:noProof/>
        </w:rPr>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mhz__dhr/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817ED7" w:rsidRDefault="00A02600">
      <w:pPr>
        <w:pStyle w:val="BodyText1"/>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mhz__dhr/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5" w:name="experimental-design"/>
      <w:bookmarkEnd w:id="4"/>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6" w:name="pairing-statistics-and-enforcement-audit"/>
      <w:bookmarkEnd w:id="5"/>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817ED7" w:rsidRDefault="00A02600">
      <w:pPr>
        <w:pStyle w:val="BodyText1"/>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mhz__dhr/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817ED7" w:rsidRDefault="00A02600">
      <w:pPr>
        <w:pStyle w:val="BodyText1"/>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mhz__dhr/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7" w:name="results"/>
      <w:bookmarkEnd w:id="3"/>
      <w:bookmarkEnd w:id="6"/>
      <w:r>
        <w:lastRenderedPageBreak/>
        <w:t>4. Results</w:t>
      </w:r>
    </w:p>
    <w:p w:rsidR="00817ED7" w:rsidRDefault="00A02600">
      <w:pPr>
        <w:pStyle w:val="Heading2"/>
      </w:pPr>
      <w:bookmarkStart w:id="8"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9" w:name="the-price-history-carries-the-cartel"/>
      <w:bookmarkEnd w:id="8"/>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0" w:name="what-each-entrant-does-run-9-in-detail"/>
      <w:bookmarkEnd w:id="9"/>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w:t>
      </w:r>
      <w:r>
        <w:lastRenderedPageBreak/>
        <w:t xml:space="preserve">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r>
    </w:tbl>
    <w:p w:rsidR="00817ED7" w:rsidRDefault="00A02600">
      <w:pPr>
        <w:pStyle w:val="Heading2"/>
      </w:pPr>
      <w:bookmarkStart w:id="11" w:name="X6817296e3fddf870ef7a203c0d2fb0019e4f1f5"/>
      <w:bookmarkEnd w:id="10"/>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w:t>
      </w:r>
      <w:r>
        <w:lastRenderedPageBreak/>
        <w:t>response when firm 2 cuts (0.176–0.367 in runs 6–9). After calibration (H5c), no cell shows punishment in runs 6–8 and one does in run 9: the incumbent’s response to a cut by the notes-only 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2" w:name="when-there-is-no-cartel-to-inherit"/>
      <w:bookmarkEnd w:id="11"/>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3" w:name="discussion-and-limitations"/>
      <w:bookmarkEnd w:id="7"/>
      <w:bookmarkEnd w:id="12"/>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4"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w:t>
      </w:r>
      <w:r>
        <w:lastRenderedPageBreak/>
        <w:t xml:space="preserve">Trigger agents followed their rule in about 37–70% of sessions, which limits audit power; in run 10 the positive control failed. The OLMo-2 inertia account is descriptive, not causal. </w:t>
      </w:r>
      <w:r>
        <w:rPr>
          <w:b/>
          <w:bCs/>
        </w:rPr>
        <w:t>Statistics.</w:t>
      </w:r>
      <w:r>
        <w:t xml:space="preserve"> 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5" w:name="future-work"/>
      <w:bookmarkEnd w:id="14"/>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6" w:name="conclusion"/>
      <w:bookmarkEnd w:id="13"/>
      <w:bookmarkEnd w:id="15"/>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7" w:name="code-and-data"/>
      <w:bookmarkEnd w:id="16"/>
      <w:r>
        <w:t>Code and Data</w:t>
      </w:r>
    </w:p>
    <w:p w:rsidR="00817ED7" w:rsidRDefault="00A02600">
      <w:pPr>
        <w:pStyle w:val="Compact"/>
        <w:numPr>
          <w:ilvl w:val="0"/>
          <w:numId w:val="8"/>
        </w:numPr>
      </w:pPr>
      <w:r>
        <w:rPr>
          <w:b/>
          <w:bCs/>
        </w:rPr>
        <w:t>Code, data, slides:</w:t>
      </w:r>
      <w:r>
        <w:t xml:space="preserve"> </w:t>
      </w:r>
    </w:p>
    <w:p w:rsidR="00817ED7" w:rsidRDefault="00A02600">
      <w:pPr>
        <w:pStyle w:val="Heading1"/>
      </w:pPr>
      <w:bookmarkStart w:id="18" w:name="author-contributions"/>
      <w:bookmarkEnd w:id="17"/>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19" w:name="references"/>
      <w:bookmarkEnd w:id="18"/>
      <w:r>
        <w:lastRenderedPageBreak/>
        <w:t>References</w:t>
      </w:r>
    </w:p>
    <w:p w:rsidR="00817ED7" w:rsidRDefault="00A02600">
      <w:pPr>
        <w:pStyle w:val="Bibliography1"/>
      </w:pPr>
      <w:bookmarkStart w:id="20" w:name="ref-arslan2026persistent"/>
      <w:bookmarkStart w:id="21" w:name="refs"/>
      <w:r>
        <w:t xml:space="preserve">Arslan, Paul-Peter, Yubin Kim, and Xiao Xiao. 2026. “Persistent Partners Raise Prices Among Learning Agents.” </w:t>
      </w:r>
      <w:r>
        <w:rPr>
          <w:i/>
          <w:iCs/>
        </w:rPr>
        <w:t>arXiv Preprint arXiv:2609.35402</w:t>
      </w:r>
      <w:r>
        <w:t>.</w:t>
      </w:r>
    </w:p>
    <w:p w:rsidR="00817ED7" w:rsidRDefault="00A02600">
      <w:pPr>
        <w:pStyle w:val="Bibliography1"/>
      </w:pPr>
      <w:bookmarkStart w:id="22" w:name="ref-calvano2020artificial"/>
      <w:bookmarkEnd w:id="20"/>
      <w:r>
        <w:t xml:space="preserve">Calvano, Emilio, Giacomo Calzolari, Vincenzo Denicolò, and Sergio Pastorello. 2020. “Artificial Intelligence, Algorithmic Pricing, and Collusion.” </w:t>
      </w:r>
      <w:r>
        <w:rPr>
          <w:i/>
          <w:iCs/>
        </w:rPr>
        <w:t>American Economic Review</w:t>
      </w:r>
      <w:r>
        <w:t xml:space="preserve"> 110 (10): 3267–97. </w:t>
      </w:r>
      <w:hyperlink r:id="rId12">
        <w:r>
          <w:rPr>
            <w:rStyle w:val="Hyperlink1"/>
          </w:rPr>
          <w:t>https://doi.org/10.1257/aer.20190623</w:t>
        </w:r>
      </w:hyperlink>
      <w:r>
        <w:t>.</w:t>
      </w:r>
    </w:p>
    <w:p w:rsidR="00817ED7" w:rsidRDefault="00A02600">
      <w:pPr>
        <w:pStyle w:val="Bibliography1"/>
      </w:pPr>
      <w:bookmarkStart w:id="23" w:name="ref-fish2024algorithmic"/>
      <w:bookmarkEnd w:id="22"/>
      <w:r>
        <w:t xml:space="preserve">Fish, Sara, Yannai A. Gonczarowski, and Ran I. Shorrer. 2024. “Algorithmic Collusion by Large Language Models.” </w:t>
      </w:r>
      <w:r>
        <w:rPr>
          <w:i/>
          <w:iCs/>
        </w:rPr>
        <w:t>arXiv Preprint arXiv:2404.00806</w:t>
      </w:r>
      <w:r>
        <w:t>.</w:t>
      </w:r>
    </w:p>
    <w:p w:rsidR="00817ED7" w:rsidRDefault="00A02600">
      <w:pPr>
        <w:pStyle w:val="Bibliography1"/>
      </w:pPr>
      <w:bookmarkStart w:id="24" w:name="ref-gao2026interchangeability"/>
      <w:bookmarkEnd w:id="23"/>
      <w:r>
        <w:t xml:space="preserve">Gao, Jianxin, Tianyi Yu, Linna Deng, Runze Li, and Zining Wang. 2026. “Testing Interchangeability in LLM Agent Teams.” </w:t>
      </w:r>
      <w:r>
        <w:rPr>
          <w:i/>
          <w:iCs/>
        </w:rPr>
        <w:t>arXiv Preprint arXiv:2609.05279</w:t>
      </w:r>
      <w:r>
        <w:t>.</w:t>
      </w:r>
    </w:p>
    <w:p w:rsidR="00817ED7" w:rsidRDefault="00A02600">
      <w:pPr>
        <w:pStyle w:val="Bibliography1"/>
      </w:pPr>
      <w:bookmarkStart w:id="25" w:name="ref-keppo2026fragility"/>
      <w:bookmarkEnd w:id="24"/>
      <w:r>
        <w:t xml:space="preserve">Keppo, Jussi, Yuze Li, Gerry Tsoukalas, and Nuo Yuan. 2026. “On the Fragility of AI Agent Collusion.” </w:t>
      </w:r>
      <w:r>
        <w:rPr>
          <w:i/>
          <w:iCs/>
        </w:rPr>
        <w:t>arXiv Preprint arXiv:2603.20281</w:t>
      </w:r>
      <w:r>
        <w:t>.</w:t>
      </w:r>
    </w:p>
    <w:p w:rsidR="00817ED7" w:rsidRDefault="00A02600">
      <w:pPr>
        <w:pStyle w:val="Bibliography1"/>
      </w:pPr>
      <w:bookmarkStart w:id="26" w:name="ref-lee2026leads"/>
      <w:bookmarkEnd w:id="25"/>
      <w:r>
        <w:t xml:space="preserve">Lee, Jun Yeong. 2026. “Who Leads and Who Collects: Algorithmic Collusion in Markets of Heterogeneous Language Models.” </w:t>
      </w:r>
      <w:r>
        <w:rPr>
          <w:i/>
          <w:iCs/>
        </w:rPr>
        <w:t>arXiv Preprint arXiv:2610.11256</w:t>
      </w:r>
      <w:r>
        <w:t>.</w:t>
      </w:r>
    </w:p>
    <w:p w:rsidR="00817ED7" w:rsidRDefault="00A02600">
      <w:pPr>
        <w:pStyle w:val="Bibliography1"/>
      </w:pPr>
      <w:bookmarkStart w:id="27" w:name="ref-tran2026enforcing"/>
      <w:bookmarkEnd w:id="26"/>
      <w:r>
        <w:t xml:space="preserve">Tran, Hieu, and Hong Yu. 2026. “Is Anyone Enforcing the Cartel? What Reinforcement Learning Teaches LLM Agents in Markets.” </w:t>
      </w:r>
      <w:r>
        <w:rPr>
          <w:i/>
          <w:iCs/>
        </w:rPr>
        <w:t>arXiv Preprint arXiv:2610.28787</w:t>
      </w:r>
      <w:r>
        <w:t>.</w:t>
      </w:r>
    </w:p>
    <w:p w:rsidR="00817ED7" w:rsidRDefault="00A02600">
      <w:pPr>
        <w:pStyle w:val="Heading1"/>
      </w:pPr>
      <w:bookmarkStart w:id="28" w:name="appendix"/>
      <w:bookmarkEnd w:id="19"/>
      <w:bookmarkEnd w:id="21"/>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started, and H8, H9 and H5c before runs 9–12 started. H6 for run 4 was therefore evaluated </w:t>
      </w:r>
      <w:r>
        <w:lastRenderedPageBreak/>
        <w:t>after that run. Recorded deviations: (1) the exact computation of H4 and the restriction of H5 to LLM responders were fixed in code before H3–H5 were read; (2) the analysis output gained H5c, 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A02600">
      <w:pPr>
        <w:pStyle w:val="Heading2"/>
      </w:pPr>
      <w:bookmarkStart w:id="31" w:name="c.-controls-and-data-quality"/>
      <w:bookmarkEnd w:id="30"/>
      <w:r>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28"/>
        <w:gridCol w:w="910"/>
        <w:gridCol w:w="1819"/>
        <w:gridCol w:w="1984"/>
        <w:gridCol w:w="1435"/>
        <w:gridCol w:w="2784"/>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−0.079 [−0.205, 0.023]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−0.058 [−0.158, 0.045]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[−0.235, 0.497]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−0.001 [−0.022, 0.015]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−0.016 [−0.041, 0.009]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w:t>
      </w:r>
      <w:r>
        <w:lastRenderedPageBreak/>
        <w:t>because one different sample changes every later prompt. The mean effect was not biased (−0.001 [−0.022, 0.015]), so runs 4–8 are valid but have wider intervals.</w:t>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−0.240 / −0.142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p>
    <w:p w:rsidR="00817ED7" w:rsidRDefault="00A02600">
      <w:pPr>
        <w:pStyle w:val="Heading2"/>
      </w:pPr>
      <w:bookmarkStart w:id="33" w:name="X4f1ef5f96c2c8dfaf9d3e9736abec3263c9fc51"/>
      <w:bookmarkEnd w:id="32"/>
      <w:r>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[−0.011, 0.148], H2 = −0.592 [−0.751, −0.432] and H3a = 0.645 [0.503, 0.793].</w:t>
      </w:r>
    </w:p>
    <w:p w:rsidR="00817ED7" w:rsidRDefault="00A02600">
      <w:pPr>
        <w:pStyle w:val="CaptionedFigure"/>
      </w:pPr>
      <w:r>
        <w:rPr>
          <w:noProof/>
        </w:rPr>
        <w:lastRenderedPageBreak/>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experimentations and runs were written and completed by 23 October 2026.</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w:t>
      </w:r>
      <w:bookmarkStart w:id="36" w:name="_GoBack"/>
      <w:bookmarkEnd w:id="36"/>
      <w:r>
        <w:t>L40S for Qwen2.5-14B) under the sprint’s compute credit.</w:t>
      </w:r>
      <w:bookmarkEnd w:id="28"/>
      <w:bookmarkEnd w:id="35"/>
    </w:p>
    <w:sectPr w:rsidR="00817E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47847" w:rsidRDefault="00447847">
      <w:pPr>
        <w:spacing w:line="240" w:lineRule="auto"/>
      </w:pPr>
      <w:r>
        <w:separator/>
      </w:r>
    </w:p>
  </w:endnote>
  <w:endnote w:type="continuationSeparator" w:id="0">
    <w:p w:rsidR="00447847" w:rsidRDefault="004478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7FA19077-AEF7-4235-A7ED-ADFC6F463744}"/>
    <w:embedBold r:id="rId2" w:fontKey="{29A964BD-FA04-42C8-84B4-7063FFEF3080}"/>
    <w:embedItalic r:id="rId3" w:fontKey="{0F4BA417-63D1-4E58-8D8B-50BEB3318E0D}"/>
    <w:embedBoldItalic r:id="rId4" w:fontKey="{5F3CB0B8-5FC8-4A06-B20C-9F1D8D5D2F49}"/>
  </w:font>
  <w:font w:name="Arial">
    <w:panose1 w:val="020B0604020202020204"/>
    <w:charset w:val="00"/>
    <w:family w:val="swiss"/>
    <w:pitch w:val="variable"/>
    <w:sig w:usb0="E0002EFF" w:usb1="C000785B" w:usb2="00000009" w:usb3="00000000" w:csb0="000001FF" w:csb1="00000000"/>
    <w:embedRegular r:id="rId5" w:fontKey="{AD558585-6163-4C67-84D4-85173E30152C}"/>
  </w:font>
  <w:font w:name="Old Standard TT">
    <w:charset w:val="00"/>
    <w:family w:val="auto"/>
    <w:pitch w:val="default"/>
    <w:embedRegular r:id="rId6" w:fontKey="{A4F5B605-064E-461B-84D6-BF09A7D12DCB}"/>
    <w:embedBold r:id="rId7" w:fontKey="{A275BB4C-947E-4DE7-8A2B-5E64B521FB1F}"/>
    <w:embedItalic r:id="rId8" w:fontKey="{2202B252-4664-4CD9-B32C-1B033721EE6D}"/>
    <w:embedBoldItalic r:id="rId9" w:fontKey="{2229FFE8-B625-4211-AC03-58D10FA20AD4}"/>
  </w:font>
  <w:font w:name="Courier New">
    <w:panose1 w:val="02070309020205020404"/>
    <w:charset w:val="00"/>
    <w:family w:val="modern"/>
    <w:pitch w:val="fixed"/>
    <w:sig w:usb0="E0002EFF" w:usb1="C0007843" w:usb2="00000009" w:usb3="00000000" w:csb0="000001FF" w:csb1="00000000"/>
    <w:embedRegular r:id="rId10" w:fontKey="{35C409D0-0023-443F-9913-66FC93974FF1}"/>
    <w:embedBold r:id="rId11" w:fontKey="{0FAEFAE4-CA2B-4D9A-B8AC-0C364E2A5149}"/>
    <w:embedItalic r:id="rId12" w:fontKey="{2DE599DD-3FF1-4BB2-8D0D-985F0354F3AB}"/>
    <w:embedBoldItalic r:id="rId13" w:fontKey="{30CF4B8A-1C71-42E8-83EF-22D998CC9A93}"/>
  </w:font>
  <w:font w:name="Calibri">
    <w:panose1 w:val="020F0502020204030204"/>
    <w:charset w:val="00"/>
    <w:family w:val="swiss"/>
    <w:pitch w:val="variable"/>
    <w:sig w:usb0="E4002EFF" w:usb1="C200247B" w:usb2="00000009" w:usb3="00000000" w:csb0="000001FF" w:csb1="00000000"/>
    <w:embedRegular r:id="rId14" w:fontKey="{EA12316B-EACD-4ADF-9D54-E116F2A7C9E1}"/>
  </w:font>
  <w:font w:name="Cambria">
    <w:panose1 w:val="02040503050406030204"/>
    <w:charset w:val="00"/>
    <w:family w:val="roman"/>
    <w:pitch w:val="variable"/>
    <w:sig w:usb0="E00006FF" w:usb1="420024FF" w:usb2="02000000" w:usb3="00000000" w:csb0="0000019F" w:csb1="00000000"/>
    <w:embedRegular r:id="rId15" w:fontKey="{AC308F90-29A6-4FE6-952E-3B80AC929F4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47847" w:rsidRDefault="00447847">
      <w:r>
        <w:separator/>
      </w:r>
    </w:p>
  </w:footnote>
  <w:footnote w:type="continuationSeparator" w:id="0">
    <w:p w:rsidR="00447847" w:rsidRDefault="004478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47847"/>
    <w:rsid w:val="006F0235"/>
    <w:rsid w:val="00817ED7"/>
    <w:rsid w:val="00883FC1"/>
    <w:rsid w:val="009A354E"/>
    <w:rsid w:val="00A02600"/>
    <w:rsid w:val="00C04125"/>
    <w:rsid w:val="00ED03A4"/>
    <w:rsid w:val="00F04B4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9D066"/>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257/aer.2019062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13</Pages>
  <Words>4945</Words>
  <Characters>28190</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7</cp:revision>
  <dcterms:created xsi:type="dcterms:W3CDTF">2026-10-24T04:25:00Z</dcterms:created>
  <dcterms:modified xsi:type="dcterms:W3CDTF">2026-10-24T05:02:00Z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