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6B"/>
          <w:sz w:val="56"/>
          <w:szCs w:val="56"/>
        </w:rPr>
        <w:t xml:space="preserve">NexusCRM</w:t>
      </w:r>
    </w:p>
    <w:p>
      <w:pPr>
        <w:spacing w:after="80"/>
        <w:jc w:val="center"/>
      </w:pPr>
      <w:r>
        <w:rPr>
          <w:rFonts w:ascii="Arial" w:cs="Arial" w:eastAsia="Arial" w:hAnsi="Arial"/>
          <w:color w:val="2E5FA3"/>
          <w:sz w:val="40"/>
          <w:szCs w:val="40"/>
        </w:rPr>
        <w:t xml:space="preserve">Product Roadmap</w:t>
      </w:r>
    </w:p>
    <w:p>
      <w:pPr>
        <w:spacing w:after="80"/>
        <w:jc w:val="center"/>
      </w:pPr>
      <w:r>
        <w:rPr>
          <w:rFonts w:ascii="Arial" w:cs="Arial" w:eastAsia="Arial" w:hAnsi="Arial"/>
          <w:color w:val="555555"/>
          <w:sz w:val="22"/>
          <w:szCs w:val="22"/>
        </w:rPr>
        <w:t xml:space="preserve">Q1 2025 – Q2 2026 (18-Month Strategic Plan)</w:t>
      </w:r>
    </w:p>
    <w:p>
      <w:pPr>
        <w:spacing w:after="400"/>
        <w:jc w:val="center"/>
      </w:pPr>
      <w:r>
        <w:rPr>
          <w:rFonts w:ascii="Arial" w:cs="Arial" w:eastAsia="Arial" w:hAnsi="Arial"/>
          <w:color w:val="888888"/>
          <w:sz w:val="18"/>
          <w:szCs w:val="18"/>
        </w:rPr>
        <w:t xml:space="preserve">Prepared: June 2025   |   Version 2.1   |   CONFIDENTIAL</w:t>
      </w:r>
    </w:p>
    <w:p>
      <w:pPr>
        <w:pStyle w:val="Heading1"/>
      </w:pPr>
      <w:r>
        <w:rPr>
          <w:rFonts w:ascii="Arial" w:cs="Arial" w:eastAsia="Arial" w:hAnsi="Arial"/>
          <w:b/>
          <w:bCs/>
          <w:color w:val="1B3A6B"/>
          <w:sz w:val="32"/>
          <w:szCs w:val="32"/>
        </w:rPr>
        <w:t xml:space="preserve">Executive Summary</w:t>
      </w:r>
    </w:p>
    <w:p>
      <w:pPr>
        <w:spacing w:after="160"/>
      </w:pPr>
      <w:r>
        <w:rPr>
          <w:rFonts w:ascii="Arial" w:cs="Arial" w:eastAsia="Arial" w:hAnsi="Arial"/>
          <w:b w:val="false"/>
          <w:bCs w:val="false"/>
          <w:color w:val="333333"/>
          <w:sz w:val="20"/>
          <w:szCs w:val="20"/>
        </w:rPr>
        <w:t xml:space="preserve">NexusCRM is the AI-native CRM platform built for modern revenue teams. Over the next 18 months, we will deliver transformative capabilities across four strategic themes — AI-Powered Insights, Enterprise Integrations, Mobile-First Experience, and Platform Ecosystem — to expand our Net Revenue Retention from 112% to 130%, grow Daily Active Users to 85,000, and achieve a Customer Satisfaction Score of 4.6 / 5.0. This roadmap reflects input from 120+ enterprise customers, our GTM team, and competitive benchmarking against Salesforce, HubSpot, and Pipedrive.</w:t>
      </w:r>
    </w:p>
    <w:p>
      <w:r>
        <w:t xml:space="preserve"/>
      </w:r>
    </w:p>
    <w:p>
      <w:pPr>
        <w:pStyle w:val="Heading1"/>
      </w:pPr>
      <w:r>
        <w:rPr>
          <w:rFonts w:ascii="Arial" w:cs="Arial" w:eastAsia="Arial" w:hAnsi="Arial"/>
          <w:b/>
          <w:bCs/>
          <w:color w:val="1B3A6B"/>
          <w:sz w:val="32"/>
          <w:szCs w:val="32"/>
        </w:rPr>
        <w:t xml:space="preserve">Vision &amp; North Star</w:t>
      </w:r>
    </w:p>
    <w:p>
      <w:pPr>
        <w:spacing w:after="160"/>
      </w:pPr>
      <w:r>
        <w:rPr>
          <w:rFonts w:ascii="Arial" w:cs="Arial" w:eastAsia="Arial" w:hAnsi="Arial"/>
          <w:b w:val="false"/>
          <w:bCs w:val="false"/>
          <w:color w:val="333333"/>
          <w:sz w:val="20"/>
          <w:szCs w:val="20"/>
        </w:rPr>
        <w:t xml:space="preserve">"Empower every revenue professional to close deals faster with AI-driven intelligence, seamless integrations, and actionable insights — all from a single platform."</w:t>
      </w:r>
    </w:p>
    <w:p>
      <w:r>
        <w:t xml:space="preserve"/>
      </w:r>
    </w:p>
    <w:p>
      <w:pPr>
        <w:spacing w:after="160"/>
      </w:pPr>
      <w:r>
        <w:rPr>
          <w:rFonts w:ascii="Arial" w:cs="Arial" w:eastAsia="Arial" w:hAnsi="Arial"/>
          <w:b/>
          <w:bCs/>
          <w:color w:val="333333"/>
          <w:sz w:val="20"/>
          <w:szCs w:val="20"/>
        </w:rPr>
        <w:t xml:space="preserve">North Star Metric: 85,000 Daily Active Users by Q2 2026</w:t>
      </w:r>
    </w:p>
    <w:p>
      <w:r>
        <w:t xml:space="preserve"/>
      </w:r>
    </w:p>
    <w:p>
      <w:pPr>
        <w:pStyle w:val="Heading1"/>
      </w:pPr>
      <w:r>
        <w:rPr>
          <w:rFonts w:ascii="Arial" w:cs="Arial" w:eastAsia="Arial" w:hAnsi="Arial"/>
          <w:b/>
          <w:bCs/>
          <w:color w:val="1B3A6B"/>
          <w:sz w:val="32"/>
          <w:szCs w:val="32"/>
        </w:rPr>
        <w:t xml:space="preserve">Strategic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Pillar</w:t>
            </w:r>
          </w:p>
        </w:tc>
        <w:tc>
          <w:tcPr>
            <w:tcW w:type="dxa" w:w="351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351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FY2026 Target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AI-Powered Insights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Predictive deal scoring, churn signals, pipeline AI coaching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Deal win-rate +18%</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Integrations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Bi-directional sync with Salesforce, SAP, Workday, Slack, Teams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50 native connectors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Mobile-First Experience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iOS &amp; Android redesign, offline mode, voice-to-CRM entry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Mobile DAU: 40,000</w:t>
            </w:r>
          </w:p>
        </w:tc>
      </w:tr>
      <w:tr>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Ecosystem</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Partner API marketplace, ISV SDK, white-label offering</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marketplace apps</w:t>
            </w:r>
          </w:p>
        </w:tc>
      </w:tr>
    </w:tbl>
    <w:p>
      <w:r>
        <w:t xml:space="preserve"/>
      </w:r>
    </w:p>
    <w:p>
      <w:r>
        <w:br w:type="page"/>
      </w:r>
    </w:p>
    <w:p>
      <w:pPr>
        <w:pStyle w:val="Heading1"/>
      </w:pPr>
      <w:r>
        <w:rPr>
          <w:rFonts w:ascii="Arial" w:cs="Arial" w:eastAsia="Arial" w:hAnsi="Arial"/>
          <w:b/>
          <w:bCs/>
          <w:color w:val="1B3A6B"/>
          <w:sz w:val="32"/>
          <w:szCs w:val="32"/>
        </w:rPr>
        <w:t xml:space="preserve">Quarterly Roadmap Matrix</w:t>
      </w:r>
    </w:p>
    <w:p>
      <w:pPr>
        <w:spacing w:after="160"/>
      </w:pPr>
      <w:r>
        <w:rPr>
          <w:rFonts w:ascii="Arial" w:cs="Arial" w:eastAsia="Arial" w:hAnsi="Arial"/>
          <w:b w:val="false"/>
          <w:bCs w:val="false"/>
          <w:color w:val="333333"/>
          <w:sz w:val="20"/>
          <w:szCs w:val="20"/>
        </w:rPr>
        <w:t xml:space="preserve">The table below maps each strategic theme against quarterly delivery commitments.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rPr>
          <w:tblHeader/>
        </w:trPr>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Theme</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Q1 2025</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Q2 2025</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Q3 2025</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Q4 2025</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Q1 2026</w:t>
            </w:r>
          </w:p>
        </w:tc>
        <w:tc>
          <w:tcPr>
            <w:tcW w:type="dxa" w:w="13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Q2 2026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AI-Powered Insights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Deal Score v1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Coach beta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Churn signals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Forecasting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GPT-4 Assist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Insights hub</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Integrations</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SF deep sync</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Workday HCM</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SAP ERP</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Slack / Teams</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Zendesk 2-way</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Marketo auto</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Mobile-First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iOS redesign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Android parity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Offline mode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Voice-to-CRM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Push notifs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Mobile analytics</w:t>
            </w:r>
          </w:p>
        </w:tc>
      </w:tr>
      <w:tr>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Ecosystem</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v2 GA</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ISV SDK alpha</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Marketplace launch</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Partner portal</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White-label</w:t>
            </w:r>
          </w:p>
        </w:tc>
        <w:tc>
          <w:tcPr>
            <w:tcW w:type="dxa" w:w="13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apps</w:t>
            </w:r>
          </w:p>
        </w:tc>
      </w:tr>
    </w:tbl>
    <w:p>
      <w:r>
        <w:t xml:space="preserve"/>
      </w:r>
    </w:p>
    <w:p>
      <w:r>
        <w:br w:type="page"/>
      </w:r>
    </w:p>
    <w:p>
      <w:pPr>
        <w:pStyle w:val="Heading1"/>
      </w:pPr>
      <w:r>
        <w:rPr>
          <w:rFonts w:ascii="Arial" w:cs="Arial" w:eastAsia="Arial" w:hAnsi="Arial"/>
          <w:b/>
          <w:bCs/>
          <w:color w:val="1B3A6B"/>
          <w:sz w:val="32"/>
          <w:szCs w:val="32"/>
        </w:rPr>
        <w:t xml:space="preserve">Theme Deep-Dives</w:t>
      </w:r>
    </w:p>
    <w:p>
      <w:pPr>
        <w:pStyle w:val="Heading2"/>
      </w:pPr>
      <w:r>
        <w:rPr>
          <w:rFonts w:ascii="Arial" w:cs="Arial" w:eastAsia="Arial" w:hAnsi="Arial"/>
          <w:b/>
          <w:bCs/>
          <w:color w:val="2E5FA3"/>
          <w:sz w:val="26"/>
          <w:szCs w:val="26"/>
        </w:rPr>
        <w:t xml:space="preserve">1. AI-Powered Insights</w:t>
      </w:r>
    </w:p>
    <w:p>
      <w:pPr>
        <w:spacing w:after="160"/>
      </w:pPr>
      <w:r>
        <w:rPr>
          <w:rFonts w:ascii="Arial" w:cs="Arial" w:eastAsia="Arial" w:hAnsi="Arial"/>
          <w:b w:val="false"/>
          <w:bCs w:val="false"/>
          <w:color w:val="333333"/>
          <w:sz w:val="20"/>
          <w:szCs w:val="20"/>
        </w:rPr>
        <w:t xml:space="preserve">NexusCRM AI will deliver predictive deal scoring, real-time coaching nudges, and churn risk signals embedded directly in the sales workflow. By Q4 2025, pipeline forecasting will achieve 92% accuracy at the rep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1560"/>
        <w:gridCol w:w="1560"/>
        <w:gridCol w:w="192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Initiative</w:t>
            </w:r>
          </w:p>
        </w:tc>
        <w:tc>
          <w:tcPr>
            <w:tcW w:type="dxa" w:w="25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Horizon</w:t>
            </w:r>
          </w:p>
        </w:tc>
        <w:tc>
          <w:tcPr>
            <w:tcW w:type="dxa" w:w="1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c>
          <w:tcPr>
            <w:tcW w:type="dxa" w:w="19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Deal Score v1</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ML model on 50 CRM signals, rep-visible score 0–100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AI/ML Team</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 Progress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Coach</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Real-time nudges: "Follow up with Acme — 8 days silent"</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AI/ML Team</w:t>
            </w:r>
          </w:p>
        </w:tc>
        <w:tc>
          <w:tcPr>
            <w:tcW w:type="dxa" w:w="19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Q2 2025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Churn Risk Signals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Usage-drop &amp; sentiment triggers for CSMs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Next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Data Eng</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Q3 2025</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 Forecasting</w:t>
            </w:r>
          </w:p>
        </w:tc>
        <w:tc>
          <w:tcPr>
            <w:tcW w:type="dxa" w:w="25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Bottoms-up + top-down forecast reconciliation engine</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Next</w:t>
            </w:r>
          </w:p>
        </w:tc>
        <w:tc>
          <w:tcPr>
            <w:tcW w:type="dxa" w:w="1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AI/ML Team</w:t>
            </w:r>
          </w:p>
        </w:tc>
        <w:tc>
          <w:tcPr>
            <w:tcW w:type="dxa" w:w="19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Q4 2025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GPT-4 Assist</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In-app AI assistant for email drafting &amp; deal summaries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Later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Q1 2026</w:t>
            </w:r>
          </w:p>
        </w:tc>
      </w:tr>
    </w:tbl>
    <w:p>
      <w:r>
        <w:t xml:space="preserve"/>
      </w:r>
    </w:p>
    <w:p>
      <w:pPr>
        <w:pStyle w:val="Heading2"/>
      </w:pPr>
      <w:r>
        <w:rPr>
          <w:rFonts w:ascii="Arial" w:cs="Arial" w:eastAsia="Arial" w:hAnsi="Arial"/>
          <w:b/>
          <w:bCs/>
          <w:color w:val="2E5FA3"/>
          <w:sz w:val="26"/>
          <w:szCs w:val="26"/>
        </w:rPr>
        <w:t xml:space="preserve">2. Enterprise Integrations</w:t>
      </w:r>
    </w:p>
    <w:p>
      <w:pPr>
        <w:spacing w:after="160"/>
      </w:pPr>
      <w:r>
        <w:rPr>
          <w:rFonts w:ascii="Arial" w:cs="Arial" w:eastAsia="Arial" w:hAnsi="Arial"/>
          <w:b w:val="false"/>
          <w:bCs w:val="false"/>
          <w:color w:val="333333"/>
          <w:sz w:val="20"/>
          <w:szCs w:val="20"/>
        </w:rPr>
        <w:t xml:space="preserve">Bi-directional data sync with the top 10 enterprise systems eliminates data silos and makes NexusCRM the system of record for revenue. Salesforce migration tooling will cut onboarding time by 60%.</w:t>
      </w:r>
    </w:p>
    <w:p>
      <w:pPr>
        <w:pStyle w:val="ListParagraph"/>
        <w:numPr>
          <w:ilvl w:val="0"/>
          <w:numId w:val="2"/>
        </w:numPr>
      </w:pPr>
      <w:r>
        <w:rPr>
          <w:rFonts w:ascii="Arial" w:cs="Arial" w:eastAsia="Arial" w:hAnsi="Arial"/>
          <w:color w:val="333333"/>
          <w:sz w:val="18"/>
          <w:szCs w:val="18"/>
        </w:rPr>
        <w:t xml:space="preserve">Salesforce 2-way contact &amp; opportunity sync (Q1 2025)</w:t>
      </w:r>
    </w:p>
    <w:p>
      <w:pPr>
        <w:pStyle w:val="ListParagraph"/>
        <w:numPr>
          <w:ilvl w:val="0"/>
          <w:numId w:val="2"/>
        </w:numPr>
      </w:pPr>
      <w:r>
        <w:rPr>
          <w:rFonts w:ascii="Arial" w:cs="Arial" w:eastAsia="Arial" w:hAnsi="Arial"/>
          <w:color w:val="333333"/>
          <w:sz w:val="18"/>
          <w:szCs w:val="18"/>
        </w:rPr>
        <w:t xml:space="preserve">Workday HCM integration for org-chart-aware selling (Q2 2025)</w:t>
      </w:r>
    </w:p>
    <w:p>
      <w:pPr>
        <w:pStyle w:val="ListParagraph"/>
        <w:numPr>
          <w:ilvl w:val="0"/>
          <w:numId w:val="2"/>
        </w:numPr>
      </w:pPr>
      <w:r>
        <w:rPr>
          <w:rFonts w:ascii="Arial" w:cs="Arial" w:eastAsia="Arial" w:hAnsi="Arial"/>
          <w:color w:val="333333"/>
          <w:sz w:val="18"/>
          <w:szCs w:val="18"/>
        </w:rPr>
        <w:t xml:space="preserve">SAP ERP quote-to-cash connector with CPQ bridge (Q3 2025)</w:t>
      </w:r>
    </w:p>
    <w:p>
      <w:pPr>
        <w:pStyle w:val="ListParagraph"/>
        <w:numPr>
          <w:ilvl w:val="0"/>
          <w:numId w:val="2"/>
        </w:numPr>
      </w:pPr>
      <w:r>
        <w:rPr>
          <w:rFonts w:ascii="Arial" w:cs="Arial" w:eastAsia="Arial" w:hAnsi="Arial"/>
          <w:color w:val="333333"/>
          <w:sz w:val="18"/>
          <w:szCs w:val="18"/>
        </w:rPr>
        <w:t xml:space="preserve">Microsoft Teams &amp; Slack meeting-to-CRM auto-logging (Q4 2025)</w:t>
      </w:r>
    </w:p>
    <w:p>
      <w:pPr>
        <w:pStyle w:val="ListParagraph"/>
        <w:numPr>
          <w:ilvl w:val="0"/>
          <w:numId w:val="2"/>
        </w:numPr>
      </w:pPr>
      <w:r>
        <w:rPr>
          <w:rFonts w:ascii="Arial" w:cs="Arial" w:eastAsia="Arial" w:hAnsi="Arial"/>
          <w:color w:val="333333"/>
          <w:sz w:val="18"/>
          <w:szCs w:val="18"/>
        </w:rPr>
        <w:t xml:space="preserve">Zendesk bidirectional support ticket correlation (Q1 2026)</w:t>
      </w:r>
    </w:p>
    <w:p>
      <w:pPr>
        <w:pStyle w:val="ListParagraph"/>
        <w:numPr>
          <w:ilvl w:val="0"/>
          <w:numId w:val="2"/>
        </w:numPr>
      </w:pPr>
      <w:r>
        <w:rPr>
          <w:rFonts w:ascii="Arial" w:cs="Arial" w:eastAsia="Arial" w:hAnsi="Arial"/>
          <w:color w:val="333333"/>
          <w:sz w:val="18"/>
          <w:szCs w:val="18"/>
        </w:rPr>
        <w:t xml:space="preserve">Marketo campaign attribution with attribution scoring (Q2 2026)</w:t>
      </w:r>
    </w:p>
    <w:p>
      <w:r>
        <w:t xml:space="preserve"/>
      </w:r>
    </w:p>
    <w:p>
      <w:pPr>
        <w:pStyle w:val="Heading2"/>
      </w:pPr>
      <w:r>
        <w:rPr>
          <w:rFonts w:ascii="Arial" w:cs="Arial" w:eastAsia="Arial" w:hAnsi="Arial"/>
          <w:b/>
          <w:bCs/>
          <w:color w:val="2E5FA3"/>
          <w:sz w:val="26"/>
          <w:szCs w:val="26"/>
        </w:rPr>
        <w:t xml:space="preserve">3. Mobile-First Experience</w:t>
      </w:r>
    </w:p>
    <w:p>
      <w:pPr>
        <w:spacing w:after="160"/>
      </w:pPr>
      <w:r>
        <w:rPr>
          <w:rFonts w:ascii="Arial" w:cs="Arial" w:eastAsia="Arial" w:hAnsi="Arial"/>
          <w:b w:val="false"/>
          <w:bCs w:val="false"/>
          <w:color w:val="333333"/>
          <w:sz w:val="20"/>
          <w:szCs w:val="20"/>
        </w:rPr>
        <w:t xml:space="preserve">Mobile represents 38% of NexusCRM sessions. A full iOS and Android redesign delivers sub-200ms load times, offline mode for field reps, and Voice-to-CRM entry that transcribes calls in real time.</w:t>
      </w:r>
    </w:p>
    <w:p>
      <w:pPr>
        <w:pStyle w:val="ListParagraph"/>
        <w:numPr>
          <w:ilvl w:val="0"/>
          <w:numId w:val="2"/>
        </w:numPr>
      </w:pPr>
      <w:r>
        <w:rPr>
          <w:rFonts w:ascii="Arial" w:cs="Arial" w:eastAsia="Arial" w:hAnsi="Arial"/>
          <w:color w:val="333333"/>
          <w:sz w:val="18"/>
          <w:szCs w:val="18"/>
        </w:rPr>
        <w:t xml:space="preserve">iOS redesign: swipe-based contact navigation, haptic feedback (Q1 2025)</w:t>
      </w:r>
    </w:p>
    <w:p>
      <w:pPr>
        <w:pStyle w:val="ListParagraph"/>
        <w:numPr>
          <w:ilvl w:val="0"/>
          <w:numId w:val="2"/>
        </w:numPr>
      </w:pPr>
      <w:r>
        <w:rPr>
          <w:rFonts w:ascii="Arial" w:cs="Arial" w:eastAsia="Arial" w:hAnsi="Arial"/>
          <w:color w:val="333333"/>
          <w:sz w:val="18"/>
          <w:szCs w:val="18"/>
        </w:rPr>
        <w:t xml:space="preserve">Android feature parity and Material 3 design system (Q2 2025)</w:t>
      </w:r>
    </w:p>
    <w:p>
      <w:pPr>
        <w:pStyle w:val="ListParagraph"/>
        <w:numPr>
          <w:ilvl w:val="0"/>
          <w:numId w:val="2"/>
        </w:numPr>
      </w:pPr>
      <w:r>
        <w:rPr>
          <w:rFonts w:ascii="Arial" w:cs="Arial" w:eastAsia="Arial" w:hAnsi="Arial"/>
          <w:color w:val="333333"/>
          <w:sz w:val="18"/>
          <w:szCs w:val="18"/>
        </w:rPr>
        <w:t xml:space="preserve">Offline-first architecture: sync on reconnect, conflict resolution (Q3 2025)</w:t>
      </w:r>
    </w:p>
    <w:p>
      <w:pPr>
        <w:pStyle w:val="ListParagraph"/>
        <w:numPr>
          <w:ilvl w:val="0"/>
          <w:numId w:val="2"/>
        </w:numPr>
      </w:pPr>
      <w:r>
        <w:rPr>
          <w:rFonts w:ascii="Arial" w:cs="Arial" w:eastAsia="Arial" w:hAnsi="Arial"/>
          <w:color w:val="333333"/>
          <w:sz w:val="18"/>
          <w:szCs w:val="18"/>
        </w:rPr>
        <w:t xml:space="preserve">Voice-to-CRM: Whisper ASR + auto field-fill from call transcripts (Q4 2025)</w:t>
      </w:r>
    </w:p>
    <w:p>
      <w:pPr>
        <w:pStyle w:val="ListParagraph"/>
        <w:numPr>
          <w:ilvl w:val="0"/>
          <w:numId w:val="2"/>
        </w:numPr>
      </w:pPr>
      <w:r>
        <w:rPr>
          <w:rFonts w:ascii="Arial" w:cs="Arial" w:eastAsia="Arial" w:hAnsi="Arial"/>
          <w:color w:val="333333"/>
          <w:sz w:val="18"/>
          <w:szCs w:val="18"/>
        </w:rPr>
        <w:t xml:space="preserve">Push notification engine with smart snooze and batching (Q1 2026)</w:t>
      </w:r>
    </w:p>
    <w:p>
      <w:r>
        <w:t xml:space="preserve"/>
      </w:r>
    </w:p>
    <w:p>
      <w:pPr>
        <w:pStyle w:val="Heading2"/>
      </w:pPr>
      <w:r>
        <w:rPr>
          <w:rFonts w:ascii="Arial" w:cs="Arial" w:eastAsia="Arial" w:hAnsi="Arial"/>
          <w:b/>
          <w:bCs/>
          <w:color w:val="2E5FA3"/>
          <w:sz w:val="26"/>
          <w:szCs w:val="26"/>
        </w:rPr>
        <w:t xml:space="preserve">4. Platform Ecosystem</w:t>
      </w:r>
    </w:p>
    <w:p>
      <w:pPr>
        <w:spacing w:after="160"/>
      </w:pPr>
      <w:r>
        <w:rPr>
          <w:rFonts w:ascii="Arial" w:cs="Arial" w:eastAsia="Arial" w:hAnsi="Arial"/>
          <w:b w:val="false"/>
          <w:bCs w:val="false"/>
          <w:color w:val="333333"/>
          <w:sz w:val="20"/>
          <w:szCs w:val="20"/>
        </w:rPr>
        <w:t xml:space="preserve">The NexusCRM Marketplace will launch with 50 certified partner apps in Q3 2025, growing to 200 by Q2 2026. The ISV SDK enables external developers to build and monetize integrations with a 70/30 revenue share.</w:t>
      </w:r>
    </w:p>
    <w:p>
      <w:pPr>
        <w:pStyle w:val="ListParagraph"/>
        <w:numPr>
          <w:ilvl w:val="0"/>
          <w:numId w:val="2"/>
        </w:numPr>
      </w:pPr>
      <w:r>
        <w:rPr>
          <w:rFonts w:ascii="Arial" w:cs="Arial" w:eastAsia="Arial" w:hAnsi="Arial"/>
          <w:color w:val="333333"/>
          <w:sz w:val="18"/>
          <w:szCs w:val="18"/>
        </w:rPr>
        <w:t xml:space="preserve">API v2 GA: REST + GraphQL, 99.99% SLA, 10,000 req/min (Q1 2025)</w:t>
      </w:r>
    </w:p>
    <w:p>
      <w:pPr>
        <w:pStyle w:val="ListParagraph"/>
        <w:numPr>
          <w:ilvl w:val="0"/>
          <w:numId w:val="2"/>
        </w:numPr>
      </w:pPr>
      <w:r>
        <w:rPr>
          <w:rFonts w:ascii="Arial" w:cs="Arial" w:eastAsia="Arial" w:hAnsi="Arial"/>
          <w:color w:val="333333"/>
          <w:sz w:val="18"/>
          <w:szCs w:val="18"/>
        </w:rPr>
        <w:t xml:space="preserve">ISV SDK alpha: sandboxed plugin runtime, developer portal (Q2 2025)</w:t>
      </w:r>
    </w:p>
    <w:p>
      <w:pPr>
        <w:pStyle w:val="ListParagraph"/>
        <w:numPr>
          <w:ilvl w:val="0"/>
          <w:numId w:val="2"/>
        </w:numPr>
      </w:pPr>
      <w:r>
        <w:rPr>
          <w:rFonts w:ascii="Arial" w:cs="Arial" w:eastAsia="Arial" w:hAnsi="Arial"/>
          <w:color w:val="333333"/>
          <w:sz w:val="18"/>
          <w:szCs w:val="18"/>
        </w:rPr>
        <w:t xml:space="preserve">Marketplace public launch: 50 certified apps, payments, ratings (Q3 2025)</w:t>
      </w:r>
    </w:p>
    <w:p>
      <w:pPr>
        <w:pStyle w:val="ListParagraph"/>
        <w:numPr>
          <w:ilvl w:val="0"/>
          <w:numId w:val="2"/>
        </w:numPr>
      </w:pPr>
      <w:r>
        <w:rPr>
          <w:rFonts w:ascii="Arial" w:cs="Arial" w:eastAsia="Arial" w:hAnsi="Arial"/>
          <w:color w:val="333333"/>
          <w:sz w:val="18"/>
          <w:szCs w:val="18"/>
        </w:rPr>
        <w:t xml:space="preserve">Partner portal: co-selling, deal registration, MDF management (Q4 2025)</w:t>
      </w:r>
    </w:p>
    <w:p>
      <w:pPr>
        <w:pStyle w:val="ListParagraph"/>
        <w:numPr>
          <w:ilvl w:val="0"/>
          <w:numId w:val="2"/>
        </w:numPr>
      </w:pPr>
      <w:r>
        <w:rPr>
          <w:rFonts w:ascii="Arial" w:cs="Arial" w:eastAsia="Arial" w:hAnsi="Arial"/>
          <w:color w:val="333333"/>
          <w:sz w:val="18"/>
          <w:szCs w:val="18"/>
        </w:rPr>
        <w:t xml:space="preserve">White-label offering: custom branding for system integrators (Q1 2026)</w:t>
      </w:r>
    </w:p>
    <w:p>
      <w:r>
        <w:t xml:space="preserve"/>
      </w:r>
    </w:p>
    <w:p>
      <w:r>
        <w:br w:type="page"/>
      </w:r>
    </w:p>
    <w:p>
      <w:pPr>
        <w:pStyle w:val="Heading1"/>
      </w:pPr>
      <w:r>
        <w:rPr>
          <w:rFonts w:ascii="Arial" w:cs="Arial" w:eastAsia="Arial" w:hAnsi="Arial"/>
          <w:b/>
          <w:bCs/>
          <w:color w:val="1B3A6B"/>
          <w:sz w:val="32"/>
          <w:szCs w:val="32"/>
        </w:rPr>
        <w:t xml:space="preserve">Success Metrics &amp; OKRs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184"/>
        <w:gridCol w:w="2184"/>
        <w:gridCol w:w="2184"/>
      </w:tblGrid>
      <w:tr>
        <w:trPr>
          <w:tblHeader/>
        </w:trPr>
        <w:tc>
          <w:tcPr>
            <w:tcW w:type="dxa" w:w="2808"/>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2184"/>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Current (Q1 2025)</w:t>
            </w:r>
          </w:p>
        </w:tc>
        <w:tc>
          <w:tcPr>
            <w:tcW w:type="dxa" w:w="2184"/>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 (Q2 2026)</w:t>
            </w:r>
          </w:p>
        </w:tc>
        <w:tc>
          <w:tcPr>
            <w:tcW w:type="dxa" w:w="2184"/>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Owner</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Daily Active Users (DAU)</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52,000</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85,000 (+63%)</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Growth</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 Revenue Retention (NRR)</w:t>
            </w:r>
          </w:p>
        </w:tc>
        <w:tc>
          <w:tcPr>
            <w:tcW w:type="dxa" w:w="218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112%</w:t>
            </w:r>
          </w:p>
        </w:tc>
        <w:tc>
          <w:tcPr>
            <w:tcW w:type="dxa" w:w="218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130%</w:t>
            </w:r>
          </w:p>
        </w:tc>
        <w:tc>
          <w:tcPr>
            <w:tcW w:type="dxa" w:w="218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Success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Customer Satisfaction (CSAT)</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4.1 / 5.0</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4.6 / 5.0</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Product</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Enterprise ACV</w:t>
            </w:r>
          </w:p>
        </w:tc>
        <w:tc>
          <w:tcPr>
            <w:tcW w:type="dxa" w:w="218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$42,000</w:t>
            </w:r>
          </w:p>
        </w:tc>
        <w:tc>
          <w:tcPr>
            <w:tcW w:type="dxa" w:w="218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$68,000</w:t>
            </w:r>
          </w:p>
        </w:tc>
        <w:tc>
          <w:tcPr>
            <w:tcW w:type="dxa" w:w="218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Sales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Mobile DAU Share</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47%</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Mobile Eng</w:t>
            </w:r>
          </w:p>
        </w:tc>
      </w:tr>
      <w:tr>
        <w:tc>
          <w:tcPr>
            <w:tcW w:type="dxa" w:w="2808"/>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Marketplace Apps</w:t>
            </w:r>
          </w:p>
        </w:tc>
        <w:tc>
          <w:tcPr>
            <w:tcW w:type="dxa" w:w="218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w:t>
            </w:r>
          </w:p>
        </w:tc>
        <w:tc>
          <w:tcPr>
            <w:tcW w:type="dxa" w:w="218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200 apps</w:t>
            </w:r>
          </w:p>
        </w:tc>
        <w:tc>
          <w:tcPr>
            <w:tcW w:type="dxa" w:w="2184"/>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Ecosystem</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API Uptime</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99.7%</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99.99%</w:t>
            </w:r>
          </w:p>
        </w:tc>
        <w:tc>
          <w:tcPr>
            <w:tcW w:type="dxa" w:w="218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Eng</w:t>
            </w:r>
          </w:p>
        </w:tc>
      </w:tr>
    </w:tbl>
    <w:p>
      <w:r>
        <w:t xml:space="preserve"/>
      </w:r>
    </w:p>
    <w:p>
      <w:pPr>
        <w:pStyle w:val="Heading1"/>
      </w:pPr>
      <w:r>
        <w:rPr>
          <w:rFonts w:ascii="Arial" w:cs="Arial" w:eastAsia="Arial" w:hAnsi="Arial"/>
          <w:b/>
          <w:bCs/>
          <w:color w:val="1B3A6B"/>
          <w:sz w:val="32"/>
          <w:szCs w:val="32"/>
        </w:rPr>
        <w:t xml:space="preserve">Key Dependencies</w:t>
      </w:r>
    </w:p>
    <w:p>
      <w:pPr>
        <w:pStyle w:val="ListParagraph"/>
        <w:numPr>
          <w:ilvl w:val="0"/>
          <w:numId w:val="2"/>
        </w:numPr>
      </w:pPr>
      <w:r>
        <w:rPr>
          <w:rFonts w:ascii="Arial" w:cs="Arial" w:eastAsia="Arial" w:hAnsi="Arial"/>
          <w:color w:val="333333"/>
          <w:sz w:val="18"/>
          <w:szCs w:val="18"/>
        </w:rPr>
        <w:t xml:space="preserve">Data infrastructure: migration to Snowflake required before AI Forecasting (Q3 2025)</w:t>
      </w:r>
    </w:p>
    <w:p>
      <w:pPr>
        <w:pStyle w:val="ListParagraph"/>
        <w:numPr>
          <w:ilvl w:val="0"/>
          <w:numId w:val="2"/>
        </w:numPr>
      </w:pPr>
      <w:r>
        <w:rPr>
          <w:rFonts w:ascii="Arial" w:cs="Arial" w:eastAsia="Arial" w:hAnsi="Arial"/>
          <w:color w:val="333333"/>
          <w:sz w:val="18"/>
          <w:szCs w:val="18"/>
        </w:rPr>
        <w:t xml:space="preserve">Legal review: PSD2 compliance sign-off for European marketplace payments (Q2 2025)</w:t>
      </w:r>
    </w:p>
    <w:p>
      <w:pPr>
        <w:pStyle w:val="ListParagraph"/>
        <w:numPr>
          <w:ilvl w:val="0"/>
          <w:numId w:val="2"/>
        </w:numPr>
      </w:pPr>
      <w:r>
        <w:rPr>
          <w:rFonts w:ascii="Arial" w:cs="Arial" w:eastAsia="Arial" w:hAnsi="Arial"/>
          <w:color w:val="333333"/>
          <w:sz w:val="18"/>
          <w:szCs w:val="18"/>
        </w:rPr>
        <w:t xml:space="preserve">Design system: NexusDS v2 tokens must ship before Android redesign (Q1 2025)</w:t>
      </w:r>
    </w:p>
    <w:p>
      <w:pPr>
        <w:pStyle w:val="ListParagraph"/>
        <w:numPr>
          <w:ilvl w:val="0"/>
          <w:numId w:val="2"/>
        </w:numPr>
      </w:pPr>
      <w:r>
        <w:rPr>
          <w:rFonts w:ascii="Arial" w:cs="Arial" w:eastAsia="Arial" w:hAnsi="Arial"/>
          <w:color w:val="333333"/>
          <w:sz w:val="18"/>
          <w:szCs w:val="18"/>
        </w:rPr>
        <w:t xml:space="preserve">Partnerships: SAP connector dependent on SAP partnership agreement (Q2 2025)</w:t>
      </w:r>
    </w:p>
    <w:p>
      <w:pPr>
        <w:pStyle w:val="ListParagraph"/>
        <w:numPr>
          <w:ilvl w:val="0"/>
          <w:numId w:val="2"/>
        </w:numPr>
      </w:pPr>
      <w:r>
        <w:rPr>
          <w:rFonts w:ascii="Arial" w:cs="Arial" w:eastAsia="Arial" w:hAnsi="Arial"/>
          <w:color w:val="333333"/>
          <w:sz w:val="18"/>
          <w:szCs w:val="18"/>
        </w:rPr>
        <w:t xml:space="preserve">Headcount: 4 additional ML engineers required for GPT-4 Assist (Q4 2025)</w:t>
      </w:r>
    </w:p>
    <w:p>
      <w:r>
        <w:t xml:space="preserve"/>
      </w:r>
    </w:p>
    <w:p>
      <w:pPr>
        <w:spacing w:after="160"/>
      </w:pPr>
      <w:r>
        <w:rPr>
          <w:rFonts w:ascii="Arial" w:cs="Arial" w:eastAsia="Arial" w:hAnsi="Arial"/>
          <w:b w:val="false"/>
          <w:bCs w:val="false"/>
          <w:color w:val="888888"/>
          <w:sz w:val="16"/>
          <w:szCs w:val="16"/>
        </w:rPr>
        <w:t xml:space="preserve">Roadmap is subject to quarterly review. For questions contact product@nexuscrm.com.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NexusCRM Confidential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pPr>
    <w:r>
      <w:rPr>
        <w:rFonts w:ascii="Arial" w:cs="Arial" w:eastAsia="Arial" w:hAnsi="Arial"/>
        <w:b/>
        <w:bCs/>
        <w:color w:val="1B3A6B"/>
        <w:sz w:val="22"/>
        <w:szCs w:val="22"/>
      </w:rPr>
      <w:t xml:space="preserve">NexusCRM</w:t>
    </w:r>
    <w:r>
      <w:rPr>
        <w:rFonts w:ascii="Arial" w:cs="Arial" w:eastAsia="Arial" w:hAnsi="Arial"/>
        <w:color w:val="555555"/>
        <w:sz w:val="20"/>
        <w:szCs w:val="20"/>
      </w:rPr>
      <w:t xml:space="preserve">   |   Product Roadmap Q1 2025 – Q2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2026-06-07T20:09:43.430Z</dcterms:created>
  <dcterms:modified xsi:type="dcterms:W3CDTF">2026-06-07T20:09:43.430Z</dcterms:modified>
</cp:coreProperties>
</file>

<file path=docProps/custom.xml><?xml version="1.0" encoding="utf-8"?>
<Properties xmlns="http://schemas.openxmlformats.org/officeDocument/2006/custom-properties" xmlns:vt="http://schemas.openxmlformats.org/officeDocument/2006/docPropsVTypes"/>
</file>