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C3E50"/>
          <w:sz w:val="60"/>
          <w:szCs w:val="60"/>
        </w:rPr>
        <w:t xml:space="preserve">ClearPay</w:t>
      </w:r>
    </w:p>
    <w:p>
      <w:pPr>
        <w:spacing w:after="80"/>
        <w:jc w:val="center"/>
      </w:pPr>
      <w:r>
        <w:rPr>
          <w:rFonts w:ascii="Arial" w:cs="Arial" w:eastAsia="Arial" w:hAnsi="Arial"/>
          <w:color w:val="4A5568"/>
          <w:sz w:val="40"/>
          <w:szCs w:val="40"/>
        </w:rPr>
        <w:t xml:space="preserve">FY2025 Product Roadmap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Compliance-First   |   Payments &amp; Regulatory Technology</w:t>
      </w:r>
    </w:p>
    <w:p>
      <w:pPr>
        <w:spacing w:after="400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Version 3.0   |   June 2025   |   RESTRICTED — Do Not Distribute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Executive Summary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ClearPay processes $4.2B in annual payment volume across 18 countries and is subject to PCI DSS Level 1, SOC 2 Type II, PSD2 SCA, and FinCEN BSA requirements. FY2025 product investment is structured around four strategic themes: Regulatory Compliance, Transaction Speed &amp; Reliability, Developer Experience, and International Expansion. All product initiatives are gated by compliance sign-off. This document is classified RESTRICTED and subject to attorney-client privilege where applicable.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Vision Statement</w:t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"Build the most trusted, fastest, and most compliant payments infrastructure for modern enterprises — enabling our clients to move money globally with confidence and certainty."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Regulatory Calendar FY2025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60"/>
        <w:gridCol w:w="1560"/>
        <w:gridCol w:w="2220"/>
        <w:gridCol w:w="222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Regulation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Jurisdiction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Deadline</w:t>
            </w:r>
          </w:p>
        </w:tc>
        <w:tc>
          <w:tcPr>
            <w:tcW w:type="dxa" w:w="2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2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PCI DSS v4.0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Global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Q1 2025</w:t>
            </w:r>
          </w:p>
        </w:tc>
        <w:tc>
          <w:tcPr>
            <w:tcW w:type="dxa" w:w="2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Full migration from PCI DSS v3.2.1 by March 31</w:t>
            </w:r>
          </w:p>
        </w:tc>
        <w:tc>
          <w:tcPr>
            <w:tcW w:type="dxa" w:w="2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COMPLETE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SOC 2 Type II Audit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USA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Q2 2025</w:t>
            </w:r>
          </w:p>
        </w:tc>
        <w:tc>
          <w:tcPr>
            <w:tcW w:type="dxa" w:w="2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Annual audit window April–June; report by Aug</w:t>
            </w:r>
          </w:p>
        </w:tc>
        <w:tc>
          <w:tcPr>
            <w:tcW w:type="dxa" w:w="2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 PROGRESS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PSD2 SCA Strong Auth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EU / EEA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Q2 2025</w:t>
            </w:r>
          </w:p>
        </w:tc>
        <w:tc>
          <w:tcPr>
            <w:tcW w:type="dxa" w:w="2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SCA exemption engine for low-risk transactions</w:t>
            </w:r>
          </w:p>
        </w:tc>
        <w:tc>
          <w:tcPr>
            <w:tcW w:type="dxa" w:w="2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 PROGRESS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UK FCA APP Fraud Rules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United Kingdom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Q3 2025</w:t>
            </w:r>
          </w:p>
        </w:tc>
        <w:tc>
          <w:tcPr>
            <w:tcW w:type="dxa" w:w="2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Mandatory reimbursement framework &amp; controls</w:t>
            </w:r>
          </w:p>
        </w:tc>
        <w:tc>
          <w:tcPr>
            <w:tcW w:type="dxa" w:w="2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FinCEN AML Rule Update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USA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Q3 2025</w:t>
            </w:r>
          </w:p>
        </w:tc>
        <w:tc>
          <w:tcPr>
            <w:tcW w:type="dxa" w:w="2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Enhanced beneficial ownership reporting</w:t>
            </w:r>
          </w:p>
        </w:tc>
        <w:tc>
          <w:tcPr>
            <w:tcW w:type="dxa" w:w="2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MAS Notice PSN02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Singapore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Q4 2025</w:t>
            </w:r>
          </w:p>
        </w:tc>
        <w:tc>
          <w:tcPr>
            <w:tcW w:type="dxa" w:w="2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Real-time payments risk framework compliance</w:t>
            </w:r>
          </w:p>
        </w:tc>
        <w:tc>
          <w:tcPr>
            <w:tcW w:type="dxa" w:w="2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ISO 20022 Migration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SWIFT / Global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Q4 2025</w:t>
            </w:r>
          </w:p>
        </w:tc>
        <w:tc>
          <w:tcPr>
            <w:tcW w:type="dxa" w:w="2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Full message schema migration deadline</w:t>
            </w:r>
          </w:p>
        </w:tc>
        <w:tc>
          <w:tcPr>
            <w:tcW w:type="dxa" w:w="2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PLANNED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Quarterly Milestone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2652"/>
        <w:gridCol w:w="2652"/>
        <w:gridCol w:w="2652"/>
      </w:tblGrid>
      <w:tr>
        <w:trPr>
          <w:tblHeader/>
        </w:trP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Regulatory Gates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 Milestones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Compliance Checkpoint</w:t>
            </w:r>
          </w:p>
        </w:tc>
      </w:tr>
      <w:t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Q1 2025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PCI DSS v4.0 certified; TLS 1.3 enforced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Instant settlement v1 (T+0 for domestic ACH); Tokenization engine upgrade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GO: PCI audit passed Jan 15</w:t>
            </w:r>
          </w:p>
        </w:tc>
      </w:tr>
      <w:t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Q2 2025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SOC 2 audit window; PSD2 SCA engine live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Sandbox API v3 launch; webhook reliability 99.99%; Developer CLI v2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GO/NO-GO: SOC 2 preliminary June 1</w:t>
            </w:r>
          </w:p>
        </w:tc>
      </w:tr>
      <w:t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Q3 2025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UK APP Fraud controls; AML rule updates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Mexico &amp; Colombia payment rails; Dynamic currency conversion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GO/NO-GO: Legal sign-off Aug 15</w:t>
            </w:r>
          </w:p>
        </w:tc>
      </w:tr>
      <w:tr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Q4 2025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MAS PSN02; ISO 20022 migration complete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Singapore PayNow integration; ISO 20022 message formats; Fraud ML v3</w:t>
            </w:r>
          </w:p>
        </w:tc>
        <w:tc>
          <w:tcPr>
            <w:tcW w:type="dxa" w:w="265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GO: Final compliance attestation Dec 1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Initiative Backlog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638"/>
        <w:gridCol w:w="1014"/>
        <w:gridCol w:w="1014"/>
        <w:gridCol w:w="1170"/>
        <w:gridCol w:w="2184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Initiative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Theme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Effort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  <w:tc>
          <w:tcPr>
            <w:tcW w:type="dxa" w:w="21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PCI DSS v4.0 Migration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Regulatory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P0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XL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Critical</w:t>
            </w:r>
          </w:p>
        </w:tc>
        <w:tc>
          <w:tcPr>
            <w:tcW w:type="dxa" w:w="21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Q1 2025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SOC 2 Type II Remediation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Regulatory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P0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Critical</w:t>
            </w:r>
          </w:p>
        </w:tc>
        <w:tc>
          <w:tcPr>
            <w:tcW w:type="dxa" w:w="21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Q1–Q2 2025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PSD2 SCA Exemption Engine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Regulatory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P0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High</w:t>
            </w:r>
          </w:p>
        </w:tc>
        <w:tc>
          <w:tcPr>
            <w:tcW w:type="dxa" w:w="21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Q2 2025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Instant Settlement (T+0)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Speed &amp; Reliability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P1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XL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High</w:t>
            </w:r>
          </w:p>
        </w:tc>
        <w:tc>
          <w:tcPr>
            <w:tcW w:type="dxa" w:w="21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Q1 2025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99.999% Uptime Architecture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Speed &amp; Reliability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P1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XL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High</w:t>
            </w:r>
          </w:p>
        </w:tc>
        <w:tc>
          <w:tcPr>
            <w:tcW w:type="dxa" w:w="21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Q1–Q2 2025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Fraud Detection ML v3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Speed &amp; Reliability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P1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High</w:t>
            </w:r>
          </w:p>
        </w:tc>
        <w:tc>
          <w:tcPr>
            <w:tcW w:type="dxa" w:w="21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Q4 2025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Developer Sandbox v3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Developer Experience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P2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Medium</w:t>
            </w:r>
          </w:p>
        </w:tc>
        <w:tc>
          <w:tcPr>
            <w:tcW w:type="dxa" w:w="21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Q2 2025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Webhook Reliability Engine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Developer Experience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P2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Medium</w:t>
            </w:r>
          </w:p>
        </w:tc>
        <w:tc>
          <w:tcPr>
            <w:tcW w:type="dxa" w:w="21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Q2 2025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CLI &amp; SDK v2 (Node, Python, Go)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Developer Experience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P2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Medium</w:t>
            </w:r>
          </w:p>
        </w:tc>
        <w:tc>
          <w:tcPr>
            <w:tcW w:type="dxa" w:w="21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Q2–Q3 2025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Mexico &amp; Colombia Rails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International Expansion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P2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XL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High</w:t>
            </w:r>
          </w:p>
        </w:tc>
        <w:tc>
          <w:tcPr>
            <w:tcW w:type="dxa" w:w="21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Q3 2025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Singapore PayNow + PromptPay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International Expansion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P2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High</w:t>
            </w:r>
          </w:p>
        </w:tc>
        <w:tc>
          <w:tcPr>
            <w:tcW w:type="dxa" w:w="21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Q4 2025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ISO 20022 Message Migration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International Expansion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P1</w:t>
            </w:r>
          </w:p>
        </w:tc>
        <w:tc>
          <w:tcPr>
            <w:tcW w:type="dxa" w:w="10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XL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Critical</w:t>
            </w:r>
          </w:p>
        </w:tc>
        <w:tc>
          <w:tcPr>
            <w:tcW w:type="dxa" w:w="21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Q4 2025</w:t>
            </w:r>
          </w:p>
        </w:tc>
      </w:tr>
    </w:tbl>
    <w:p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Go / No-Go Compliance Checkpoints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638"/>
        <w:gridCol w:w="2106"/>
        <w:gridCol w:w="2106"/>
        <w:gridCol w:w="1872"/>
      </w:tblGrid>
      <w:tr>
        <w:trPr>
          <w:tblHeader/>
        </w:trPr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Checkpoint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Criteria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Decision Owner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Consequence if NO-GO</w:t>
            </w:r>
          </w:p>
        </w:tc>
      </w:tr>
      <w:tr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PCI v4.0 Gate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Jan 15, 2025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QSA audit passed; no open P0 findings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CISO + CPO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Freeze all card processing features</w:t>
            </w:r>
          </w:p>
        </w:tc>
      </w:tr>
      <w:tr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PSD2 SCA Gate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Apr 1, 2025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SCA exemption engine certified by EBA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Legal + Compliance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Suspend EU product launches Q2</w:t>
            </w:r>
          </w:p>
        </w:tc>
      </w:tr>
      <w:tr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SOC 2 Preliminary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Jun 1, 2025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 critical control gaps in bridge letter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CFO + CISO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Pause enterprise sales; notify board</w:t>
            </w:r>
          </w:p>
        </w:tc>
      </w:tr>
      <w:tr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LATAM Launch Gate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Aug 15, 2025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Legal entity + regulatory approval in MX &amp; CO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General Counsel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Delay LATAM to Q1 2026</w:t>
            </w:r>
          </w:p>
        </w:tc>
      </w:tr>
      <w:tr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Year-End Attestation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Dec 1, 2025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All Q4 compliance deadlines met; ISO 20022 live</w:t>
            </w:r>
          </w:p>
        </w:tc>
        <w:tc>
          <w:tcPr>
            <w:tcW w:type="dxa" w:w="21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CEO + CPO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Executive escalation + board notification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Key Performance Indicators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638"/>
        <w:gridCol w:w="1638"/>
        <w:gridCol w:w="1638"/>
        <w:gridCol w:w="1638"/>
      </w:tblGrid>
      <w:tr>
        <w:trPr>
          <w:tblHeader/>
        </w:trP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Baseline (Q4 2024)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Q2 Target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Q4 Target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Uptime (availability)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99.82%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99.95%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99.999%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Platform Eng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Transaction fraud rate (bps)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 bps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9 bps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6 bps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Risk &amp; Fraud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Avg time-to-settle (domestic)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T+2 days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T+1 day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T+0 (instant)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Payments Eng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API p99 latency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340ms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200ms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120ms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Platform Eng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Developer sandbox activation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22%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40%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60%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DevEx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Countries supported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18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20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23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BE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International</w:t>
            </w:r>
          </w:p>
        </w:tc>
      </w:tr>
      <w:tr>
        <w:tc>
          <w:tcPr>
            <w:tcW w:type="dxa" w:w="28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Open P0 security findings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0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CISO</w:t>
            </w:r>
          </w:p>
        </w:tc>
      </w:tr>
    </w:tbl>
    <w:p>
      <w:r>
        <w:t xml:space="preserve"/>
      </w:r>
    </w:p>
    <w:p>
      <w:pPr>
        <w:spacing w:after="160"/>
      </w:pPr>
      <w:r>
        <w:rPr>
          <w:rFonts w:ascii="Arial" w:cs="Arial" w:eastAsia="Arial" w:hAnsi="Arial"/>
          <w:b w:val="false"/>
          <w:bCs w:val="false"/>
          <w:color w:val="888888"/>
          <w:sz w:val="16"/>
          <w:szCs w:val="16"/>
        </w:rPr>
        <w:t xml:space="preserve">This document contains legally privileged and compliance-sensitive information. Distribution restricted to executives, board members, and named compliance personnel only.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ClearPay Inc. — Confidential &amp; Restricted   |   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of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C3E50" w:sz="6" w:space="1"/>
      </w:pBdr>
    </w:pPr>
    <w:r>
      <w:rPr>
        <w:rFonts w:ascii="Arial" w:cs="Arial" w:eastAsia="Arial" w:hAnsi="Arial"/>
        <w:b/>
        <w:bCs/>
        <w:color w:val="2C3E50"/>
        <w:sz w:val="22"/>
        <w:szCs w:val="22"/>
      </w:rPr>
      <w:t xml:space="preserve">ClearPay</w:t>
    </w:r>
    <w:r>
      <w:rPr>
        <w:rFonts w:ascii="Arial" w:cs="Arial" w:eastAsia="Arial" w:hAnsi="Arial"/>
        <w:color w:val="555555"/>
        <w:sz w:val="18"/>
        <w:szCs w:val="18"/>
      </w:rPr>
      <w:t xml:space="preserve">   |   FY2025 Product Roadmap   |   RESTRICTED — COMPLIANCE SENSITIVE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4A556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2026-06-07T20:10:15.070Z</dcterms:created>
  <dcterms:modified xsi:type="dcterms:W3CDTF">2026-06-07T20:10:15.070Z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