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4B2E8B"/>
          <w:sz w:val="56"/>
          <w:szCs w:val="56"/>
        </w:rPr>
        <w:t xml:space="preserve">Luminary Analytics</w:t>
      </w:r>
    </w:p>
    <w:p>
      <w:pPr>
        <w:spacing w:after="80"/>
        <w:jc w:val="center"/>
      </w:pPr>
      <w:r>
        <w:rPr>
          <w:rFonts w:ascii="Arial" w:cs="Arial" w:eastAsia="Arial" w:hAnsi="Arial"/>
          <w:color w:val="6C3FC0"/>
          <w:sz w:val="40"/>
          <w:szCs w:val="40"/>
        </w:rPr>
        <w:t xml:space="preserve">18-Month Product Roadmap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Research Track + Product Track   |   2025–2026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Version 2.0   |   June 2025   |   Confidential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4B2E8B"/>
          <w:sz w:val="32"/>
          <w:szCs w:val="32"/>
        </w:rPr>
        <w:t xml:space="preserve">Executive Summary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Luminary Analytics delivers an enterprise-grade AI analytics platform that processes over 2 trillion data events per month for 140+ enterprise clients including Fortune 500 companies in financial services, healthcare, and retail. Our 18-month roadmap advances on two parallel tracks: a Research Track driving model accuracy improvements and novel ML capabilities, and a Product Track delivering user-facing features, scalability, and enterprise security hardening. 20% of engineering capacity per quarter is reserved for technical debt and platform reliability work.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4B2E8B"/>
          <w:sz w:val="32"/>
          <w:szCs w:val="32"/>
        </w:rPr>
        <w:t xml:space="preserve">Vision &amp; North Star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"Enable every enterprise data team to make faster, more accurate decisions through AI-powered analytics that are trustworthy, explainable, and enterprise-ready."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North Star Metric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Current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18-Month Target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Enterprise Logos (ARR &gt; $100K)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140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280 (+100%)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Model Accuracy (benchmark suite)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87.4%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94.0%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Query Latency p99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2,400ms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400ms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4B2E8B"/>
          <w:sz w:val="32"/>
          <w:szCs w:val="32"/>
        </w:rPr>
        <w:t xml:space="preserve">Dual-Track Roadmap Philosophy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Luminary operates a structured dual-track model to prevent "research debt" and "product drift." Each track has dedicated resources, distinct review cadences, and explicit integration milestones where research breakthroughs are productionized: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Research Track: Exploratory work with 6-12 month horizons. Outcomes are model versions (LUM-1, LUM-2, etc.) and algorithmic improvements validated on benchmark datasets. Reviewed monthly by Chief Scientist.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Product Track: User-facing feature delivery on 6-10 week cycles. Outcomes are shipped features tied to customer commitments and revenue milestones. Reviewed bi-weekly by CPO.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Integration Gates: Each quarter has defined handoff points where Research deliverables feed into Product (e.g., LUM-2 model ships into the Insights Explorer UI in Q3 2025).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Tech Debt Allocation: 20% of eng capacity per quarter is ring-fenced for reliability, infra, and codebase health. Non-negotiable.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4B2E8B"/>
          <w:sz w:val="32"/>
          <w:szCs w:val="32"/>
        </w:rPr>
        <w:t xml:space="preserve">Dual-Track Quarterly Roadmap 2025–2026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2108"/>
        <w:gridCol w:w="2108"/>
        <w:gridCol w:w="2108"/>
        <w:gridCol w:w="1996"/>
      </w:tblGrid>
      <w:tr>
        <w:trPr>
          <w:tblHeader/>
        </w:trP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Research Track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 Track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 Debt (20%)</w:t>
            </w:r>
          </w:p>
        </w:tc>
        <w:tc>
          <w:tcPr>
            <w:tcW w:type="dxa" w:w="19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Integration Gate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Q1 2025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LUM-1.5: retrieval-augmented analytics; benchmark eval on TPC-DS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Data Source Connectors v3 (50 sources); Query Builder UI v2 GA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DB index refactor; Migrate to PG 16</w:t>
            </w:r>
          </w:p>
        </w:tc>
        <w:tc>
          <w:tcPr>
            <w:tcW w:type="dxa" w:w="19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LUM-1.5 powers auto-suggest in Query Builder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2025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LUM-2: transformer-based anomaly detection; 91.2% accuracy on eval set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Anomaly Alerts engine (email/Slack/PD); SOC 2 Type II hardening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API deprecation cleanup; Cache layer v2</w:t>
            </w:r>
          </w:p>
        </w:tc>
        <w:tc>
          <w:tcPr>
            <w:tcW w:type="dxa" w:w="19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LUM-2 anomaly model ships in Alert engine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Q3 2025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LUM-2.1: multi-modal time-series + NLP hybrid; federated eval framework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Insights Explorer v1 (drag-drop chart builder); RBAC v2 + attribute-based access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Service mesh migration (Istio); Terraform IaC</w:t>
            </w:r>
          </w:p>
        </w:tc>
        <w:tc>
          <w:tcPr>
            <w:tcW w:type="dxa" w:w="19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LUM-2.1 NLP powers natural-language query in Explorer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Q4 2025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LUM-3 alpha: causal inference engine; synthetic data generation for privacy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Enterprise SSO (Okta, Azure AD, Ping); Audit log &amp; SIEM integration; Mobile app v1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OpenTelemetry tracing rollout; Shard rebalancing</w:t>
            </w:r>
          </w:p>
        </w:tc>
        <w:tc>
          <w:tcPr>
            <w:tcW w:type="dxa" w:w="19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LUM-3 causal engine in beta with 5 design partners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Q1 2026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LUM-3 GA: production causal inference + counterfactual simulations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Causal Analysis module GA; Data lineage &amp; provenance UI; SOC 2 renewal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Async job queue overhaul; gRPC migration</w:t>
            </w:r>
          </w:p>
        </w:tc>
        <w:tc>
          <w:tcPr>
            <w:tcW w:type="dxa" w:w="19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LUM-3 GA powers Causal Analysis module for all enterprise</w:t>
            </w:r>
          </w:p>
        </w:tc>
      </w:tr>
      <w:tr>
        <w:tc>
          <w:tcPr>
            <w:tcW w:type="dxa" w:w="1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2026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LUM-4 research: real-time streaming analytics ML; edge inference feasibility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Real-time streaming dashboards (Kafka/Flink); AI copilot for analysts (beta); 280 logos milestone</w:t>
            </w:r>
          </w:p>
        </w:tc>
        <w:tc>
          <w:tcPr>
            <w:tcW w:type="dxa" w:w="21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Tech debt sprint: legacy ETL decommission</w:t>
            </w:r>
          </w:p>
        </w:tc>
        <w:tc>
          <w:tcPr>
            <w:tcW w:type="dxa" w:w="19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Streaming ML from LUM-4 research feeds RT dashboard engine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4B2E8B"/>
          <w:sz w:val="32"/>
          <w:szCs w:val="32"/>
        </w:rPr>
        <w:t xml:space="preserve">Research Track Milestones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560"/>
        <w:gridCol w:w="1560"/>
        <w:gridCol w:w="2535"/>
        <w:gridCol w:w="2535"/>
      </w:tblGrid>
      <w:tr>
        <w:trPr>
          <w:tblHeader/>
        </w:trP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Accuracy</w:t>
            </w:r>
          </w:p>
        </w:tc>
        <w:tc>
          <w:tcPr>
            <w:tcW w:type="dxa" w:w="2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Capability</w:t>
            </w:r>
          </w:p>
        </w:tc>
        <w:tc>
          <w:tcPr>
            <w:tcW w:type="dxa" w:w="2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Productionization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LUM-1.5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Q1 2025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89.1%</w:t>
            </w:r>
          </w:p>
        </w:tc>
        <w:tc>
          <w:tcPr>
            <w:tcW w:type="dxa" w:w="2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Retrieval-augmented query understanding; 2x context window</w:t>
            </w:r>
          </w:p>
        </w:tc>
        <w:tc>
          <w:tcPr>
            <w:tcW w:type="dxa" w:w="2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Auto-suggest in Query Builder v2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91.2%</w:t>
            </w:r>
          </w:p>
        </w:tc>
        <w:tc>
          <w:tcPr>
            <w:tcW w:type="dxa" w:w="2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Transformer anomaly detection; &lt; 0.5% false positive rate</w:t>
            </w:r>
          </w:p>
        </w:tc>
        <w:tc>
          <w:tcPr>
            <w:tcW w:type="dxa" w:w="2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Anomaly Alerts engine (email, Slack, PagerDuty)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LUM-2.1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Q3 2025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92.4%</w:t>
            </w:r>
          </w:p>
        </w:tc>
        <w:tc>
          <w:tcPr>
            <w:tcW w:type="dxa" w:w="2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Multi-modal time-series + NLP hybrid; natural-language query</w:t>
            </w:r>
          </w:p>
        </w:tc>
        <w:tc>
          <w:tcPr>
            <w:tcW w:type="dxa" w:w="2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Natural-language query in Insights Explorer v1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Q4 2025–Q1 2026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93.6%</w:t>
            </w:r>
          </w:p>
        </w:tc>
        <w:tc>
          <w:tcPr>
            <w:tcW w:type="dxa" w:w="2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Causal inference engine; counterfactual simulations</w:t>
            </w:r>
          </w:p>
        </w:tc>
        <w:tc>
          <w:tcPr>
            <w:tcW w:type="dxa" w:w="2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Causal Analysis module GA in Q1 2026</w:t>
            </w:r>
          </w:p>
        </w:tc>
      </w:tr>
      <w:tr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LUM-4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2026 (research)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94.0%+</w:t>
            </w:r>
          </w:p>
        </w:tc>
        <w:tc>
          <w:tcPr>
            <w:tcW w:type="dxa" w:w="2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Real-time streaming ML; edge inference feasibility study</w:t>
            </w:r>
          </w:p>
        </w:tc>
        <w:tc>
          <w:tcPr>
            <w:tcW w:type="dxa" w:w="2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Feeds real-time streaming dashboards (Q2 2026)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4B2E8B"/>
          <w:sz w:val="32"/>
          <w:szCs w:val="32"/>
        </w:rPr>
        <w:t xml:space="preserve">Infrastructure Scaling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638"/>
        <w:gridCol w:w="1638"/>
        <w:gridCol w:w="1638"/>
        <w:gridCol w:w="1638"/>
      </w:tblGrid>
      <w:tr>
        <w:trPr>
          <w:tblHeader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Infra Metric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Current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Q2 2025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Q4 2025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Q2 2026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Daily events processed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800B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1.2T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1.8T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2.5T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Query latency p99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2,400ms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1,200ms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600ms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400ms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Query latency p50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280ms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180ms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120ms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80ms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Data ingestion lag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 minutes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 minutes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90 seconds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15 seconds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Uptime SLA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99.5%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99.9%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99.95%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99.99%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Max concurrent queries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1,200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2,400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5,000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10,000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Supported data sources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50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75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100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4B2E8B"/>
          <w:sz w:val="32"/>
          <w:szCs w:val="32"/>
        </w:rPr>
        <w:t xml:space="preserve">Success Metrics &amp; KPIs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638"/>
        <w:gridCol w:w="1638"/>
        <w:gridCol w:w="1638"/>
        <w:gridCol w:w="1638"/>
      </w:tblGrid>
      <w:tr>
        <w:trPr>
          <w:tblHeader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Baseline (Q1 2025)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Q4 2025 Target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Q2 2026 Target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B2E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Model accuracy (benchmark)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87.4%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93.0%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94.0%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Research Team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Query latency p99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2,400ms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600ms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400ms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Platform Eng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Enterprise logos (ARR &gt; $100K)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140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200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280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Sales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Annual Recurring Revenue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$22M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$38M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$58M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Finance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Net Revenue Retention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118%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127%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135%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Customer Success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Data source connectors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75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100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Integrations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Analyst NPS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34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48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58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Product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SOC 2 Type II compliance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 progress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Achieved Q2 2025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Renewed Q2 2026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B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Security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4B2E8B"/>
          <w:sz w:val="32"/>
          <w:szCs w:val="32"/>
        </w:rPr>
        <w:t xml:space="preserve">Strategic Themes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6C3FC0"/>
          <w:sz w:val="26"/>
          <w:szCs w:val="26"/>
        </w:rPr>
        <w:t xml:space="preserve">Model Quality &amp; Accuracy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LUM model family versioning with reproducible eval harness on 12 benchmark datasets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Causal inference (LUM-3) enables "what-if" scenario analysis for business decisions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Model explainability dashboard: SHAP-based feature importance, per-prediction audit trail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C3FC0"/>
          <w:sz w:val="26"/>
          <w:szCs w:val="26"/>
        </w:rPr>
        <w:t xml:space="preserve">Data Ingestion &amp; Scale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Kafka-native streaming ingestion; sub-15-second data freshness by Q2 2026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100+ connector library covering SaaS apps, databases, data warehouses, and event streams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Auto-schema evolution: Luminary adapts to upstream schema changes without manual ETL updates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C3FC0"/>
          <w:sz w:val="26"/>
          <w:szCs w:val="26"/>
        </w:rPr>
        <w:t xml:space="preserve">User-Facing Analytics UI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Insights Explorer: no-code drag-drop chart builder with ML-suggested visualization types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Natural-language query interface: "Show me revenue by region last 90 days" in plain English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AI Analyst Copilot (Q2 2026): proactive insight recommendations pushed to analysts daily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6C3FC0"/>
          <w:sz w:val="26"/>
          <w:szCs w:val="26"/>
        </w:rPr>
        <w:t xml:space="preserve">Enterprise Security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SOC 2 Type II achieved Q2 2025; ISO 27001 certification roadmapped for Q1 2026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RBAC v2 + ABAC: row-level and column-level security with attribute-based policy engine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333333"/>
          <w:sz w:val="18"/>
          <w:szCs w:val="18"/>
        </w:rPr>
        <w:t xml:space="preserve">SIEM integration: real-time audit events to Splunk, Datadog, and AWS Security Hub</w:t>
      </w:r>
    </w:p>
    <w:p>
      <w:r>
        <w:t xml:space="preserve"/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color w:val="888888"/>
          <w:sz w:val="16"/>
          <w:szCs w:val="16"/>
        </w:rPr>
        <w:t xml:space="preserve">Roadmap reviewed by: Chief Scientist, CPO, CTO, CFO. Next quarterly review: September 2025. Contact: roadmap@luminaryanalytics.ai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Luminary Analytics — Confidential   |  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B2E8B" w:sz="6" w:space="1"/>
      </w:pBdr>
    </w:pPr>
    <w:r>
      <w:rPr>
        <w:rFonts w:ascii="Arial" w:cs="Arial" w:eastAsia="Arial" w:hAnsi="Arial"/>
        <w:b/>
        <w:bCs/>
        <w:color w:val="4B2E8B"/>
        <w:sz w:val="22"/>
        <w:szCs w:val="22"/>
      </w:rPr>
      <w:t xml:space="preserve">Luminary Analytics</w:t>
    </w:r>
    <w:r>
      <w:rPr>
        <w:rFonts w:ascii="Arial" w:cs="Arial" w:eastAsia="Arial" w:hAnsi="Arial"/>
        <w:color w:val="555555"/>
        <w:sz w:val="18"/>
        <w:szCs w:val="18"/>
      </w:rPr>
      <w:t xml:space="preserve">   |   18-Month Roadmap 2025–2026   |   Dual-Track: Research + Product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4B2E8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6C3FC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2026-06-07T20:10:51.365Z</dcterms:created>
  <dcterms:modified xsi:type="dcterms:W3CDTF">2026-06-07T20:10:51.365Z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