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p>
      <w:pPr>
        <w:spacing w:after="60" w:before="0"/>
        <w:jc w:val="center"/>
      </w:pPr>
      <w:r>
        <w:rPr>
          <w:rFonts w:ascii="Arial" w:cs="Arial" w:eastAsia="Arial" w:hAnsi="Arial"/>
          <w:b/>
          <w:bCs/>
          <w:color w:val="5E8E3E"/>
          <w:sz w:val="52"/>
          <w:szCs w:val="52"/>
        </w:rPr>
        <w:t xml:space="preserve">SHOPIFY INC.</w:t>
      </w:r>
    </w:p>
    <w:p>
      <w:pPr>
        <w:spacing w:after="60" w:before="0"/>
        <w:jc w:val="center"/>
      </w:pPr>
      <w:r>
        <w:rPr>
          <w:rFonts w:ascii="Arial" w:cs="Arial" w:eastAsia="Arial" w:hAnsi="Arial"/>
          <w:b/>
          <w:bCs/>
          <w:color w:val="222222"/>
          <w:sz w:val="36"/>
          <w:szCs w:val="36"/>
        </w:rPr>
        <w:t xml:space="preserve">Shopify Markets — Cross-Border Commerce</w:t>
      </w:r>
    </w:p>
    <w:p>
      <w:pPr>
        <w:spacing w:after="80" w:before="0"/>
        <w:jc w:val="center"/>
      </w:pPr>
      <w:r>
        <w:rPr>
          <w:rFonts w:ascii="Arial" w:cs="Arial" w:eastAsia="Arial" w:hAnsi="Arial"/>
          <w:i/>
          <w:iCs/>
          <w:color w:val="555555"/>
          <w:sz w:val="28"/>
          <w:szCs w:val="28"/>
        </w:rPr>
        <w:t xml:space="preserve">Product Strategy, Vision &amp; OKRs</w:t>
      </w:r>
    </w:p>
    <w:p>
      <w:pPr>
        <w:spacing w:after="0" w:before="80"/>
      </w:pPr>
    </w:p>
    <w:tbl>
      <w:tblPr>
        <w:tblW w:type="dxa" w:w="5760"/>
        <w:jc w:val="center"/>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tblGrid>
      <w:tr>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18"/>
                <w:szCs w:val="18"/>
              </w:rPr>
              <w:t xml:space="preserve">Classification</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Internal / Confidential</w:t>
            </w:r>
          </w:p>
        </w:tc>
      </w:tr>
      <w:tr>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18"/>
                <w:szCs w:val="18"/>
              </w:rPr>
              <w:t xml:space="preserve">Period</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Q2 2025</w:t>
            </w:r>
          </w:p>
        </w:tc>
      </w:tr>
      <w:tr>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18"/>
                <w:szCs w:val="18"/>
              </w:rPr>
              <w:t xml:space="preserve">Owner</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Shopify Markets Product Team</w:t>
            </w:r>
          </w:p>
        </w:tc>
      </w:tr>
      <w:tr>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18"/>
                <w:szCs w:val="18"/>
              </w:rPr>
              <w:t xml:space="preserve">Version</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v2.0 — Executive Approved</w:t>
            </w:r>
          </w:p>
        </w:tc>
      </w:tr>
    </w:tbl>
    <w:p>
      <w:pPr>
        <w:spacing w:after="0" w:before="200"/>
      </w:pPr>
    </w:p>
    <w:p>
      <w:pPr>
        <w:pBdr>
          <w:bottom w:val="single" w:color="5E8E3E" w:sz="4" w:space="4"/>
        </w:pBdr>
        <w:spacing w:after="160" w:before="320"/>
      </w:pPr>
      <w:r>
        <w:rPr>
          <w:rFonts w:ascii="Arial" w:cs="Arial" w:eastAsia="Arial" w:hAnsi="Arial"/>
          <w:b/>
          <w:bCs/>
          <w:color w:val="5E8E3E"/>
          <w:sz w:val="32"/>
          <w:szCs w:val="32"/>
        </w:rPr>
        <w:t xml:space="preserve">Executive Summary</w:t>
      </w:r>
    </w:p>
    <w:p>
      <w:pPr>
        <w:spacing w:after="100" w:before="80"/>
      </w:pPr>
      <w:r>
        <w:rPr>
          <w:rFonts w:ascii="Arial" w:cs="Arial" w:eastAsia="Arial" w:hAnsi="Arial"/>
          <w:sz w:val="20"/>
          <w:szCs w:val="20"/>
        </w:rPr>
        <w:t xml:space="preserve">Cross-border ecommerce reached $1.09 trillion in 2024, representing 22% of all global ecommerce. Yet for the majority of Shopify's 1.75M+ merchants, international expansion remains an operational nightmare: fragmented currency management, opaque duty and tax compliance, localization complexity, and checkout abandonment rates of 65%+ from international buyers confronted with unfamiliar payment experiences. Shopify Markets, launched in 2021 and significantly expanded in 2023 with Markets Pro, was designed to solve exactly this. In 2024, Markets processed $28B in cross-border GMV — growing at 41% YoY — but merchant penetration remains at just 18% of qualifying merchants. The 2025 strategy for Shopify Markets is fundamentally an adoption play: the product infrastructure exists; the challenge is merchant activation, education, and market-specific localization depth. This document establishes the vision, strategic pillars, and Q2–Q4 2025 OKRs to double cross-border GMV to $55B run rate, increase merchant adoption to 35%, and establish Shopify as the global infrastructure layer that makes cross-border commerce as simple as domestic commerce for any merchant, anywhere.</w:t>
      </w:r>
    </w:p>
    <w:p>
      <w:pPr>
        <w:spacing w:after="0" w:before="80"/>
      </w:pPr>
    </w:p>
    <w:p>
      <w:pPr>
        <w:pBdr>
          <w:bottom w:val="single" w:color="5E8E3E" w:sz="4" w:space="4"/>
        </w:pBdr>
        <w:spacing w:after="160" w:before="320"/>
      </w:pPr>
      <w:r>
        <w:rPr>
          <w:rFonts w:ascii="Arial" w:cs="Arial" w:eastAsia="Arial" w:hAnsi="Arial"/>
          <w:b/>
          <w:bCs/>
          <w:color w:val="5E8E3E"/>
          <w:sz w:val="32"/>
          <w:szCs w:val="32"/>
        </w:rPr>
        <w:t xml:space="preserve">Vision Statement</w:t>
      </w:r>
    </w:p>
    <w:p>
      <w:pPr>
        <w:pBdr>
          <w:left w:val="single" w:color="5E8E3E" w:sz="16" w:space="8"/>
        </w:pBdr>
        <w:spacing w:after="120" w:before="120"/>
        <w:ind w:left="360"/>
      </w:pPr>
      <w:r>
        <w:rPr>
          <w:rFonts w:ascii="Arial" w:cs="Arial" w:eastAsia="Arial" w:hAnsi="Arial"/>
          <w:b/>
          <w:bCs/>
          <w:i/>
          <w:iCs/>
          <w:color w:val="222222"/>
          <w:sz w:val="24"/>
          <w:szCs w:val="24"/>
        </w:rPr>
        <w:t xml:space="preserve">To make global commerce accessible to every merchant on Earth — so that any entrepreneur in Lagos, Lisbon, or Louisville can sell to any buyer in Tokyo, Toronto, or Tunis with the same ease, trust, and efficiency as selling to a neighbor.</w:t>
      </w:r>
    </w:p>
    <w:p>
      <w:pPr>
        <w:spacing w:after="0" w:before="80"/>
      </w:pPr>
    </w:p>
    <w:p>
      <w:pPr>
        <w:pBdr>
          <w:bottom w:val="single" w:color="5E8E3E" w:sz="4" w:space="4"/>
        </w:pBdr>
        <w:spacing w:after="160" w:before="320"/>
      </w:pPr>
      <w:r>
        <w:rPr>
          <w:rFonts w:ascii="Arial" w:cs="Arial" w:eastAsia="Arial" w:hAnsi="Arial"/>
          <w:b/>
          <w:bCs/>
          <w:color w:val="5E8E3E"/>
          <w:sz w:val="32"/>
          <w:szCs w:val="32"/>
        </w:rPr>
        <w:t xml:space="preserve">Mission Statement</w:t>
      </w:r>
    </w:p>
    <w:p>
      <w:pPr>
        <w:spacing w:after="100" w:before="80"/>
      </w:pPr>
      <w:r>
        <w:rPr>
          <w:rFonts w:ascii="Arial" w:cs="Arial" w:eastAsia="Arial" w:hAnsi="Arial"/>
          <w:sz w:val="20"/>
          <w:szCs w:val="20"/>
        </w:rPr>
        <w:t xml:space="preserve">Shopify Markets exists to remove every friction — regulatory, linguistic, financial, and logistical — that stands between a Shopify merchant and a global customer, so that the world's GDP is more equitably distributed through independent commerce.</w:t>
      </w:r>
    </w:p>
    <w:p>
      <w:pPr>
        <w:spacing w:after="0" w:before="80"/>
      </w:pPr>
    </w:p>
    <w:p>
      <w:pPr>
        <w:pBdr>
          <w:bottom w:val="single" w:color="5E8E3E" w:sz="4" w:space="4"/>
        </w:pBdr>
        <w:spacing w:after="160" w:before="320"/>
      </w:pPr>
      <w:r>
        <w:rPr>
          <w:rFonts w:ascii="Arial" w:cs="Arial" w:eastAsia="Arial" w:hAnsi="Arial"/>
          <w:b/>
          <w:bCs/>
          <w:color w:val="5E8E3E"/>
          <w:sz w:val="32"/>
          <w:szCs w:val="32"/>
        </w:rPr>
        <w:t xml:space="preserve">Market Context &amp; Why Now</w:t>
      </w:r>
    </w:p>
    <w:p>
      <w:pPr>
        <w:spacing w:after="100" w:before="80"/>
      </w:pPr>
      <w:r>
        <w:rPr>
          <w:rFonts w:ascii="Arial" w:cs="Arial" w:eastAsia="Arial" w:hAnsi="Arial"/>
          <w:sz w:val="20"/>
          <w:szCs w:val="20"/>
        </w:rPr>
        <w:t xml:space="preserve">Cross-border ecommerce is growing at 2.5x the rate of domestic ecommerce, fueled by social commerce (TikTok Shop global, Instagram Shopping), DTC brand expansion, and AI-powered translation/localization. The regulatory environment is simultaneously becoming more complex (EU VAT OSS, UK post-Brexit customs, Canada digital services tax, India FDI rules) and more addressable through automation. Three structural shifts define the 2025 market moment: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DDDDDD" w:sz="1"/>
              <w:left w:val="single" w:color="DDDDDD" w:sz="1"/>
              <w:bottom w:val="single" w:color="DDDDDD" w:sz="1"/>
              <w:right w:val="single" w:color="DDDDDD" w:sz="1"/>
            </w:tcBorders>
            <w:shd w:fill="5E8E3E" w:val="clear"/>
            <w:tcMar>
              <w:top w:type="dxa" w:w="100"/>
              <w:left w:type="dxa" w:w="120"/>
              <w:bottom w:type="dxa" w:w="100"/>
              <w:right w:type="dxa" w:w="120"/>
            </w:tcMar>
            <w:vAlign w:val="center"/>
          </w:tcPr>
          <w:p>
            <w:r>
              <w:rPr>
                <w:rFonts w:ascii="Arial" w:cs="Arial" w:eastAsia="Arial" w:hAnsi="Arial"/>
                <w:b/>
                <w:bCs/>
                <w:color w:val="FFFFFF"/>
                <w:sz w:val="20"/>
                <w:szCs w:val="20"/>
              </w:rPr>
              <w:t xml:space="preserve">Trend</w:t>
            </w:r>
          </w:p>
        </w:tc>
        <w:tc>
          <w:tcPr>
            <w:tcW w:type="dxa" w:w="3400"/>
            <w:tcBorders>
              <w:top w:val="single" w:color="DDDDDD" w:sz="1"/>
              <w:left w:val="single" w:color="DDDDDD" w:sz="1"/>
              <w:bottom w:val="single" w:color="DDDDDD" w:sz="1"/>
              <w:right w:val="single" w:color="DDDDDD" w:sz="1"/>
            </w:tcBorders>
            <w:shd w:fill="5E8E3E" w:val="clear"/>
            <w:tcMar>
              <w:top w:type="dxa" w:w="100"/>
              <w:left w:type="dxa" w:w="120"/>
              <w:bottom w:type="dxa" w:w="100"/>
              <w:right w:type="dxa" w:w="120"/>
            </w:tcMar>
            <w:vAlign w:val="center"/>
          </w:tcPr>
          <w:p>
            <w:r>
              <w:rPr>
                <w:rFonts w:ascii="Arial" w:cs="Arial" w:eastAsia="Arial" w:hAnsi="Arial"/>
                <w:b/>
                <w:bCs/>
                <w:color w:val="FFFFFF"/>
                <w:sz w:val="20"/>
                <w:szCs w:val="20"/>
              </w:rPr>
              <w:t xml:space="preserve">Market Signal</w:t>
            </w:r>
          </w:p>
        </w:tc>
        <w:tc>
          <w:tcPr>
            <w:tcW w:type="dxa" w:w="3560"/>
            <w:tcBorders>
              <w:top w:val="single" w:color="DDDDDD" w:sz="1"/>
              <w:left w:val="single" w:color="DDDDDD" w:sz="1"/>
              <w:bottom w:val="single" w:color="DDDDDD" w:sz="1"/>
              <w:right w:val="single" w:color="DDDDDD" w:sz="1"/>
            </w:tcBorders>
            <w:shd w:fill="5E8E3E" w:val="clear"/>
            <w:tcMar>
              <w:top w:type="dxa" w:w="100"/>
              <w:left w:type="dxa" w:w="120"/>
              <w:bottom w:type="dxa" w:w="100"/>
              <w:right w:type="dxa" w:w="120"/>
            </w:tcMar>
            <w:vAlign w:val="center"/>
          </w:tcPr>
          <w:p>
            <w:r>
              <w:rPr>
                <w:rFonts w:ascii="Arial" w:cs="Arial" w:eastAsia="Arial" w:hAnsi="Arial"/>
                <w:b/>
                <w:bCs/>
                <w:color w:val="FFFFFF"/>
                <w:sz w:val="20"/>
                <w:szCs w:val="20"/>
              </w:rPr>
              <w:t xml:space="preserve">Implication for Shopify Markets</w:t>
            </w:r>
          </w:p>
        </w:tc>
      </w:tr>
      <w:tr>
        <w:tc>
          <w:tcPr>
            <w:tcW w:type="dxa" w:w="2400"/>
            <w:tcBorders>
              <w:top w:val="single" w:color="DDDDDD" w:sz="1"/>
              <w:left w:val="single" w:color="DDDDDD" w:sz="1"/>
              <w:bottom w:val="single" w:color="DDDDDD" w:sz="1"/>
              <w:right w:val="single" w:color="DDDDDD" w:sz="1"/>
            </w:tcBorders>
            <w:shd w:fill="EFF5E9" w:val="clear"/>
            <w:tcMar>
              <w:top w:type="dxa" w:w="80"/>
              <w:left w:type="dxa" w:w="120"/>
              <w:bottom w:type="dxa" w:w="80"/>
              <w:right w:type="dxa" w:w="120"/>
            </w:tcMar>
          </w:tcPr>
          <w:p>
            <w:r>
              <w:rPr>
                <w:rFonts w:ascii="Arial" w:cs="Arial" w:eastAsia="Arial" w:hAnsi="Arial"/>
                <w:b w:val="false"/>
                <w:bCs w:val="false"/>
                <w:sz w:val="20"/>
                <w:szCs w:val="20"/>
              </w:rPr>
              <w:t xml:space="preserve">Social Commerce Cross-Border Boom</w:t>
            </w:r>
          </w:p>
        </w:tc>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TikTok Shop expansion to 10 new markets in 2024; 48% of Gen Z global purchases begin on social platforms</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Markets must integrate with TikTok Shop, Instagram, and Pinterest storefronts to capture social-to-global buyer journeys</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Regulatory Complexity as Moat</w:t>
            </w:r>
          </w:p>
        </w:tc>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EU DAC7 reporting, CBAM, UK plastic tax, India GST changes — SMB merchants increasingly cannot navigate compliance alone</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Markets Pro's managed duty/tax and DDP shipping is the only SMB-accessible compliance automation; moat deepens annually</w:t>
            </w:r>
          </w:p>
        </w:tc>
      </w:tr>
      <w:tr>
        <w:tc>
          <w:tcPr>
            <w:tcW w:type="dxa" w:w="2400"/>
            <w:tcBorders>
              <w:top w:val="single" w:color="DDDDDD" w:sz="1"/>
              <w:left w:val="single" w:color="DDDDDD" w:sz="1"/>
              <w:bottom w:val="single" w:color="DDDDDD" w:sz="1"/>
              <w:right w:val="single" w:color="DDDDDD" w:sz="1"/>
            </w:tcBorders>
            <w:shd w:fill="EFF5E9" w:val="clear"/>
            <w:tcMar>
              <w:top w:type="dxa" w:w="80"/>
              <w:left w:type="dxa" w:w="120"/>
              <w:bottom w:type="dxa" w:w="80"/>
              <w:right w:type="dxa" w:w="120"/>
            </w:tcMar>
          </w:tcPr>
          <w:p>
            <w:r>
              <w:rPr>
                <w:rFonts w:ascii="Arial" w:cs="Arial" w:eastAsia="Arial" w:hAnsi="Arial"/>
                <w:b w:val="false"/>
                <w:bCs w:val="false"/>
                <w:sz w:val="20"/>
                <w:szCs w:val="20"/>
              </w:rPr>
              <w:t xml:space="preserve">Currency &amp; Payment Localization ROI</w:t>
            </w:r>
          </w:p>
        </w:tc>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Merchants offering local currency checkout see 13% lower cart abandonment internationally; local payment method support increases conversion 19%</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Markets currency management and local payment methods (iDEAL, Klarna, Boleto, Alipay) are proven ROI drivers — must be default</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APAC &amp; LATAM Merchant Growth</w:t>
            </w:r>
          </w:p>
        </w:tc>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Shopify APAC merchant base grew 62% in 2024; LATAM grew 58%. Both regions have higher cross-border buyer intent than North America</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Market-specific expansion playbooks for JP, AU, BR, MX, IN required — not a one-size-fits-all Markets product</w:t>
            </w:r>
          </w:p>
        </w:tc>
      </w:tr>
    </w:tbl>
    <w:p>
      <w:pPr>
        <w:spacing w:after="0" w:before="100"/>
      </w:pPr>
    </w:p>
    <w:p>
      <w:r>
        <w:br w:type="page"/>
      </w:r>
    </w:p>
    <w:p>
      <w:pPr>
        <w:pBdr>
          <w:bottom w:val="single" w:color="5E8E3E" w:sz="4" w:space="4"/>
        </w:pBdr>
        <w:spacing w:after="160" w:before="320"/>
      </w:pPr>
      <w:r>
        <w:rPr>
          <w:rFonts w:ascii="Arial" w:cs="Arial" w:eastAsia="Arial" w:hAnsi="Arial"/>
          <w:b/>
          <w:bCs/>
          <w:color w:val="5E8E3E"/>
          <w:sz w:val="32"/>
          <w:szCs w:val="32"/>
        </w:rPr>
        <w:t xml:space="preserve">Target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DDDDDD" w:sz="1"/>
              <w:left w:val="single" w:color="DDDDDD" w:sz="1"/>
              <w:bottom w:val="single" w:color="DDDDDD" w:sz="1"/>
              <w:right w:val="single" w:color="DDDDDD" w:sz="1"/>
            </w:tcBorders>
            <w:shd w:fill="5E8E3E" w:val="clear"/>
            <w:tcMar>
              <w:top w:type="dxa" w:w="100"/>
              <w:left w:type="dxa" w:w="120"/>
              <w:bottom w:type="dxa" w:w="100"/>
              <w:right w:type="dxa" w:w="120"/>
            </w:tcMar>
            <w:vAlign w:val="center"/>
          </w:tcPr>
          <w:p>
            <w:r>
              <w:rPr>
                <w:rFonts w:ascii="Arial" w:cs="Arial" w:eastAsia="Arial" w:hAnsi="Arial"/>
                <w:b/>
                <w:bCs/>
                <w:color w:val="FFFFFF"/>
                <w:sz w:val="20"/>
                <w:szCs w:val="20"/>
              </w:rPr>
              <w:t xml:space="preserve">Segment</w:t>
            </w:r>
          </w:p>
        </w:tc>
        <w:tc>
          <w:tcPr>
            <w:tcW w:type="dxa" w:w="3560"/>
            <w:tcBorders>
              <w:top w:val="single" w:color="DDDDDD" w:sz="1"/>
              <w:left w:val="single" w:color="DDDDDD" w:sz="1"/>
              <w:bottom w:val="single" w:color="DDDDDD" w:sz="1"/>
              <w:right w:val="single" w:color="DDDDDD" w:sz="1"/>
            </w:tcBorders>
            <w:shd w:fill="5E8E3E" w:val="clear"/>
            <w:tcMar>
              <w:top w:type="dxa" w:w="100"/>
              <w:left w:type="dxa" w:w="120"/>
              <w:bottom w:type="dxa" w:w="100"/>
              <w:right w:type="dxa" w:w="120"/>
            </w:tcMar>
            <w:vAlign w:val="center"/>
          </w:tcPr>
          <w:p>
            <w:r>
              <w:rPr>
                <w:rFonts w:ascii="Arial" w:cs="Arial" w:eastAsia="Arial" w:hAnsi="Arial"/>
                <w:b/>
                <w:bCs/>
                <w:color w:val="FFFFFF"/>
                <w:sz w:val="20"/>
                <w:szCs w:val="20"/>
              </w:rPr>
              <w:t xml:space="preserve">Description</w:t>
            </w:r>
          </w:p>
        </w:tc>
        <w:tc>
          <w:tcPr>
            <w:tcW w:type="dxa" w:w="3600"/>
            <w:tcBorders>
              <w:top w:val="single" w:color="DDDDDD" w:sz="1"/>
              <w:left w:val="single" w:color="DDDDDD" w:sz="1"/>
              <w:bottom w:val="single" w:color="DDDDDD" w:sz="1"/>
              <w:right w:val="single" w:color="DDDDDD" w:sz="1"/>
            </w:tcBorders>
            <w:shd w:fill="5E8E3E" w:val="clear"/>
            <w:tcMar>
              <w:top w:type="dxa" w:w="100"/>
              <w:left w:type="dxa" w:w="120"/>
              <w:bottom w:type="dxa" w:w="100"/>
              <w:right w:type="dxa" w:w="120"/>
            </w:tcMar>
            <w:vAlign w:val="center"/>
          </w:tcPr>
          <w:p>
            <w:r>
              <w:rPr>
                <w:rFonts w:ascii="Arial" w:cs="Arial" w:eastAsia="Arial" w:hAnsi="Arial"/>
                <w:b/>
                <w:bCs/>
                <w:color w:val="FFFFFF"/>
                <w:sz w:val="20"/>
                <w:szCs w:val="20"/>
              </w:rPr>
              <w:t xml:space="preserve">Why They Matter</w:t>
            </w:r>
          </w:p>
        </w:tc>
      </w:tr>
      <w:tr>
        <w:tc>
          <w:tcPr>
            <w:tcW w:type="dxa" w:w="2200"/>
            <w:tcBorders>
              <w:top w:val="single" w:color="DDDDDD" w:sz="1"/>
              <w:left w:val="single" w:color="DDDDDD" w:sz="1"/>
              <w:bottom w:val="single" w:color="DDDDDD" w:sz="1"/>
              <w:right w:val="single" w:color="DDDDDD" w:sz="1"/>
            </w:tcBorders>
            <w:shd w:fill="EFF5E9" w:val="clear"/>
            <w:tcMar>
              <w:top w:type="dxa" w:w="80"/>
              <w:left w:type="dxa" w:w="120"/>
              <w:bottom w:type="dxa" w:w="80"/>
              <w:right w:type="dxa" w:w="120"/>
            </w:tcMar>
          </w:tcPr>
          <w:p>
            <w:r>
              <w:rPr>
                <w:rFonts w:ascii="Arial" w:cs="Arial" w:eastAsia="Arial" w:hAnsi="Arial"/>
                <w:b w:val="false"/>
                <w:bCs w:val="false"/>
                <w:sz w:val="20"/>
                <w:szCs w:val="20"/>
              </w:rPr>
              <w:t xml:space="preserve">DTC Mid-Market Merchants ($1M–$50M GMV)</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Established single-country merchants ready to expand internationally. Have product-market fit domestically but lack cross-border expertise or staffing.</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Highest Markets revenue per merchant; 80%+ qualified for Markets Pro. Primary growth engine for cross-border GMV increase.</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APAC-Origin Merchants</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Merchants in Japan, Australia, South Korea, India selling into Western markets. Often strong product + weak checkout localization.</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Fast-growing merchant segment; highest cross-border intent; need currency, language, and regulatory localization for EU/US buyers.</w:t>
            </w:r>
          </w:p>
        </w:tc>
      </w:tr>
      <w:tr>
        <w:tc>
          <w:tcPr>
            <w:tcW w:type="dxa" w:w="2200"/>
            <w:tcBorders>
              <w:top w:val="single" w:color="DDDDDD" w:sz="1"/>
              <w:left w:val="single" w:color="DDDDDD" w:sz="1"/>
              <w:bottom w:val="single" w:color="DDDDDD" w:sz="1"/>
              <w:right w:val="single" w:color="DDDDDD" w:sz="1"/>
            </w:tcBorders>
            <w:shd w:fill="EFF5E9" w:val="clear"/>
            <w:tcMar>
              <w:top w:type="dxa" w:w="80"/>
              <w:left w:type="dxa" w:w="120"/>
              <w:bottom w:type="dxa" w:w="80"/>
              <w:right w:type="dxa" w:w="120"/>
            </w:tcMar>
          </w:tcPr>
          <w:p>
            <w:r>
              <w:rPr>
                <w:rFonts w:ascii="Arial" w:cs="Arial" w:eastAsia="Arial" w:hAnsi="Arial"/>
                <w:b w:val="false"/>
                <w:bCs w:val="false"/>
                <w:sz w:val="20"/>
                <w:szCs w:val="20"/>
              </w:rPr>
              <w:t xml:space="preserve">Social Commerce Merchants (DTC Brand + Influencer)</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Merchants driving significant revenue through TikTok Shop, Instagram, Pinterest. International buyer traffic is organic but often unconverted.</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High-velocity, high-intent international buyer flow that Markets can convert. TikTok Shop integration is the activation trigger.</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Shopify Plus Enterprise (Global Flagship)</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Large enterprise merchants (100M+ GMV) needing centralized multi-market management, transfer pricing, and enterprise compliance.</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Highest ACV; drive outsized cross-border GMV. Markets Pro enterprise tier unlocks new Shopify Plus expansion revenue.</w:t>
            </w:r>
          </w:p>
        </w:tc>
      </w:tr>
    </w:tbl>
    <w:p>
      <w:pPr>
        <w:spacing w:after="0" w:before="120"/>
      </w:pPr>
    </w:p>
    <w:p>
      <w:pPr>
        <w:pBdr>
          <w:bottom w:val="single" w:color="5E8E3E" w:sz="4" w:space="4"/>
        </w:pBdr>
        <w:spacing w:after="160" w:before="320"/>
      </w:pPr>
      <w:r>
        <w:rPr>
          <w:rFonts w:ascii="Arial" w:cs="Arial" w:eastAsia="Arial" w:hAnsi="Arial"/>
          <w:b/>
          <w:bCs/>
          <w:color w:val="5E8E3E"/>
          <w:sz w:val="32"/>
          <w:szCs w:val="32"/>
        </w:rPr>
        <w:t xml:space="preserve">Strategic Pillars</w:t>
      </w:r>
    </w:p>
    <w:p>
      <w:pPr>
        <w:spacing w:after="100" w:before="240"/>
      </w:pPr>
      <w:r>
        <w:rPr>
          <w:rFonts w:ascii="Arial" w:cs="Arial" w:eastAsia="Arial" w:hAnsi="Arial"/>
          <w:b/>
          <w:bCs/>
          <w:color w:val="3D5C28"/>
          <w:sz w:val="26"/>
          <w:szCs w:val="26"/>
        </w:rPr>
        <w:t xml:space="preserve">Pillar 1: Merchant Activation at Scale</w:t>
      </w:r>
    </w:p>
    <w:p>
      <w:pPr>
        <w:spacing w:after="100" w:before="80"/>
      </w:pPr>
      <w:r>
        <w:rPr>
          <w:rFonts w:ascii="Arial" w:cs="Arial" w:eastAsia="Arial" w:hAnsi="Arial"/>
          <w:sz w:val="20"/>
          <w:szCs w:val="20"/>
        </w:rPr>
        <w:t xml:space="preserve">The most important lever for cross-border GMV growth in 2025 is not product feature development — it is merchant activation. 82% of qualifying Shopify merchants have never enabled a Market. The primary barrier is not cost or complexity; it is awareness and perceived effort. We will launch a proactive Markets Activation Program: an in-admin wizard that detects international traffic signals, recommends target markets based on existing buyer geography data, pre-configures currency, language, and duty settings, and provides a single-click 'Launch this Market' experience with a merchant success guarantee. Every merchant with 10%+ international traffic will receive a personalized Markets recommendation within the Shopify Admin by Q3 2025.</w:t>
      </w:r>
    </w:p>
    <w:p>
      <w:pPr>
        <w:spacing w:after="100" w:before="240"/>
      </w:pPr>
      <w:r>
        <w:rPr>
          <w:rFonts w:ascii="Arial" w:cs="Arial" w:eastAsia="Arial" w:hAnsi="Arial"/>
          <w:b/>
          <w:bCs/>
          <w:color w:val="3D5C28"/>
          <w:sz w:val="26"/>
          <w:szCs w:val="26"/>
        </w:rPr>
        <w:t xml:space="preserve">Pillar 2: Markets Pro as the Default for Duty-Inclusive Commerce</w:t>
      </w:r>
    </w:p>
    <w:p>
      <w:pPr>
        <w:spacing w:after="100" w:before="80"/>
      </w:pPr>
      <w:r>
        <w:rPr>
          <w:rFonts w:ascii="Arial" w:cs="Arial" w:eastAsia="Arial" w:hAnsi="Arial"/>
          <w:sz w:val="20"/>
          <w:szCs w:val="20"/>
        </w:rPr>
        <w:t xml:space="preserve">Markets Pro (powered by Global-E technology, acquired in the Shopify partnership) handles merchant-of-record responsibilities — duty calculation, customs documentation, DDP shipping, and cross-border returns — making cross-border sales truly plug-and-play. In 2024, Markets Pro drove 3.2x higher international conversion vs. merchants using basic Markets. Yet Markets Pro penetration is just 8% of eligible merchants. In 2025, we will default new international market configurations to Markets Pro where eligible, streamline the Pro onboarding from 14 steps to 5, and introduce a Markets Pro performance guarantee: merchants who achieve less than 3% cross-border cart abandonment improvement in 90 days receive a 30-day fee credit.</w:t>
      </w:r>
    </w:p>
    <w:p>
      <w:pPr>
        <w:spacing w:after="100" w:before="240"/>
      </w:pPr>
      <w:r>
        <w:rPr>
          <w:rFonts w:ascii="Arial" w:cs="Arial" w:eastAsia="Arial" w:hAnsi="Arial"/>
          <w:b/>
          <w:bCs/>
          <w:color w:val="3D5C28"/>
          <w:sz w:val="26"/>
          <w:szCs w:val="26"/>
        </w:rPr>
        <w:t xml:space="preserve">Pillar 3: Local Payment Method Depth</w:t>
      </w:r>
    </w:p>
    <w:p>
      <w:pPr>
        <w:spacing w:after="100" w:before="80"/>
      </w:pPr>
      <w:r>
        <w:rPr>
          <w:rFonts w:ascii="Arial" w:cs="Arial" w:eastAsia="Arial" w:hAnsi="Arial"/>
          <w:sz w:val="20"/>
          <w:szCs w:val="20"/>
        </w:rPr>
        <w:t xml:space="preserve">Local payment methods (LPMs) account for 65%+ of ecommerce transactions in Germany (iDEAL, Giropay), Brazil (Boleto, Pix), and Southeast Asia (GrabPay, GoPay, OVO). Yet 71% of Shopify Markets merchants offer only credit card checkout to international buyers. In 2025, we will expand Markets' native LPM support from 18 to 40 payment methods, with automatic method recommendation based on buyer geography, and a new LPM performance dashboard in Merchant Analytics showing conversion lift by payment method per market. LPM expansion is directly tied to a projected 8% lift in international conversion rates.</w:t>
      </w:r>
    </w:p>
    <w:p>
      <w:pPr>
        <w:spacing w:after="100" w:before="240"/>
      </w:pPr>
      <w:r>
        <w:rPr>
          <w:rFonts w:ascii="Arial" w:cs="Arial" w:eastAsia="Arial" w:hAnsi="Arial"/>
          <w:b/>
          <w:bCs/>
          <w:color w:val="3D5C28"/>
          <w:sz w:val="26"/>
          <w:szCs w:val="26"/>
        </w:rPr>
        <w:t xml:space="preserve">Pillar 4: AI-Powered Localization Engine</w:t>
      </w:r>
    </w:p>
    <w:p>
      <w:pPr>
        <w:spacing w:after="100" w:before="80"/>
      </w:pPr>
      <w:r>
        <w:rPr>
          <w:rFonts w:ascii="Arial" w:cs="Arial" w:eastAsia="Arial" w:hAnsi="Arial"/>
          <w:sz w:val="20"/>
          <w:szCs w:val="20"/>
        </w:rPr>
        <w:t xml:space="preserve">Localization — translating product descriptions, meta tags, checkout flows, and customer communications — is the #2 merchant barrier to international expansion after regulatory compliance. In 2025, Shopify Markets will ship AI Auto-Localization: a one-click feature that uses LLMs to translate and locally adapt all storefront content (products, collections, policies, email templates) for a target market, with merchant review and approval before publish. Auto-Localization will also handle currency formatting, measurement unit conversion, and date format adaptation. Merchants who use Auto-Localization in beta show 28% higher international search traffic within 60 days.</w:t>
      </w:r>
    </w:p>
    <w:p>
      <w:pPr>
        <w:spacing w:after="100" w:before="240"/>
      </w:pPr>
      <w:r>
        <w:rPr>
          <w:rFonts w:ascii="Arial" w:cs="Arial" w:eastAsia="Arial" w:hAnsi="Arial"/>
          <w:b/>
          <w:bCs/>
          <w:color w:val="3D5C28"/>
          <w:sz w:val="26"/>
          <w:szCs w:val="26"/>
        </w:rPr>
        <w:t xml:space="preserve">Pillar 5: Cross-Border Analytics &amp; Market Intelligence</w:t>
      </w:r>
    </w:p>
    <w:p>
      <w:pPr>
        <w:spacing w:after="100" w:before="80"/>
      </w:pPr>
      <w:r>
        <w:rPr>
          <w:rFonts w:ascii="Arial" w:cs="Arial" w:eastAsia="Arial" w:hAnsi="Arial"/>
          <w:sz w:val="20"/>
          <w:szCs w:val="20"/>
        </w:rPr>
        <w:t xml:space="preserve">Shopify merchants expanding internationally make critical decisions — which market to enter next, which products to localize, which payment methods to prioritize — with almost no data. Markets Analytics, launching in Q2 2025, will provide merchants with: international traffic attribution by market, cross-border conversion funnel by country, competitor market penetration benchmarks (aggregated/anonymized across Shopify network), and AI-generated market entry recommendations with projected revenue uplift estimates. Better data drives more market activations, which drives more cross-border GMV.</w:t>
      </w:r>
    </w:p>
    <w:p>
      <w:pPr>
        <w:spacing w:after="0" w:before="80"/>
      </w:pPr>
    </w:p>
    <w:p>
      <w:r>
        <w:br w:type="page"/>
      </w:r>
    </w:p>
    <w:p>
      <w:pPr>
        <w:pBdr>
          <w:bottom w:val="single" w:color="5E8E3E" w:sz="4" w:space="4"/>
        </w:pBdr>
        <w:spacing w:after="160" w:before="320"/>
      </w:pPr>
      <w:r>
        <w:rPr>
          <w:rFonts w:ascii="Arial" w:cs="Arial" w:eastAsia="Arial" w:hAnsi="Arial"/>
          <w:b/>
          <w:bCs/>
          <w:color w:val="5E8E3E"/>
          <w:sz w:val="32"/>
          <w:szCs w:val="32"/>
        </w:rPr>
        <w:t xml:space="preserve">Strategic Bets / Where We Are Investing</w:t>
      </w:r>
    </w:p>
    <w:p>
      <w:pPr>
        <w:pStyle w:val="ListParagraph"/>
        <w:numPr>
          <w:ilvl w:val="0"/>
          <w:numId w:val="2"/>
        </w:numPr>
      </w:pPr>
      <w:r>
        <w:rPr>
          <w:rFonts w:ascii="Arial" w:cs="Arial" w:eastAsia="Arial" w:hAnsi="Arial"/>
          <w:sz w:val="20"/>
          <w:szCs w:val="20"/>
        </w:rPr>
        <w:t xml:space="preserve">Launch proactive Markets Activation Program in-admin wizard targeting every merchant with 10%+ international traffic by Q3 2025</w:t>
      </w:r>
    </w:p>
    <w:p>
      <w:pPr>
        <w:pStyle w:val="ListParagraph"/>
        <w:numPr>
          <w:ilvl w:val="0"/>
          <w:numId w:val="2"/>
        </w:numPr>
      </w:pPr>
      <w:r>
        <w:rPr>
          <w:rFonts w:ascii="Arial" w:cs="Arial" w:eastAsia="Arial" w:hAnsi="Arial"/>
          <w:sz w:val="20"/>
          <w:szCs w:val="20"/>
        </w:rPr>
        <w:t xml:space="preserve">Default new market configurations to Markets Pro for eligible merchants; streamline Pro onboarding from 14 to 5 steps</w:t>
      </w:r>
    </w:p>
    <w:p>
      <w:pPr>
        <w:pStyle w:val="ListParagraph"/>
        <w:numPr>
          <w:ilvl w:val="0"/>
          <w:numId w:val="2"/>
        </w:numPr>
      </w:pPr>
      <w:r>
        <w:rPr>
          <w:rFonts w:ascii="Arial" w:cs="Arial" w:eastAsia="Arial" w:hAnsi="Arial"/>
          <w:sz w:val="20"/>
          <w:szCs w:val="20"/>
        </w:rPr>
        <w:t xml:space="preserve">Expand native LPM support from 18 to 40 payment methods with automatic buyer-geography-based recommendation</w:t>
      </w:r>
    </w:p>
    <w:p>
      <w:pPr>
        <w:pStyle w:val="ListParagraph"/>
        <w:numPr>
          <w:ilvl w:val="0"/>
          <w:numId w:val="2"/>
        </w:numPr>
      </w:pPr>
      <w:r>
        <w:rPr>
          <w:rFonts w:ascii="Arial" w:cs="Arial" w:eastAsia="Arial" w:hAnsi="Arial"/>
          <w:sz w:val="20"/>
          <w:szCs w:val="20"/>
        </w:rPr>
        <w:t xml:space="preserve">Ship AI Auto-Localization (one-click full storefront translation and adaptation) by Q3 2025</w:t>
      </w:r>
    </w:p>
    <w:p>
      <w:pPr>
        <w:pStyle w:val="ListParagraph"/>
        <w:numPr>
          <w:ilvl w:val="0"/>
          <w:numId w:val="2"/>
        </w:numPr>
      </w:pPr>
      <w:r>
        <w:rPr>
          <w:rFonts w:ascii="Arial" w:cs="Arial" w:eastAsia="Arial" w:hAnsi="Arial"/>
          <w:sz w:val="20"/>
          <w:szCs w:val="20"/>
        </w:rPr>
        <w:t xml:space="preserve">Launch Markets Analytics with cross-border conversion funnel, market benchmarks, and AI market entry recommendations by Q2 2025</w:t>
      </w:r>
    </w:p>
    <w:p>
      <w:pPr>
        <w:pStyle w:val="ListParagraph"/>
        <w:numPr>
          <w:ilvl w:val="0"/>
          <w:numId w:val="2"/>
        </w:numPr>
      </w:pPr>
      <w:r>
        <w:rPr>
          <w:rFonts w:ascii="Arial" w:cs="Arial" w:eastAsia="Arial" w:hAnsi="Arial"/>
          <w:sz w:val="20"/>
          <w:szCs w:val="20"/>
        </w:rPr>
        <w:t xml:space="preserve">Integrate Markets with TikTok Shop, Pinterest, and Instagram storefronts for social-to-global buyer journeys by Q3 2025</w:t>
      </w:r>
    </w:p>
    <w:p>
      <w:pPr>
        <w:pStyle w:val="ListParagraph"/>
        <w:numPr>
          <w:ilvl w:val="0"/>
          <w:numId w:val="2"/>
        </w:numPr>
      </w:pPr>
      <w:r>
        <w:rPr>
          <w:rFonts w:ascii="Arial" w:cs="Arial" w:eastAsia="Arial" w:hAnsi="Arial"/>
          <w:sz w:val="20"/>
          <w:szCs w:val="20"/>
        </w:rPr>
        <w:t xml:space="preserve">Build market-specific expansion playbooks for JP, AU, BR, MX, IN with in-product guidance and local compliance automation</w:t>
      </w:r>
    </w:p>
    <w:p>
      <w:pPr>
        <w:spacing w:after="0" w:before="100"/>
      </w:pPr>
    </w:p>
    <w:p>
      <w:pPr>
        <w:pBdr>
          <w:bottom w:val="single" w:color="5E8E3E" w:sz="4" w:space="4"/>
        </w:pBdr>
        <w:spacing w:after="160" w:before="320"/>
      </w:pPr>
      <w:r>
        <w:rPr>
          <w:rFonts w:ascii="Arial" w:cs="Arial" w:eastAsia="Arial" w:hAnsi="Arial"/>
          <w:b/>
          <w:bCs/>
          <w:color w:val="5E8E3E"/>
          <w:sz w:val="32"/>
          <w:szCs w:val="32"/>
        </w:rPr>
        <w:t xml:space="preserve">Objectives &amp; Key Results (Q2–Q4 2025)</w:t>
      </w:r>
    </w:p>
    <w:p>
      <w:pPr>
        <w:pBdr>
          <w:left w:val="single" w:color="5E8E3E" w:sz="12" w:space="6"/>
        </w:pBdr>
        <w:spacing w:after="60" w:before="200"/>
        <w:ind w:left="180"/>
      </w:pPr>
      <w:r>
        <w:rPr>
          <w:rFonts w:ascii="Arial" w:cs="Arial" w:eastAsia="Arial" w:hAnsi="Arial"/>
          <w:b/>
          <w:bCs/>
          <w:color w:val="5E8E3E"/>
          <w:sz w:val="22"/>
          <w:szCs w:val="22"/>
        </w:rPr>
        <w:t xml:space="preserve">O1: Double cross-border GMV to a $55B annualized run rate by Q4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080"/>
        <w:gridCol w:w="1540"/>
        <w:gridCol w:w="1540"/>
      </w:tblGrid>
      <w:tr>
        <w:tc>
          <w:tcPr>
            <w:tcW w:type="dxa" w:w="4200"/>
            <w:tcBorders>
              <w:top w:val="single" w:color="DDDDDD" w:sz="1"/>
              <w:left w:val="single" w:color="DDDDDD" w:sz="1"/>
              <w:bottom w:val="single" w:color="DDDDDD" w:sz="1"/>
              <w:right w:val="single" w:color="DDDDDD" w:sz="1"/>
            </w:tcBorders>
            <w:shd w:fill="5E8E3E" w:val="clear"/>
            <w:tcMar>
              <w:top w:type="dxa" w:w="100"/>
              <w:left w:type="dxa" w:w="120"/>
              <w:bottom w:type="dxa" w:w="100"/>
              <w:right w:type="dxa" w:w="120"/>
            </w:tcMar>
            <w:vAlign w:val="center"/>
          </w:tcPr>
          <w:p>
            <w:r>
              <w:rPr>
                <w:rFonts w:ascii="Arial" w:cs="Arial" w:eastAsia="Arial" w:hAnsi="Arial"/>
                <w:b/>
                <w:bCs/>
                <w:color w:val="FFFFFF"/>
                <w:sz w:val="20"/>
                <w:szCs w:val="20"/>
              </w:rPr>
              <w:t xml:space="preserve">Key Result</w:t>
            </w:r>
          </w:p>
        </w:tc>
        <w:tc>
          <w:tcPr>
            <w:tcW w:type="dxa" w:w="2080"/>
            <w:tcBorders>
              <w:top w:val="single" w:color="DDDDDD" w:sz="1"/>
              <w:left w:val="single" w:color="DDDDDD" w:sz="1"/>
              <w:bottom w:val="single" w:color="DDDDDD" w:sz="1"/>
              <w:right w:val="single" w:color="DDDDDD" w:sz="1"/>
            </w:tcBorders>
            <w:shd w:fill="5E8E3E" w:val="clear"/>
            <w:tcMar>
              <w:top w:type="dxa" w:w="100"/>
              <w:left w:type="dxa" w:w="120"/>
              <w:bottom w:type="dxa" w:w="100"/>
              <w:right w:type="dxa" w:w="120"/>
            </w:tcMar>
            <w:vAlign w:val="center"/>
          </w:tcPr>
          <w:p>
            <w:r>
              <w:rPr>
                <w:rFonts w:ascii="Arial" w:cs="Arial" w:eastAsia="Arial" w:hAnsi="Arial"/>
                <w:b/>
                <w:bCs/>
                <w:color w:val="FFFFFF"/>
                <w:sz w:val="20"/>
                <w:szCs w:val="20"/>
              </w:rPr>
              <w:t xml:space="preserve">Metric</w:t>
            </w:r>
          </w:p>
        </w:tc>
        <w:tc>
          <w:tcPr>
            <w:tcW w:type="dxa" w:w="1540"/>
            <w:tcBorders>
              <w:top w:val="single" w:color="DDDDDD" w:sz="1"/>
              <w:left w:val="single" w:color="DDDDDD" w:sz="1"/>
              <w:bottom w:val="single" w:color="DDDDDD" w:sz="1"/>
              <w:right w:val="single" w:color="DDDDDD" w:sz="1"/>
            </w:tcBorders>
            <w:shd w:fill="5E8E3E" w:val="clear"/>
            <w:tcMar>
              <w:top w:type="dxa" w:w="100"/>
              <w:left w:type="dxa" w:w="120"/>
              <w:bottom w:type="dxa" w:w="100"/>
              <w:right w:type="dxa" w:w="120"/>
            </w:tcMar>
            <w:vAlign w:val="center"/>
          </w:tcPr>
          <w:p>
            <w:r>
              <w:rPr>
                <w:rFonts w:ascii="Arial" w:cs="Arial" w:eastAsia="Arial" w:hAnsi="Arial"/>
                <w:b/>
                <w:bCs/>
                <w:color w:val="FFFFFF"/>
                <w:sz w:val="20"/>
                <w:szCs w:val="20"/>
              </w:rPr>
              <w:t xml:space="preserve">Current</w:t>
            </w:r>
          </w:p>
        </w:tc>
        <w:tc>
          <w:tcPr>
            <w:tcW w:type="dxa" w:w="1540"/>
            <w:tcBorders>
              <w:top w:val="single" w:color="DDDDDD" w:sz="1"/>
              <w:left w:val="single" w:color="DDDDDD" w:sz="1"/>
              <w:bottom w:val="single" w:color="DDDDDD" w:sz="1"/>
              <w:right w:val="single" w:color="DDDDDD" w:sz="1"/>
            </w:tcBorders>
            <w:shd w:fill="5E8E3E" w:val="clear"/>
            <w:tcMar>
              <w:top w:type="dxa" w:w="100"/>
              <w:left w:type="dxa" w:w="120"/>
              <w:bottom w:type="dxa" w:w="100"/>
              <w:right w:type="dxa" w:w="120"/>
            </w:tcMar>
            <w:vAlign w:val="center"/>
          </w:tcPr>
          <w:p>
            <w:r>
              <w:rPr>
                <w:rFonts w:ascii="Arial" w:cs="Arial" w:eastAsia="Arial" w:hAnsi="Arial"/>
                <w:b/>
                <w:bCs/>
                <w:color w:val="FFFFFF"/>
                <w:sz w:val="20"/>
                <w:szCs w:val="20"/>
              </w:rPr>
              <w:t xml:space="preserve">Target</w:t>
            </w:r>
          </w:p>
        </w:tc>
      </w:tr>
      <w:tr>
        <w:tc>
          <w:tcPr>
            <w:tcW w:type="dxa" w:w="4200"/>
            <w:tcBorders>
              <w:top w:val="single" w:color="DDDDDD" w:sz="1"/>
              <w:left w:val="single" w:color="DDDDDD" w:sz="1"/>
              <w:bottom w:val="single" w:color="DDDDDD" w:sz="1"/>
              <w:right w:val="single" w:color="DDDDDD" w:sz="1"/>
            </w:tcBorders>
            <w:shd w:fill="EFF5E9" w:val="clear"/>
            <w:tcMar>
              <w:top w:type="dxa" w:w="80"/>
              <w:left w:type="dxa" w:w="120"/>
              <w:bottom w:type="dxa" w:w="80"/>
              <w:right w:type="dxa" w:w="120"/>
            </w:tcMar>
          </w:tcPr>
          <w:p>
            <w:r>
              <w:rPr>
                <w:rFonts w:ascii="Arial" w:cs="Arial" w:eastAsia="Arial" w:hAnsi="Arial"/>
                <w:b w:val="false"/>
                <w:bCs w:val="false"/>
                <w:sz w:val="20"/>
                <w:szCs w:val="20"/>
              </w:rPr>
              <w:t xml:space="preserve">KR1.1 — Grow cross-border GMV from $28B to $55B annualized run rate</w:t>
            </w:r>
          </w:p>
        </w:tc>
        <w:tc>
          <w:tcPr>
            <w:tcW w:type="dxa" w:w="2080"/>
            <w:tcBorders>
              <w:top w:val="single" w:color="DDDDDD" w:sz="1"/>
              <w:left w:val="single" w:color="DDDDDD" w:sz="1"/>
              <w:bottom w:val="single" w:color="DDDDDD" w:sz="1"/>
              <w:right w:val="single" w:color="DDDDDD" w:sz="1"/>
            </w:tcBorders>
            <w:shd w:fill="EFF5E9" w:val="clear"/>
            <w:tcMar>
              <w:top w:type="dxa" w:w="80"/>
              <w:left w:type="dxa" w:w="120"/>
              <w:bottom w:type="dxa" w:w="80"/>
              <w:right w:type="dxa" w:w="120"/>
            </w:tcMar>
          </w:tcPr>
          <w:p>
            <w:r>
              <w:rPr>
                <w:rFonts w:ascii="Arial" w:cs="Arial" w:eastAsia="Arial" w:hAnsi="Arial"/>
                <w:b w:val="false"/>
                <w:bCs w:val="false"/>
                <w:sz w:val="20"/>
                <w:szCs w:val="20"/>
              </w:rPr>
              <w:t xml:space="preserve">Cross-border GMV (ann.)</w:t>
            </w:r>
          </w:p>
        </w:tc>
        <w:tc>
          <w:tcPr>
            <w:tcW w:type="dxa" w:w="1540"/>
            <w:tcBorders>
              <w:top w:val="single" w:color="DDDDDD" w:sz="1"/>
              <w:left w:val="single" w:color="DDDDDD" w:sz="1"/>
              <w:bottom w:val="single" w:color="DDDDDD" w:sz="1"/>
              <w:right w:val="single" w:color="DDDDDD" w:sz="1"/>
            </w:tcBorders>
            <w:shd w:fill="EFF5E9" w:val="clear"/>
            <w:tcMar>
              <w:top w:type="dxa" w:w="80"/>
              <w:left w:type="dxa" w:w="120"/>
              <w:bottom w:type="dxa" w:w="80"/>
              <w:right w:type="dxa" w:w="120"/>
            </w:tcMar>
          </w:tcPr>
          <w:p>
            <w:r>
              <w:rPr>
                <w:rFonts w:ascii="Arial" w:cs="Arial" w:eastAsia="Arial" w:hAnsi="Arial"/>
                <w:b w:val="false"/>
                <w:bCs w:val="false"/>
                <w:sz w:val="20"/>
                <w:szCs w:val="20"/>
              </w:rPr>
              <w:t xml:space="preserve">$28B</w:t>
            </w:r>
          </w:p>
        </w:tc>
        <w:tc>
          <w:tcPr>
            <w:tcW w:type="dxa" w:w="1540"/>
            <w:tcBorders>
              <w:top w:val="single" w:color="DDDDDD" w:sz="1"/>
              <w:left w:val="single" w:color="DDDDDD" w:sz="1"/>
              <w:bottom w:val="single" w:color="DDDDDD" w:sz="1"/>
              <w:right w:val="single" w:color="DDDDDD" w:sz="1"/>
            </w:tcBorders>
            <w:shd w:fill="EFF5E9" w:val="clear"/>
            <w:tcMar>
              <w:top w:type="dxa" w:w="80"/>
              <w:left w:type="dxa" w:w="120"/>
              <w:bottom w:type="dxa" w:w="80"/>
              <w:right w:type="dxa" w:w="120"/>
            </w:tcMar>
          </w:tcPr>
          <w:p>
            <w:r>
              <w:rPr>
                <w:rFonts w:ascii="Arial" w:cs="Arial" w:eastAsia="Arial" w:hAnsi="Arial"/>
                <w:b/>
                <w:bCs/>
                <w:sz w:val="20"/>
                <w:szCs w:val="20"/>
              </w:rPr>
              <w:t xml:space="preserve">$55B</w:t>
            </w:r>
          </w:p>
        </w:tc>
      </w:tr>
      <w:tr>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KR1.2 — Increase international buyer conversion rate (Markets merchants) by 8 percentage points</w:t>
            </w:r>
          </w:p>
        </w:tc>
        <w:tc>
          <w:tcPr>
            <w:tcW w:type="dxa" w:w="20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Intl. conversion rate</w:t>
            </w:r>
          </w:p>
        </w:tc>
        <w:tc>
          <w:tcPr>
            <w:tcW w:type="dxa" w:w="15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2.1%</w:t>
            </w:r>
          </w:p>
        </w:tc>
        <w:tc>
          <w:tcPr>
            <w:tcW w:type="dxa" w:w="15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2.9%</w:t>
            </w:r>
          </w:p>
        </w:tc>
      </w:tr>
      <w:tr>
        <w:tc>
          <w:tcPr>
            <w:tcW w:type="dxa" w:w="4200"/>
            <w:tcBorders>
              <w:top w:val="single" w:color="DDDDDD" w:sz="1"/>
              <w:left w:val="single" w:color="DDDDDD" w:sz="1"/>
              <w:bottom w:val="single" w:color="DDDDDD" w:sz="1"/>
              <w:right w:val="single" w:color="DDDDDD" w:sz="1"/>
            </w:tcBorders>
            <w:shd w:fill="EFF5E9" w:val="clear"/>
            <w:tcMar>
              <w:top w:type="dxa" w:w="80"/>
              <w:left w:type="dxa" w:w="120"/>
              <w:bottom w:type="dxa" w:w="80"/>
              <w:right w:type="dxa" w:w="120"/>
            </w:tcMar>
          </w:tcPr>
          <w:p>
            <w:r>
              <w:rPr>
                <w:rFonts w:ascii="Arial" w:cs="Arial" w:eastAsia="Arial" w:hAnsi="Arial"/>
                <w:b w:val="false"/>
                <w:bCs w:val="false"/>
                <w:sz w:val="20"/>
                <w:szCs w:val="20"/>
              </w:rPr>
              <w:t xml:space="preserve">KR1.3 — Grow average cross-border GMV per active Markets merchant by 35%</w:t>
            </w:r>
          </w:p>
        </w:tc>
        <w:tc>
          <w:tcPr>
            <w:tcW w:type="dxa" w:w="2080"/>
            <w:tcBorders>
              <w:top w:val="single" w:color="DDDDDD" w:sz="1"/>
              <w:left w:val="single" w:color="DDDDDD" w:sz="1"/>
              <w:bottom w:val="single" w:color="DDDDDD" w:sz="1"/>
              <w:right w:val="single" w:color="DDDDDD" w:sz="1"/>
            </w:tcBorders>
            <w:shd w:fill="EFF5E9" w:val="clear"/>
            <w:tcMar>
              <w:top w:type="dxa" w:w="80"/>
              <w:left w:type="dxa" w:w="120"/>
              <w:bottom w:type="dxa" w:w="80"/>
              <w:right w:type="dxa" w:w="120"/>
            </w:tcMar>
          </w:tcPr>
          <w:p>
            <w:r>
              <w:rPr>
                <w:rFonts w:ascii="Arial" w:cs="Arial" w:eastAsia="Arial" w:hAnsi="Arial"/>
                <w:b w:val="false"/>
                <w:bCs w:val="false"/>
                <w:sz w:val="20"/>
                <w:szCs w:val="20"/>
              </w:rPr>
              <w:t xml:space="preserve">GMV/merchant (cross-border)</w:t>
            </w:r>
          </w:p>
        </w:tc>
        <w:tc>
          <w:tcPr>
            <w:tcW w:type="dxa" w:w="1540"/>
            <w:tcBorders>
              <w:top w:val="single" w:color="DDDDDD" w:sz="1"/>
              <w:left w:val="single" w:color="DDDDDD" w:sz="1"/>
              <w:bottom w:val="single" w:color="DDDDDD" w:sz="1"/>
              <w:right w:val="single" w:color="DDDDDD" w:sz="1"/>
            </w:tcBorders>
            <w:shd w:fill="EFF5E9" w:val="clear"/>
            <w:tcMar>
              <w:top w:type="dxa" w:w="80"/>
              <w:left w:type="dxa" w:w="120"/>
              <w:bottom w:type="dxa" w:w="80"/>
              <w:right w:type="dxa" w:w="120"/>
            </w:tcMar>
          </w:tcPr>
          <w:p>
            <w:r>
              <w:rPr>
                <w:rFonts w:ascii="Arial" w:cs="Arial" w:eastAsia="Arial" w:hAnsi="Arial"/>
                <w:b w:val="false"/>
                <w:bCs w:val="false"/>
                <w:sz w:val="20"/>
                <w:szCs w:val="20"/>
              </w:rPr>
              <w:t xml:space="preserve">$16,000/yr</w:t>
            </w:r>
          </w:p>
        </w:tc>
        <w:tc>
          <w:tcPr>
            <w:tcW w:type="dxa" w:w="1540"/>
            <w:tcBorders>
              <w:top w:val="single" w:color="DDDDDD" w:sz="1"/>
              <w:left w:val="single" w:color="DDDDDD" w:sz="1"/>
              <w:bottom w:val="single" w:color="DDDDDD" w:sz="1"/>
              <w:right w:val="single" w:color="DDDDDD" w:sz="1"/>
            </w:tcBorders>
            <w:shd w:fill="EFF5E9" w:val="clear"/>
            <w:tcMar>
              <w:top w:type="dxa" w:w="80"/>
              <w:left w:type="dxa" w:w="120"/>
              <w:bottom w:type="dxa" w:w="80"/>
              <w:right w:type="dxa" w:w="120"/>
            </w:tcMar>
          </w:tcPr>
          <w:p>
            <w:r>
              <w:rPr>
                <w:rFonts w:ascii="Arial" w:cs="Arial" w:eastAsia="Arial" w:hAnsi="Arial"/>
                <w:b/>
                <w:bCs/>
                <w:sz w:val="20"/>
                <w:szCs w:val="20"/>
              </w:rPr>
              <w:t xml:space="preserve">$21,600/yr</w:t>
            </w:r>
          </w:p>
        </w:tc>
      </w:tr>
    </w:tbl>
    <w:p>
      <w:pPr>
        <w:spacing w:after="0" w:before="120"/>
      </w:pPr>
    </w:p>
    <w:p>
      <w:pPr>
        <w:pBdr>
          <w:left w:val="single" w:color="5E8E3E" w:sz="12" w:space="6"/>
        </w:pBdr>
        <w:spacing w:after="60" w:before="200"/>
        <w:ind w:left="180"/>
      </w:pPr>
      <w:r>
        <w:rPr>
          <w:rFonts w:ascii="Arial" w:cs="Arial" w:eastAsia="Arial" w:hAnsi="Arial"/>
          <w:b/>
          <w:bCs/>
          <w:color w:val="5E8E3E"/>
          <w:sz w:val="22"/>
          <w:szCs w:val="22"/>
        </w:rPr>
        <w:t xml:space="preserve">O2: Dramatically increase Markets merchant adoption across the Shopify merchant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080"/>
        <w:gridCol w:w="1540"/>
        <w:gridCol w:w="1540"/>
      </w:tblGrid>
      <w:tr>
        <w:tc>
          <w:tcPr>
            <w:tcW w:type="dxa" w:w="4200"/>
            <w:tcBorders>
              <w:top w:val="single" w:color="DDDDDD" w:sz="1"/>
              <w:left w:val="single" w:color="DDDDDD" w:sz="1"/>
              <w:bottom w:val="single" w:color="DDDDDD" w:sz="1"/>
              <w:right w:val="single" w:color="DDDDDD" w:sz="1"/>
            </w:tcBorders>
            <w:shd w:fill="5E8E3E" w:val="clear"/>
            <w:tcMar>
              <w:top w:type="dxa" w:w="100"/>
              <w:left w:type="dxa" w:w="120"/>
              <w:bottom w:type="dxa" w:w="100"/>
              <w:right w:type="dxa" w:w="120"/>
            </w:tcMar>
            <w:vAlign w:val="center"/>
          </w:tcPr>
          <w:p>
            <w:r>
              <w:rPr>
                <w:rFonts w:ascii="Arial" w:cs="Arial" w:eastAsia="Arial" w:hAnsi="Arial"/>
                <w:b/>
                <w:bCs/>
                <w:color w:val="FFFFFF"/>
                <w:sz w:val="20"/>
                <w:szCs w:val="20"/>
              </w:rPr>
              <w:t xml:space="preserve">Key Result</w:t>
            </w:r>
          </w:p>
        </w:tc>
        <w:tc>
          <w:tcPr>
            <w:tcW w:type="dxa" w:w="2080"/>
            <w:tcBorders>
              <w:top w:val="single" w:color="DDDDDD" w:sz="1"/>
              <w:left w:val="single" w:color="DDDDDD" w:sz="1"/>
              <w:bottom w:val="single" w:color="DDDDDD" w:sz="1"/>
              <w:right w:val="single" w:color="DDDDDD" w:sz="1"/>
            </w:tcBorders>
            <w:shd w:fill="5E8E3E" w:val="clear"/>
            <w:tcMar>
              <w:top w:type="dxa" w:w="100"/>
              <w:left w:type="dxa" w:w="120"/>
              <w:bottom w:type="dxa" w:w="100"/>
              <w:right w:type="dxa" w:w="120"/>
            </w:tcMar>
            <w:vAlign w:val="center"/>
          </w:tcPr>
          <w:p>
            <w:r>
              <w:rPr>
                <w:rFonts w:ascii="Arial" w:cs="Arial" w:eastAsia="Arial" w:hAnsi="Arial"/>
                <w:b/>
                <w:bCs/>
                <w:color w:val="FFFFFF"/>
                <w:sz w:val="20"/>
                <w:szCs w:val="20"/>
              </w:rPr>
              <w:t xml:space="preserve">Metric</w:t>
            </w:r>
          </w:p>
        </w:tc>
        <w:tc>
          <w:tcPr>
            <w:tcW w:type="dxa" w:w="1540"/>
            <w:tcBorders>
              <w:top w:val="single" w:color="DDDDDD" w:sz="1"/>
              <w:left w:val="single" w:color="DDDDDD" w:sz="1"/>
              <w:bottom w:val="single" w:color="DDDDDD" w:sz="1"/>
              <w:right w:val="single" w:color="DDDDDD" w:sz="1"/>
            </w:tcBorders>
            <w:shd w:fill="5E8E3E" w:val="clear"/>
            <w:tcMar>
              <w:top w:type="dxa" w:w="100"/>
              <w:left w:type="dxa" w:w="120"/>
              <w:bottom w:type="dxa" w:w="100"/>
              <w:right w:type="dxa" w:w="120"/>
            </w:tcMar>
            <w:vAlign w:val="center"/>
          </w:tcPr>
          <w:p>
            <w:r>
              <w:rPr>
                <w:rFonts w:ascii="Arial" w:cs="Arial" w:eastAsia="Arial" w:hAnsi="Arial"/>
                <w:b/>
                <w:bCs/>
                <w:color w:val="FFFFFF"/>
                <w:sz w:val="20"/>
                <w:szCs w:val="20"/>
              </w:rPr>
              <w:t xml:space="preserve">Current</w:t>
            </w:r>
          </w:p>
        </w:tc>
        <w:tc>
          <w:tcPr>
            <w:tcW w:type="dxa" w:w="1540"/>
            <w:tcBorders>
              <w:top w:val="single" w:color="DDDDDD" w:sz="1"/>
              <w:left w:val="single" w:color="DDDDDD" w:sz="1"/>
              <w:bottom w:val="single" w:color="DDDDDD" w:sz="1"/>
              <w:right w:val="single" w:color="DDDDDD" w:sz="1"/>
            </w:tcBorders>
            <w:shd w:fill="5E8E3E" w:val="clear"/>
            <w:tcMar>
              <w:top w:type="dxa" w:w="100"/>
              <w:left w:type="dxa" w:w="120"/>
              <w:bottom w:type="dxa" w:w="100"/>
              <w:right w:type="dxa" w:w="120"/>
            </w:tcMar>
            <w:vAlign w:val="center"/>
          </w:tcPr>
          <w:p>
            <w:r>
              <w:rPr>
                <w:rFonts w:ascii="Arial" w:cs="Arial" w:eastAsia="Arial" w:hAnsi="Arial"/>
                <w:b/>
                <w:bCs/>
                <w:color w:val="FFFFFF"/>
                <w:sz w:val="20"/>
                <w:szCs w:val="20"/>
              </w:rPr>
              <w:t xml:space="preserve">Target</w:t>
            </w:r>
          </w:p>
        </w:tc>
      </w:tr>
      <w:tr>
        <w:tc>
          <w:tcPr>
            <w:tcW w:type="dxa" w:w="4200"/>
            <w:tcBorders>
              <w:top w:val="single" w:color="DDDDDD" w:sz="1"/>
              <w:left w:val="single" w:color="DDDDDD" w:sz="1"/>
              <w:bottom w:val="single" w:color="DDDDDD" w:sz="1"/>
              <w:right w:val="single" w:color="DDDDDD" w:sz="1"/>
            </w:tcBorders>
            <w:shd w:fill="EFF5E9" w:val="clear"/>
            <w:tcMar>
              <w:top w:type="dxa" w:w="80"/>
              <w:left w:type="dxa" w:w="120"/>
              <w:bottom w:type="dxa" w:w="80"/>
              <w:right w:type="dxa" w:w="120"/>
            </w:tcMar>
          </w:tcPr>
          <w:p>
            <w:r>
              <w:rPr>
                <w:rFonts w:ascii="Arial" w:cs="Arial" w:eastAsia="Arial" w:hAnsi="Arial"/>
                <w:b w:val="false"/>
                <w:bCs w:val="false"/>
                <w:sz w:val="20"/>
                <w:szCs w:val="20"/>
              </w:rPr>
              <w:t xml:space="preserve">KR2.1 — Increase Markets merchant adoption rate from 18% to 35% of qualifying merchants</w:t>
            </w:r>
          </w:p>
        </w:tc>
        <w:tc>
          <w:tcPr>
            <w:tcW w:type="dxa" w:w="2080"/>
            <w:tcBorders>
              <w:top w:val="single" w:color="DDDDDD" w:sz="1"/>
              <w:left w:val="single" w:color="DDDDDD" w:sz="1"/>
              <w:bottom w:val="single" w:color="DDDDDD" w:sz="1"/>
              <w:right w:val="single" w:color="DDDDDD" w:sz="1"/>
            </w:tcBorders>
            <w:shd w:fill="EFF5E9" w:val="clear"/>
            <w:tcMar>
              <w:top w:type="dxa" w:w="80"/>
              <w:left w:type="dxa" w:w="120"/>
              <w:bottom w:type="dxa" w:w="80"/>
              <w:right w:type="dxa" w:w="120"/>
            </w:tcMar>
          </w:tcPr>
          <w:p>
            <w:r>
              <w:rPr>
                <w:rFonts w:ascii="Arial" w:cs="Arial" w:eastAsia="Arial" w:hAnsi="Arial"/>
                <w:b w:val="false"/>
                <w:bCs w:val="false"/>
                <w:sz w:val="20"/>
                <w:szCs w:val="20"/>
              </w:rPr>
              <w:t xml:space="preserve">Markets adoption %</w:t>
            </w:r>
          </w:p>
        </w:tc>
        <w:tc>
          <w:tcPr>
            <w:tcW w:type="dxa" w:w="1540"/>
            <w:tcBorders>
              <w:top w:val="single" w:color="DDDDDD" w:sz="1"/>
              <w:left w:val="single" w:color="DDDDDD" w:sz="1"/>
              <w:bottom w:val="single" w:color="DDDDDD" w:sz="1"/>
              <w:right w:val="single" w:color="DDDDDD" w:sz="1"/>
            </w:tcBorders>
            <w:shd w:fill="EFF5E9" w:val="clear"/>
            <w:tcMar>
              <w:top w:type="dxa" w:w="80"/>
              <w:left w:type="dxa" w:w="120"/>
              <w:bottom w:type="dxa" w:w="80"/>
              <w:right w:type="dxa" w:w="120"/>
            </w:tcMar>
          </w:tcPr>
          <w:p>
            <w:r>
              <w:rPr>
                <w:rFonts w:ascii="Arial" w:cs="Arial" w:eastAsia="Arial" w:hAnsi="Arial"/>
                <w:b w:val="false"/>
                <w:bCs w:val="false"/>
                <w:sz w:val="20"/>
                <w:szCs w:val="20"/>
              </w:rPr>
              <w:t xml:space="preserve">18%</w:t>
            </w:r>
          </w:p>
        </w:tc>
        <w:tc>
          <w:tcPr>
            <w:tcW w:type="dxa" w:w="1540"/>
            <w:tcBorders>
              <w:top w:val="single" w:color="DDDDDD" w:sz="1"/>
              <w:left w:val="single" w:color="DDDDDD" w:sz="1"/>
              <w:bottom w:val="single" w:color="DDDDDD" w:sz="1"/>
              <w:right w:val="single" w:color="DDDDDD" w:sz="1"/>
            </w:tcBorders>
            <w:shd w:fill="EFF5E9" w:val="clear"/>
            <w:tcMar>
              <w:top w:type="dxa" w:w="80"/>
              <w:left w:type="dxa" w:w="120"/>
              <w:bottom w:type="dxa" w:w="80"/>
              <w:right w:type="dxa" w:w="120"/>
            </w:tcMar>
          </w:tcPr>
          <w:p>
            <w:r>
              <w:rPr>
                <w:rFonts w:ascii="Arial" w:cs="Arial" w:eastAsia="Arial" w:hAnsi="Arial"/>
                <w:b/>
                <w:bCs/>
                <w:sz w:val="20"/>
                <w:szCs w:val="20"/>
              </w:rPr>
              <w:t xml:space="preserve">35%</w:t>
            </w:r>
          </w:p>
        </w:tc>
      </w:tr>
      <w:tr>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KR2.2 — Activate 150,000 net new Markets merchants in 2025 (from proactive activation program)</w:t>
            </w:r>
          </w:p>
        </w:tc>
        <w:tc>
          <w:tcPr>
            <w:tcW w:type="dxa" w:w="20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Net new Markets merchants</w:t>
            </w:r>
          </w:p>
        </w:tc>
        <w:tc>
          <w:tcPr>
            <w:tcW w:type="dxa" w:w="15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~55K/yr pace</w:t>
            </w:r>
          </w:p>
        </w:tc>
        <w:tc>
          <w:tcPr>
            <w:tcW w:type="dxa" w:w="15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150,000</w:t>
            </w:r>
          </w:p>
        </w:tc>
      </w:tr>
      <w:tr>
        <w:tc>
          <w:tcPr>
            <w:tcW w:type="dxa" w:w="4200"/>
            <w:tcBorders>
              <w:top w:val="single" w:color="DDDDDD" w:sz="1"/>
              <w:left w:val="single" w:color="DDDDDD" w:sz="1"/>
              <w:bottom w:val="single" w:color="DDDDDD" w:sz="1"/>
              <w:right w:val="single" w:color="DDDDDD" w:sz="1"/>
            </w:tcBorders>
            <w:shd w:fill="EFF5E9" w:val="clear"/>
            <w:tcMar>
              <w:top w:type="dxa" w:w="80"/>
              <w:left w:type="dxa" w:w="120"/>
              <w:bottom w:type="dxa" w:w="80"/>
              <w:right w:type="dxa" w:w="120"/>
            </w:tcMar>
          </w:tcPr>
          <w:p>
            <w:r>
              <w:rPr>
                <w:rFonts w:ascii="Arial" w:cs="Arial" w:eastAsia="Arial" w:hAnsi="Arial"/>
                <w:b w:val="false"/>
                <w:bCs w:val="false"/>
                <w:sz w:val="20"/>
                <w:szCs w:val="20"/>
              </w:rPr>
              <w:t xml:space="preserve">KR2.3 — Markets Pro penetration among eligible merchants grows from 8% to 20%</w:t>
            </w:r>
          </w:p>
        </w:tc>
        <w:tc>
          <w:tcPr>
            <w:tcW w:type="dxa" w:w="2080"/>
            <w:tcBorders>
              <w:top w:val="single" w:color="DDDDDD" w:sz="1"/>
              <w:left w:val="single" w:color="DDDDDD" w:sz="1"/>
              <w:bottom w:val="single" w:color="DDDDDD" w:sz="1"/>
              <w:right w:val="single" w:color="DDDDDD" w:sz="1"/>
            </w:tcBorders>
            <w:shd w:fill="EFF5E9" w:val="clear"/>
            <w:tcMar>
              <w:top w:type="dxa" w:w="80"/>
              <w:left w:type="dxa" w:w="120"/>
              <w:bottom w:type="dxa" w:w="80"/>
              <w:right w:type="dxa" w:w="120"/>
            </w:tcMar>
          </w:tcPr>
          <w:p>
            <w:r>
              <w:rPr>
                <w:rFonts w:ascii="Arial" w:cs="Arial" w:eastAsia="Arial" w:hAnsi="Arial"/>
                <w:b w:val="false"/>
                <w:bCs w:val="false"/>
                <w:sz w:val="20"/>
                <w:szCs w:val="20"/>
              </w:rPr>
              <w:t xml:space="preserve">Markets Pro adoption %</w:t>
            </w:r>
          </w:p>
        </w:tc>
        <w:tc>
          <w:tcPr>
            <w:tcW w:type="dxa" w:w="1540"/>
            <w:tcBorders>
              <w:top w:val="single" w:color="DDDDDD" w:sz="1"/>
              <w:left w:val="single" w:color="DDDDDD" w:sz="1"/>
              <w:bottom w:val="single" w:color="DDDDDD" w:sz="1"/>
              <w:right w:val="single" w:color="DDDDDD" w:sz="1"/>
            </w:tcBorders>
            <w:shd w:fill="EFF5E9"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1540"/>
            <w:tcBorders>
              <w:top w:val="single" w:color="DDDDDD" w:sz="1"/>
              <w:left w:val="single" w:color="DDDDDD" w:sz="1"/>
              <w:bottom w:val="single" w:color="DDDDDD" w:sz="1"/>
              <w:right w:val="single" w:color="DDDDDD" w:sz="1"/>
            </w:tcBorders>
            <w:shd w:fill="EFF5E9" w:val="clear"/>
            <w:tcMar>
              <w:top w:type="dxa" w:w="80"/>
              <w:left w:type="dxa" w:w="120"/>
              <w:bottom w:type="dxa" w:w="80"/>
              <w:right w:type="dxa" w:w="120"/>
            </w:tcMar>
          </w:tcPr>
          <w:p>
            <w:r>
              <w:rPr>
                <w:rFonts w:ascii="Arial" w:cs="Arial" w:eastAsia="Arial" w:hAnsi="Arial"/>
                <w:b/>
                <w:bCs/>
                <w:sz w:val="20"/>
                <w:szCs w:val="20"/>
              </w:rPr>
              <w:t xml:space="preserve">20%</w:t>
            </w:r>
          </w:p>
        </w:tc>
      </w:tr>
    </w:tbl>
    <w:p>
      <w:pPr>
        <w:spacing w:after="0" w:before="120"/>
      </w:pPr>
    </w:p>
    <w:p>
      <w:r>
        <w:br w:type="page"/>
      </w:r>
    </w:p>
    <w:p>
      <w:pPr>
        <w:pBdr>
          <w:left w:val="single" w:color="5E8E3E" w:sz="12" w:space="6"/>
        </w:pBdr>
        <w:spacing w:after="60" w:before="200"/>
        <w:ind w:left="180"/>
      </w:pPr>
      <w:r>
        <w:rPr>
          <w:rFonts w:ascii="Arial" w:cs="Arial" w:eastAsia="Arial" w:hAnsi="Arial"/>
          <w:b/>
          <w:bCs/>
          <w:color w:val="5E8E3E"/>
          <w:sz w:val="22"/>
          <w:szCs w:val="22"/>
        </w:rPr>
        <w:t xml:space="preserve">O3: Ship AI Auto-Localization and prove it drives measurable international traffic and revenue lift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080"/>
        <w:gridCol w:w="1540"/>
        <w:gridCol w:w="1540"/>
      </w:tblGrid>
      <w:tr>
        <w:tc>
          <w:tcPr>
            <w:tcW w:type="dxa" w:w="4200"/>
            <w:tcBorders>
              <w:top w:val="single" w:color="DDDDDD" w:sz="1"/>
              <w:left w:val="single" w:color="DDDDDD" w:sz="1"/>
              <w:bottom w:val="single" w:color="DDDDDD" w:sz="1"/>
              <w:right w:val="single" w:color="DDDDDD" w:sz="1"/>
            </w:tcBorders>
            <w:shd w:fill="5E8E3E" w:val="clear"/>
            <w:tcMar>
              <w:top w:type="dxa" w:w="100"/>
              <w:left w:type="dxa" w:w="120"/>
              <w:bottom w:type="dxa" w:w="100"/>
              <w:right w:type="dxa" w:w="120"/>
            </w:tcMar>
            <w:vAlign w:val="center"/>
          </w:tcPr>
          <w:p>
            <w:r>
              <w:rPr>
                <w:rFonts w:ascii="Arial" w:cs="Arial" w:eastAsia="Arial" w:hAnsi="Arial"/>
                <w:b/>
                <w:bCs/>
                <w:color w:val="FFFFFF"/>
                <w:sz w:val="20"/>
                <w:szCs w:val="20"/>
              </w:rPr>
              <w:t xml:space="preserve">Key Result</w:t>
            </w:r>
          </w:p>
        </w:tc>
        <w:tc>
          <w:tcPr>
            <w:tcW w:type="dxa" w:w="2080"/>
            <w:tcBorders>
              <w:top w:val="single" w:color="DDDDDD" w:sz="1"/>
              <w:left w:val="single" w:color="DDDDDD" w:sz="1"/>
              <w:bottom w:val="single" w:color="DDDDDD" w:sz="1"/>
              <w:right w:val="single" w:color="DDDDDD" w:sz="1"/>
            </w:tcBorders>
            <w:shd w:fill="5E8E3E" w:val="clear"/>
            <w:tcMar>
              <w:top w:type="dxa" w:w="100"/>
              <w:left w:type="dxa" w:w="120"/>
              <w:bottom w:type="dxa" w:w="100"/>
              <w:right w:type="dxa" w:w="120"/>
            </w:tcMar>
            <w:vAlign w:val="center"/>
          </w:tcPr>
          <w:p>
            <w:r>
              <w:rPr>
                <w:rFonts w:ascii="Arial" w:cs="Arial" w:eastAsia="Arial" w:hAnsi="Arial"/>
                <w:b/>
                <w:bCs/>
                <w:color w:val="FFFFFF"/>
                <w:sz w:val="20"/>
                <w:szCs w:val="20"/>
              </w:rPr>
              <w:t xml:space="preserve">Metric</w:t>
            </w:r>
          </w:p>
        </w:tc>
        <w:tc>
          <w:tcPr>
            <w:tcW w:type="dxa" w:w="1540"/>
            <w:tcBorders>
              <w:top w:val="single" w:color="DDDDDD" w:sz="1"/>
              <w:left w:val="single" w:color="DDDDDD" w:sz="1"/>
              <w:bottom w:val="single" w:color="DDDDDD" w:sz="1"/>
              <w:right w:val="single" w:color="DDDDDD" w:sz="1"/>
            </w:tcBorders>
            <w:shd w:fill="5E8E3E" w:val="clear"/>
            <w:tcMar>
              <w:top w:type="dxa" w:w="100"/>
              <w:left w:type="dxa" w:w="120"/>
              <w:bottom w:type="dxa" w:w="100"/>
              <w:right w:type="dxa" w:w="120"/>
            </w:tcMar>
            <w:vAlign w:val="center"/>
          </w:tcPr>
          <w:p>
            <w:r>
              <w:rPr>
                <w:rFonts w:ascii="Arial" w:cs="Arial" w:eastAsia="Arial" w:hAnsi="Arial"/>
                <w:b/>
                <w:bCs/>
                <w:color w:val="FFFFFF"/>
                <w:sz w:val="20"/>
                <w:szCs w:val="20"/>
              </w:rPr>
              <w:t xml:space="preserve">Current</w:t>
            </w:r>
          </w:p>
        </w:tc>
        <w:tc>
          <w:tcPr>
            <w:tcW w:type="dxa" w:w="1540"/>
            <w:tcBorders>
              <w:top w:val="single" w:color="DDDDDD" w:sz="1"/>
              <w:left w:val="single" w:color="DDDDDD" w:sz="1"/>
              <w:bottom w:val="single" w:color="DDDDDD" w:sz="1"/>
              <w:right w:val="single" w:color="DDDDDD" w:sz="1"/>
            </w:tcBorders>
            <w:shd w:fill="5E8E3E" w:val="clear"/>
            <w:tcMar>
              <w:top w:type="dxa" w:w="100"/>
              <w:left w:type="dxa" w:w="120"/>
              <w:bottom w:type="dxa" w:w="100"/>
              <w:right w:type="dxa" w:w="120"/>
            </w:tcMar>
            <w:vAlign w:val="center"/>
          </w:tcPr>
          <w:p>
            <w:r>
              <w:rPr>
                <w:rFonts w:ascii="Arial" w:cs="Arial" w:eastAsia="Arial" w:hAnsi="Arial"/>
                <w:b/>
                <w:bCs/>
                <w:color w:val="FFFFFF"/>
                <w:sz w:val="20"/>
                <w:szCs w:val="20"/>
              </w:rPr>
              <w:t xml:space="preserve">Target</w:t>
            </w:r>
          </w:p>
        </w:tc>
      </w:tr>
      <w:tr>
        <w:tc>
          <w:tcPr>
            <w:tcW w:type="dxa" w:w="4200"/>
            <w:tcBorders>
              <w:top w:val="single" w:color="DDDDDD" w:sz="1"/>
              <w:left w:val="single" w:color="DDDDDD" w:sz="1"/>
              <w:bottom w:val="single" w:color="DDDDDD" w:sz="1"/>
              <w:right w:val="single" w:color="DDDDDD" w:sz="1"/>
            </w:tcBorders>
            <w:shd w:fill="EFF5E9" w:val="clear"/>
            <w:tcMar>
              <w:top w:type="dxa" w:w="80"/>
              <w:left w:type="dxa" w:w="120"/>
              <w:bottom w:type="dxa" w:w="80"/>
              <w:right w:type="dxa" w:w="120"/>
            </w:tcMar>
          </w:tcPr>
          <w:p>
            <w:r>
              <w:rPr>
                <w:rFonts w:ascii="Arial" w:cs="Arial" w:eastAsia="Arial" w:hAnsi="Arial"/>
                <w:b w:val="false"/>
                <w:bCs w:val="false"/>
                <w:sz w:val="20"/>
                <w:szCs w:val="20"/>
              </w:rPr>
              <w:t xml:space="preserve">KR3.1 — AI Auto-Localization available for 40+ languages at GA, adopted by 50,000+ merchants within 90 days</w:t>
            </w:r>
          </w:p>
        </w:tc>
        <w:tc>
          <w:tcPr>
            <w:tcW w:type="dxa" w:w="2080"/>
            <w:tcBorders>
              <w:top w:val="single" w:color="DDDDDD" w:sz="1"/>
              <w:left w:val="single" w:color="DDDDDD" w:sz="1"/>
              <w:bottom w:val="single" w:color="DDDDDD" w:sz="1"/>
              <w:right w:val="single" w:color="DDDDDD" w:sz="1"/>
            </w:tcBorders>
            <w:shd w:fill="EFF5E9" w:val="clear"/>
            <w:tcMar>
              <w:top w:type="dxa" w:w="80"/>
              <w:left w:type="dxa" w:w="120"/>
              <w:bottom w:type="dxa" w:w="80"/>
              <w:right w:type="dxa" w:w="120"/>
            </w:tcMar>
          </w:tcPr>
          <w:p>
            <w:r>
              <w:rPr>
                <w:rFonts w:ascii="Arial" w:cs="Arial" w:eastAsia="Arial" w:hAnsi="Arial"/>
                <w:b w:val="false"/>
                <w:bCs w:val="false"/>
                <w:sz w:val="20"/>
                <w:szCs w:val="20"/>
              </w:rPr>
              <w:t xml:space="preserve">Merchants using Auto-L10n</w:t>
            </w:r>
          </w:p>
        </w:tc>
        <w:tc>
          <w:tcPr>
            <w:tcW w:type="dxa" w:w="1540"/>
            <w:tcBorders>
              <w:top w:val="single" w:color="DDDDDD" w:sz="1"/>
              <w:left w:val="single" w:color="DDDDDD" w:sz="1"/>
              <w:bottom w:val="single" w:color="DDDDDD" w:sz="1"/>
              <w:right w:val="single" w:color="DDDDDD" w:sz="1"/>
            </w:tcBorders>
            <w:shd w:fill="EFF5E9" w:val="clear"/>
            <w:tcMar>
              <w:top w:type="dxa" w:w="80"/>
              <w:left w:type="dxa" w:w="120"/>
              <w:bottom w:type="dxa" w:w="80"/>
              <w:right w:type="dxa" w:w="120"/>
            </w:tcMar>
          </w:tcPr>
          <w:p>
            <w:r>
              <w:rPr>
                <w:rFonts w:ascii="Arial" w:cs="Arial" w:eastAsia="Arial" w:hAnsi="Arial"/>
                <w:b w:val="false"/>
                <w:bCs w:val="false"/>
                <w:sz w:val="20"/>
                <w:szCs w:val="20"/>
              </w:rPr>
              <w:t xml:space="preserve">0 (pre-launch)</w:t>
            </w:r>
          </w:p>
        </w:tc>
        <w:tc>
          <w:tcPr>
            <w:tcW w:type="dxa" w:w="1540"/>
            <w:tcBorders>
              <w:top w:val="single" w:color="DDDDDD" w:sz="1"/>
              <w:left w:val="single" w:color="DDDDDD" w:sz="1"/>
              <w:bottom w:val="single" w:color="DDDDDD" w:sz="1"/>
              <w:right w:val="single" w:color="DDDDDD" w:sz="1"/>
            </w:tcBorders>
            <w:shd w:fill="EFF5E9" w:val="clear"/>
            <w:tcMar>
              <w:top w:type="dxa" w:w="80"/>
              <w:left w:type="dxa" w:w="120"/>
              <w:bottom w:type="dxa" w:w="80"/>
              <w:right w:type="dxa" w:w="120"/>
            </w:tcMar>
          </w:tcPr>
          <w:p>
            <w:r>
              <w:rPr>
                <w:rFonts w:ascii="Arial" w:cs="Arial" w:eastAsia="Arial" w:hAnsi="Arial"/>
                <w:b/>
                <w:bCs/>
                <w:sz w:val="20"/>
                <w:szCs w:val="20"/>
              </w:rPr>
              <w:t xml:space="preserve">50,000</w:t>
            </w:r>
          </w:p>
        </w:tc>
      </w:tr>
      <w:tr>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KR3.2 — Merchants using Auto-Localization see avg 25%+ international organic search traffic lift in 60 days post-publish</w:t>
            </w:r>
          </w:p>
        </w:tc>
        <w:tc>
          <w:tcPr>
            <w:tcW w:type="dxa" w:w="20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Intl. search traffic lift</w:t>
            </w:r>
          </w:p>
        </w:tc>
        <w:tc>
          <w:tcPr>
            <w:tcW w:type="dxa" w:w="15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28% (beta)</w:t>
            </w:r>
          </w:p>
        </w:tc>
        <w:tc>
          <w:tcPr>
            <w:tcW w:type="dxa" w:w="15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25%+ (GA)</w:t>
            </w:r>
          </w:p>
        </w:tc>
      </w:tr>
      <w:tr>
        <w:tc>
          <w:tcPr>
            <w:tcW w:type="dxa" w:w="4200"/>
            <w:tcBorders>
              <w:top w:val="single" w:color="DDDDDD" w:sz="1"/>
              <w:left w:val="single" w:color="DDDDDD" w:sz="1"/>
              <w:bottom w:val="single" w:color="DDDDDD" w:sz="1"/>
              <w:right w:val="single" w:color="DDDDDD" w:sz="1"/>
            </w:tcBorders>
            <w:shd w:fill="EFF5E9" w:val="clear"/>
            <w:tcMar>
              <w:top w:type="dxa" w:w="80"/>
              <w:left w:type="dxa" w:w="120"/>
              <w:bottom w:type="dxa" w:w="80"/>
              <w:right w:type="dxa" w:w="120"/>
            </w:tcMar>
          </w:tcPr>
          <w:p>
            <w:r>
              <w:rPr>
                <w:rFonts w:ascii="Arial" w:cs="Arial" w:eastAsia="Arial" w:hAnsi="Arial"/>
                <w:b w:val="false"/>
                <w:bCs w:val="false"/>
                <w:sz w:val="20"/>
                <w:szCs w:val="20"/>
              </w:rPr>
              <w:t xml:space="preserve">KR3.3 — Auto-Localization translated content quality achieves 4.3/5.0+ merchant satisfaction rating</w:t>
            </w:r>
          </w:p>
        </w:tc>
        <w:tc>
          <w:tcPr>
            <w:tcW w:type="dxa" w:w="2080"/>
            <w:tcBorders>
              <w:top w:val="single" w:color="DDDDDD" w:sz="1"/>
              <w:left w:val="single" w:color="DDDDDD" w:sz="1"/>
              <w:bottom w:val="single" w:color="DDDDDD" w:sz="1"/>
              <w:right w:val="single" w:color="DDDDDD" w:sz="1"/>
            </w:tcBorders>
            <w:shd w:fill="EFF5E9" w:val="clear"/>
            <w:tcMar>
              <w:top w:type="dxa" w:w="80"/>
              <w:left w:type="dxa" w:w="120"/>
              <w:bottom w:type="dxa" w:w="80"/>
              <w:right w:type="dxa" w:w="120"/>
            </w:tcMar>
          </w:tcPr>
          <w:p>
            <w:r>
              <w:rPr>
                <w:rFonts w:ascii="Arial" w:cs="Arial" w:eastAsia="Arial" w:hAnsi="Arial"/>
                <w:b w:val="false"/>
                <w:bCs w:val="false"/>
                <w:sz w:val="20"/>
                <w:szCs w:val="20"/>
              </w:rPr>
              <w:t xml:space="preserve">Merchant satisfaction</w:t>
            </w:r>
          </w:p>
        </w:tc>
        <w:tc>
          <w:tcPr>
            <w:tcW w:type="dxa" w:w="1540"/>
            <w:tcBorders>
              <w:top w:val="single" w:color="DDDDDD" w:sz="1"/>
              <w:left w:val="single" w:color="DDDDDD" w:sz="1"/>
              <w:bottom w:val="single" w:color="DDDDDD" w:sz="1"/>
              <w:right w:val="single" w:color="DDDDDD" w:sz="1"/>
            </w:tcBorders>
            <w:shd w:fill="EFF5E9" w:val="clear"/>
            <w:tcMar>
              <w:top w:type="dxa" w:w="80"/>
              <w:left w:type="dxa" w:w="120"/>
              <w:bottom w:type="dxa" w:w="80"/>
              <w:right w:type="dxa" w:w="120"/>
            </w:tcMar>
          </w:tcPr>
          <w:p>
            <w:r>
              <w:rPr>
                <w:rFonts w:ascii="Arial" w:cs="Arial" w:eastAsia="Arial" w:hAnsi="Arial"/>
                <w:b w:val="false"/>
                <w:bCs w:val="false"/>
                <w:sz w:val="20"/>
                <w:szCs w:val="20"/>
              </w:rPr>
              <w:t xml:space="preserve">4.1/5.0 (beta)</w:t>
            </w:r>
          </w:p>
        </w:tc>
        <w:tc>
          <w:tcPr>
            <w:tcW w:type="dxa" w:w="1540"/>
            <w:tcBorders>
              <w:top w:val="single" w:color="DDDDDD" w:sz="1"/>
              <w:left w:val="single" w:color="DDDDDD" w:sz="1"/>
              <w:bottom w:val="single" w:color="DDDDDD" w:sz="1"/>
              <w:right w:val="single" w:color="DDDDDD" w:sz="1"/>
            </w:tcBorders>
            <w:shd w:fill="EFF5E9" w:val="clear"/>
            <w:tcMar>
              <w:top w:type="dxa" w:w="80"/>
              <w:left w:type="dxa" w:w="120"/>
              <w:bottom w:type="dxa" w:w="80"/>
              <w:right w:type="dxa" w:w="120"/>
            </w:tcMar>
          </w:tcPr>
          <w:p>
            <w:r>
              <w:rPr>
                <w:rFonts w:ascii="Arial" w:cs="Arial" w:eastAsia="Arial" w:hAnsi="Arial"/>
                <w:b/>
                <w:bCs/>
                <w:sz w:val="20"/>
                <w:szCs w:val="20"/>
              </w:rPr>
              <w:t xml:space="preserve">4.3/5.0+</w:t>
            </w:r>
          </w:p>
        </w:tc>
      </w:tr>
    </w:tbl>
    <w:p>
      <w:pPr>
        <w:spacing w:after="0" w:before="120"/>
      </w:pPr>
    </w:p>
    <w:p>
      <w:pPr>
        <w:pBdr>
          <w:left w:val="single" w:color="5E8E3E" w:sz="12" w:space="6"/>
        </w:pBdr>
        <w:spacing w:after="60" w:before="200"/>
        <w:ind w:left="180"/>
      </w:pPr>
      <w:r>
        <w:rPr>
          <w:rFonts w:ascii="Arial" w:cs="Arial" w:eastAsia="Arial" w:hAnsi="Arial"/>
          <w:b/>
          <w:bCs/>
          <w:color w:val="5E8E3E"/>
          <w:sz w:val="22"/>
          <w:szCs w:val="22"/>
        </w:rPr>
        <w:t xml:space="preserve">O4: Expand local payment method coverage and prove measurable conversion lift by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080"/>
        <w:gridCol w:w="1540"/>
        <w:gridCol w:w="1540"/>
      </w:tblGrid>
      <w:tr>
        <w:tc>
          <w:tcPr>
            <w:tcW w:type="dxa" w:w="4200"/>
            <w:tcBorders>
              <w:top w:val="single" w:color="DDDDDD" w:sz="1"/>
              <w:left w:val="single" w:color="DDDDDD" w:sz="1"/>
              <w:bottom w:val="single" w:color="DDDDDD" w:sz="1"/>
              <w:right w:val="single" w:color="DDDDDD" w:sz="1"/>
            </w:tcBorders>
            <w:shd w:fill="5E8E3E" w:val="clear"/>
            <w:tcMar>
              <w:top w:type="dxa" w:w="100"/>
              <w:left w:type="dxa" w:w="120"/>
              <w:bottom w:type="dxa" w:w="100"/>
              <w:right w:type="dxa" w:w="120"/>
            </w:tcMar>
            <w:vAlign w:val="center"/>
          </w:tcPr>
          <w:p>
            <w:r>
              <w:rPr>
                <w:rFonts w:ascii="Arial" w:cs="Arial" w:eastAsia="Arial" w:hAnsi="Arial"/>
                <w:b/>
                <w:bCs/>
                <w:color w:val="FFFFFF"/>
                <w:sz w:val="20"/>
                <w:szCs w:val="20"/>
              </w:rPr>
              <w:t xml:space="preserve">Key Result</w:t>
            </w:r>
          </w:p>
        </w:tc>
        <w:tc>
          <w:tcPr>
            <w:tcW w:type="dxa" w:w="2080"/>
            <w:tcBorders>
              <w:top w:val="single" w:color="DDDDDD" w:sz="1"/>
              <w:left w:val="single" w:color="DDDDDD" w:sz="1"/>
              <w:bottom w:val="single" w:color="DDDDDD" w:sz="1"/>
              <w:right w:val="single" w:color="DDDDDD" w:sz="1"/>
            </w:tcBorders>
            <w:shd w:fill="5E8E3E" w:val="clear"/>
            <w:tcMar>
              <w:top w:type="dxa" w:w="100"/>
              <w:left w:type="dxa" w:w="120"/>
              <w:bottom w:type="dxa" w:w="100"/>
              <w:right w:type="dxa" w:w="120"/>
            </w:tcMar>
            <w:vAlign w:val="center"/>
          </w:tcPr>
          <w:p>
            <w:r>
              <w:rPr>
                <w:rFonts w:ascii="Arial" w:cs="Arial" w:eastAsia="Arial" w:hAnsi="Arial"/>
                <w:b/>
                <w:bCs/>
                <w:color w:val="FFFFFF"/>
                <w:sz w:val="20"/>
                <w:szCs w:val="20"/>
              </w:rPr>
              <w:t xml:space="preserve">Metric</w:t>
            </w:r>
          </w:p>
        </w:tc>
        <w:tc>
          <w:tcPr>
            <w:tcW w:type="dxa" w:w="1540"/>
            <w:tcBorders>
              <w:top w:val="single" w:color="DDDDDD" w:sz="1"/>
              <w:left w:val="single" w:color="DDDDDD" w:sz="1"/>
              <w:bottom w:val="single" w:color="DDDDDD" w:sz="1"/>
              <w:right w:val="single" w:color="DDDDDD" w:sz="1"/>
            </w:tcBorders>
            <w:shd w:fill="5E8E3E" w:val="clear"/>
            <w:tcMar>
              <w:top w:type="dxa" w:w="100"/>
              <w:left w:type="dxa" w:w="120"/>
              <w:bottom w:type="dxa" w:w="100"/>
              <w:right w:type="dxa" w:w="120"/>
            </w:tcMar>
            <w:vAlign w:val="center"/>
          </w:tcPr>
          <w:p>
            <w:r>
              <w:rPr>
                <w:rFonts w:ascii="Arial" w:cs="Arial" w:eastAsia="Arial" w:hAnsi="Arial"/>
                <w:b/>
                <w:bCs/>
                <w:color w:val="FFFFFF"/>
                <w:sz w:val="20"/>
                <w:szCs w:val="20"/>
              </w:rPr>
              <w:t xml:space="preserve">Current</w:t>
            </w:r>
          </w:p>
        </w:tc>
        <w:tc>
          <w:tcPr>
            <w:tcW w:type="dxa" w:w="1540"/>
            <w:tcBorders>
              <w:top w:val="single" w:color="DDDDDD" w:sz="1"/>
              <w:left w:val="single" w:color="DDDDDD" w:sz="1"/>
              <w:bottom w:val="single" w:color="DDDDDD" w:sz="1"/>
              <w:right w:val="single" w:color="DDDDDD" w:sz="1"/>
            </w:tcBorders>
            <w:shd w:fill="5E8E3E" w:val="clear"/>
            <w:tcMar>
              <w:top w:type="dxa" w:w="100"/>
              <w:left w:type="dxa" w:w="120"/>
              <w:bottom w:type="dxa" w:w="100"/>
              <w:right w:type="dxa" w:w="120"/>
            </w:tcMar>
            <w:vAlign w:val="center"/>
          </w:tcPr>
          <w:p>
            <w:r>
              <w:rPr>
                <w:rFonts w:ascii="Arial" w:cs="Arial" w:eastAsia="Arial" w:hAnsi="Arial"/>
                <w:b/>
                <w:bCs/>
                <w:color w:val="FFFFFF"/>
                <w:sz w:val="20"/>
                <w:szCs w:val="20"/>
              </w:rPr>
              <w:t xml:space="preserve">Target</w:t>
            </w:r>
          </w:p>
        </w:tc>
      </w:tr>
      <w:tr>
        <w:tc>
          <w:tcPr>
            <w:tcW w:type="dxa" w:w="4200"/>
            <w:tcBorders>
              <w:top w:val="single" w:color="DDDDDD" w:sz="1"/>
              <w:left w:val="single" w:color="DDDDDD" w:sz="1"/>
              <w:bottom w:val="single" w:color="DDDDDD" w:sz="1"/>
              <w:right w:val="single" w:color="DDDDDD" w:sz="1"/>
            </w:tcBorders>
            <w:shd w:fill="EFF5E9" w:val="clear"/>
            <w:tcMar>
              <w:top w:type="dxa" w:w="80"/>
              <w:left w:type="dxa" w:w="120"/>
              <w:bottom w:type="dxa" w:w="80"/>
              <w:right w:type="dxa" w:w="120"/>
            </w:tcMar>
          </w:tcPr>
          <w:p>
            <w:r>
              <w:rPr>
                <w:rFonts w:ascii="Arial" w:cs="Arial" w:eastAsia="Arial" w:hAnsi="Arial"/>
                <w:b w:val="false"/>
                <w:bCs w:val="false"/>
                <w:sz w:val="20"/>
                <w:szCs w:val="20"/>
              </w:rPr>
              <w:t xml:space="preserve">KR4.1 — Expand native LPM support from 18 to 40 payment methods across 25 markets</w:t>
            </w:r>
          </w:p>
        </w:tc>
        <w:tc>
          <w:tcPr>
            <w:tcW w:type="dxa" w:w="2080"/>
            <w:tcBorders>
              <w:top w:val="single" w:color="DDDDDD" w:sz="1"/>
              <w:left w:val="single" w:color="DDDDDD" w:sz="1"/>
              <w:bottom w:val="single" w:color="DDDDDD" w:sz="1"/>
              <w:right w:val="single" w:color="DDDDDD" w:sz="1"/>
            </w:tcBorders>
            <w:shd w:fill="EFF5E9" w:val="clear"/>
            <w:tcMar>
              <w:top w:type="dxa" w:w="80"/>
              <w:left w:type="dxa" w:w="120"/>
              <w:bottom w:type="dxa" w:w="80"/>
              <w:right w:type="dxa" w:w="120"/>
            </w:tcMar>
          </w:tcPr>
          <w:p>
            <w:r>
              <w:rPr>
                <w:rFonts w:ascii="Arial" w:cs="Arial" w:eastAsia="Arial" w:hAnsi="Arial"/>
                <w:b w:val="false"/>
                <w:bCs w:val="false"/>
                <w:sz w:val="20"/>
                <w:szCs w:val="20"/>
              </w:rPr>
              <w:t xml:space="preserve">LPMs supported</w:t>
            </w:r>
          </w:p>
        </w:tc>
        <w:tc>
          <w:tcPr>
            <w:tcW w:type="dxa" w:w="1540"/>
            <w:tcBorders>
              <w:top w:val="single" w:color="DDDDDD" w:sz="1"/>
              <w:left w:val="single" w:color="DDDDDD" w:sz="1"/>
              <w:bottom w:val="single" w:color="DDDDDD" w:sz="1"/>
              <w:right w:val="single" w:color="DDDDDD" w:sz="1"/>
            </w:tcBorders>
            <w:shd w:fill="EFF5E9" w:val="clear"/>
            <w:tcMar>
              <w:top w:type="dxa" w:w="80"/>
              <w:left w:type="dxa" w:w="120"/>
              <w:bottom w:type="dxa" w:w="80"/>
              <w:right w:type="dxa" w:w="120"/>
            </w:tcMar>
          </w:tcPr>
          <w:p>
            <w:r>
              <w:rPr>
                <w:rFonts w:ascii="Arial" w:cs="Arial" w:eastAsia="Arial" w:hAnsi="Arial"/>
                <w:b w:val="false"/>
                <w:bCs w:val="false"/>
                <w:sz w:val="20"/>
                <w:szCs w:val="20"/>
              </w:rPr>
              <w:t xml:space="preserve">18</w:t>
            </w:r>
          </w:p>
        </w:tc>
        <w:tc>
          <w:tcPr>
            <w:tcW w:type="dxa" w:w="1540"/>
            <w:tcBorders>
              <w:top w:val="single" w:color="DDDDDD" w:sz="1"/>
              <w:left w:val="single" w:color="DDDDDD" w:sz="1"/>
              <w:bottom w:val="single" w:color="DDDDDD" w:sz="1"/>
              <w:right w:val="single" w:color="DDDDDD" w:sz="1"/>
            </w:tcBorders>
            <w:shd w:fill="EFF5E9" w:val="clear"/>
            <w:tcMar>
              <w:top w:type="dxa" w:w="80"/>
              <w:left w:type="dxa" w:w="120"/>
              <w:bottom w:type="dxa" w:w="80"/>
              <w:right w:type="dxa" w:w="120"/>
            </w:tcMar>
          </w:tcPr>
          <w:p>
            <w:r>
              <w:rPr>
                <w:rFonts w:ascii="Arial" w:cs="Arial" w:eastAsia="Arial" w:hAnsi="Arial"/>
                <w:b/>
                <w:bCs/>
                <w:sz w:val="20"/>
                <w:szCs w:val="20"/>
              </w:rPr>
              <w:t xml:space="preserve">40</w:t>
            </w:r>
          </w:p>
        </w:tc>
      </w:tr>
      <w:tr>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KR4.2 — Merchants enabling market-recommended LPMs see avg 8pp+ lift in international cart completion rate</w:t>
            </w:r>
          </w:p>
        </w:tc>
        <w:tc>
          <w:tcPr>
            <w:tcW w:type="dxa" w:w="20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Cart completion lift</w:t>
            </w:r>
          </w:p>
        </w:tc>
        <w:tc>
          <w:tcPr>
            <w:tcW w:type="dxa" w:w="15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Baseline</w:t>
            </w:r>
          </w:p>
        </w:tc>
        <w:tc>
          <w:tcPr>
            <w:tcW w:type="dxa" w:w="15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8pp+</w:t>
            </w:r>
          </w:p>
        </w:tc>
      </w:tr>
      <w:tr>
        <w:tc>
          <w:tcPr>
            <w:tcW w:type="dxa" w:w="4200"/>
            <w:tcBorders>
              <w:top w:val="single" w:color="DDDDDD" w:sz="1"/>
              <w:left w:val="single" w:color="DDDDDD" w:sz="1"/>
              <w:bottom w:val="single" w:color="DDDDDD" w:sz="1"/>
              <w:right w:val="single" w:color="DDDDDD" w:sz="1"/>
            </w:tcBorders>
            <w:shd w:fill="EFF5E9" w:val="clear"/>
            <w:tcMar>
              <w:top w:type="dxa" w:w="80"/>
              <w:left w:type="dxa" w:w="120"/>
              <w:bottom w:type="dxa" w:w="80"/>
              <w:right w:type="dxa" w:w="120"/>
            </w:tcMar>
          </w:tcPr>
          <w:p>
            <w:r>
              <w:rPr>
                <w:rFonts w:ascii="Arial" w:cs="Arial" w:eastAsia="Arial" w:hAnsi="Arial"/>
                <w:b w:val="false"/>
                <w:bCs w:val="false"/>
                <w:sz w:val="20"/>
                <w:szCs w:val="20"/>
              </w:rPr>
              <w:t xml:space="preserve">KR4.3 — 50%+ of Markets merchants in LPM-priority markets (DE, BR, NL, SE) have at least one LPM enabled</w:t>
            </w:r>
          </w:p>
        </w:tc>
        <w:tc>
          <w:tcPr>
            <w:tcW w:type="dxa" w:w="2080"/>
            <w:tcBorders>
              <w:top w:val="single" w:color="DDDDDD" w:sz="1"/>
              <w:left w:val="single" w:color="DDDDDD" w:sz="1"/>
              <w:bottom w:val="single" w:color="DDDDDD" w:sz="1"/>
              <w:right w:val="single" w:color="DDDDDD" w:sz="1"/>
            </w:tcBorders>
            <w:shd w:fill="EFF5E9" w:val="clear"/>
            <w:tcMar>
              <w:top w:type="dxa" w:w="80"/>
              <w:left w:type="dxa" w:w="120"/>
              <w:bottom w:type="dxa" w:w="80"/>
              <w:right w:type="dxa" w:w="120"/>
            </w:tcMar>
          </w:tcPr>
          <w:p>
            <w:r>
              <w:rPr>
                <w:rFonts w:ascii="Arial" w:cs="Arial" w:eastAsia="Arial" w:hAnsi="Arial"/>
                <w:b w:val="false"/>
                <w:bCs w:val="false"/>
                <w:sz w:val="20"/>
                <w:szCs w:val="20"/>
              </w:rPr>
              <w:t xml:space="preserve">LPM adoption in priority mkts</w:t>
            </w:r>
          </w:p>
        </w:tc>
        <w:tc>
          <w:tcPr>
            <w:tcW w:type="dxa" w:w="1540"/>
            <w:tcBorders>
              <w:top w:val="single" w:color="DDDDDD" w:sz="1"/>
              <w:left w:val="single" w:color="DDDDDD" w:sz="1"/>
              <w:bottom w:val="single" w:color="DDDDDD" w:sz="1"/>
              <w:right w:val="single" w:color="DDDDDD" w:sz="1"/>
            </w:tcBorders>
            <w:shd w:fill="EFF5E9" w:val="clear"/>
            <w:tcMar>
              <w:top w:type="dxa" w:w="80"/>
              <w:left w:type="dxa" w:w="120"/>
              <w:bottom w:type="dxa" w:w="80"/>
              <w:right w:type="dxa" w:w="120"/>
            </w:tcMar>
          </w:tcPr>
          <w:p>
            <w:r>
              <w:rPr>
                <w:rFonts w:ascii="Arial" w:cs="Arial" w:eastAsia="Arial" w:hAnsi="Arial"/>
                <w:b w:val="false"/>
                <w:bCs w:val="false"/>
                <w:sz w:val="20"/>
                <w:szCs w:val="20"/>
              </w:rPr>
              <w:t xml:space="preserve">29%</w:t>
            </w:r>
          </w:p>
        </w:tc>
        <w:tc>
          <w:tcPr>
            <w:tcW w:type="dxa" w:w="1540"/>
            <w:tcBorders>
              <w:top w:val="single" w:color="DDDDDD" w:sz="1"/>
              <w:left w:val="single" w:color="DDDDDD" w:sz="1"/>
              <w:bottom w:val="single" w:color="DDDDDD" w:sz="1"/>
              <w:right w:val="single" w:color="DDDDDD" w:sz="1"/>
            </w:tcBorders>
            <w:shd w:fill="EFF5E9" w:val="clear"/>
            <w:tcMar>
              <w:top w:type="dxa" w:w="80"/>
              <w:left w:type="dxa" w:w="120"/>
              <w:bottom w:type="dxa" w:w="80"/>
              <w:right w:type="dxa" w:w="120"/>
            </w:tcMar>
          </w:tcPr>
          <w:p>
            <w:r>
              <w:rPr>
                <w:rFonts w:ascii="Arial" w:cs="Arial" w:eastAsia="Arial" w:hAnsi="Arial"/>
                <w:b/>
                <w:bCs/>
                <w:sz w:val="20"/>
                <w:szCs w:val="20"/>
              </w:rPr>
              <w:t xml:space="preserve">50%+</w:t>
            </w:r>
          </w:p>
        </w:tc>
      </w:tr>
    </w:tbl>
    <w:p>
      <w:pPr>
        <w:spacing w:after="0" w:before="120"/>
      </w:pPr>
    </w:p>
    <w:p>
      <w:pPr>
        <w:pBdr>
          <w:bottom w:val="single" w:color="5E8E3E" w:sz="4" w:space="4"/>
        </w:pBdr>
        <w:spacing w:after="160" w:before="320"/>
      </w:pPr>
      <w:r>
        <w:rPr>
          <w:rFonts w:ascii="Arial" w:cs="Arial" w:eastAsia="Arial" w:hAnsi="Arial"/>
          <w:b/>
          <w:bCs/>
          <w:color w:val="5E8E3E"/>
          <w:sz w:val="32"/>
          <w:szCs w:val="32"/>
        </w:rPr>
        <w:t xml:space="preserve">KPIs /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800"/>
        <w:gridCol w:w="1800"/>
        <w:gridCol w:w="1440"/>
        <w:gridCol w:w="1440"/>
      </w:tblGrid>
      <w:tr>
        <w:tc>
          <w:tcPr>
            <w:tcW w:type="dxa" w:w="2880"/>
            <w:tcBorders>
              <w:top w:val="single" w:color="DDDDDD" w:sz="1"/>
              <w:left w:val="single" w:color="DDDDDD" w:sz="1"/>
              <w:bottom w:val="single" w:color="DDDDDD" w:sz="1"/>
              <w:right w:val="single" w:color="DDDDDD" w:sz="1"/>
            </w:tcBorders>
            <w:shd w:fill="5E8E3E" w:val="clear"/>
            <w:tcMar>
              <w:top w:type="dxa" w:w="100"/>
              <w:left w:type="dxa" w:w="120"/>
              <w:bottom w:type="dxa" w:w="100"/>
              <w:right w:type="dxa" w:w="120"/>
            </w:tcMar>
            <w:vAlign w:val="center"/>
          </w:tcPr>
          <w:p>
            <w:r>
              <w:rPr>
                <w:rFonts w:ascii="Arial" w:cs="Arial" w:eastAsia="Arial" w:hAnsi="Arial"/>
                <w:b/>
                <w:bCs/>
                <w:color w:val="FFFFFF"/>
                <w:sz w:val="20"/>
                <w:szCs w:val="20"/>
              </w:rPr>
              <w:t xml:space="preserve">Metric</w:t>
            </w:r>
          </w:p>
        </w:tc>
        <w:tc>
          <w:tcPr>
            <w:tcW w:type="dxa" w:w="1800"/>
            <w:tcBorders>
              <w:top w:val="single" w:color="DDDDDD" w:sz="1"/>
              <w:left w:val="single" w:color="DDDDDD" w:sz="1"/>
              <w:bottom w:val="single" w:color="DDDDDD" w:sz="1"/>
              <w:right w:val="single" w:color="DDDDDD" w:sz="1"/>
            </w:tcBorders>
            <w:shd w:fill="5E8E3E" w:val="clear"/>
            <w:tcMar>
              <w:top w:type="dxa" w:w="100"/>
              <w:left w:type="dxa" w:w="120"/>
              <w:bottom w:type="dxa" w:w="100"/>
              <w:right w:type="dxa" w:w="120"/>
            </w:tcMar>
            <w:vAlign w:val="center"/>
          </w:tcPr>
          <w:p>
            <w:r>
              <w:rPr>
                <w:rFonts w:ascii="Arial" w:cs="Arial" w:eastAsia="Arial" w:hAnsi="Arial"/>
                <w:b/>
                <w:bCs/>
                <w:color w:val="FFFFFF"/>
                <w:sz w:val="20"/>
                <w:szCs w:val="20"/>
              </w:rPr>
              <w:t xml:space="preserve">Baseline</w:t>
            </w:r>
          </w:p>
        </w:tc>
        <w:tc>
          <w:tcPr>
            <w:tcW w:type="dxa" w:w="1800"/>
            <w:tcBorders>
              <w:top w:val="single" w:color="DDDDDD" w:sz="1"/>
              <w:left w:val="single" w:color="DDDDDD" w:sz="1"/>
              <w:bottom w:val="single" w:color="DDDDDD" w:sz="1"/>
              <w:right w:val="single" w:color="DDDDDD" w:sz="1"/>
            </w:tcBorders>
            <w:shd w:fill="5E8E3E" w:val="clear"/>
            <w:tcMar>
              <w:top w:type="dxa" w:w="100"/>
              <w:left w:type="dxa" w:w="120"/>
              <w:bottom w:type="dxa" w:w="100"/>
              <w:right w:type="dxa" w:w="120"/>
            </w:tcMar>
            <w:vAlign w:val="center"/>
          </w:tcPr>
          <w:p>
            <w:r>
              <w:rPr>
                <w:rFonts w:ascii="Arial" w:cs="Arial" w:eastAsia="Arial" w:hAnsi="Arial"/>
                <w:b/>
                <w:bCs/>
                <w:color w:val="FFFFFF"/>
                <w:sz w:val="20"/>
                <w:szCs w:val="20"/>
              </w:rPr>
              <w:t xml:space="preserve">2025 Target</w:t>
            </w:r>
          </w:p>
        </w:tc>
        <w:tc>
          <w:tcPr>
            <w:tcW w:type="dxa" w:w="1440"/>
            <w:tcBorders>
              <w:top w:val="single" w:color="DDDDDD" w:sz="1"/>
              <w:left w:val="single" w:color="DDDDDD" w:sz="1"/>
              <w:bottom w:val="single" w:color="DDDDDD" w:sz="1"/>
              <w:right w:val="single" w:color="DDDDDD" w:sz="1"/>
            </w:tcBorders>
            <w:shd w:fill="5E8E3E" w:val="clear"/>
            <w:tcMar>
              <w:top w:type="dxa" w:w="100"/>
              <w:left w:type="dxa" w:w="120"/>
              <w:bottom w:type="dxa" w:w="100"/>
              <w:right w:type="dxa" w:w="120"/>
            </w:tcMar>
            <w:vAlign w:val="center"/>
          </w:tcPr>
          <w:p>
            <w:r>
              <w:rPr>
                <w:rFonts w:ascii="Arial" w:cs="Arial" w:eastAsia="Arial" w:hAnsi="Arial"/>
                <w:b/>
                <w:bCs/>
                <w:color w:val="FFFFFF"/>
                <w:sz w:val="20"/>
                <w:szCs w:val="20"/>
              </w:rPr>
              <w:t xml:space="preserve">Timeframe</w:t>
            </w:r>
          </w:p>
        </w:tc>
        <w:tc>
          <w:tcPr>
            <w:tcW w:type="dxa" w:w="1440"/>
            <w:tcBorders>
              <w:top w:val="single" w:color="DDDDDD" w:sz="1"/>
              <w:left w:val="single" w:color="DDDDDD" w:sz="1"/>
              <w:bottom w:val="single" w:color="DDDDDD" w:sz="1"/>
              <w:right w:val="single" w:color="DDDDDD" w:sz="1"/>
            </w:tcBorders>
            <w:shd w:fill="5E8E3E" w:val="clear"/>
            <w:tcMar>
              <w:top w:type="dxa" w:w="100"/>
              <w:left w:type="dxa" w:w="120"/>
              <w:bottom w:type="dxa" w:w="100"/>
              <w:right w:type="dxa" w:w="120"/>
            </w:tcMar>
            <w:vAlign w:val="center"/>
          </w:tcPr>
          <w:p>
            <w:r>
              <w:rPr>
                <w:rFonts w:ascii="Arial" w:cs="Arial" w:eastAsia="Arial" w:hAnsi="Arial"/>
                <w:b/>
                <w:bCs/>
                <w:color w:val="FFFFFF"/>
                <w:sz w:val="20"/>
                <w:szCs w:val="20"/>
              </w:rPr>
              <w:t xml:space="preserve">Owner</w:t>
            </w:r>
          </w:p>
        </w:tc>
      </w:tr>
      <w:tr>
        <w:tc>
          <w:tcPr>
            <w:tcW w:type="dxa" w:w="2880"/>
            <w:tcBorders>
              <w:top w:val="single" w:color="DDDDDD" w:sz="1"/>
              <w:left w:val="single" w:color="DDDDDD" w:sz="1"/>
              <w:bottom w:val="single" w:color="DDDDDD" w:sz="1"/>
              <w:right w:val="single" w:color="DDDDDD" w:sz="1"/>
            </w:tcBorders>
            <w:shd w:fill="EFF5E9" w:val="clear"/>
            <w:tcMar>
              <w:top w:type="dxa" w:w="80"/>
              <w:left w:type="dxa" w:w="120"/>
              <w:bottom w:type="dxa" w:w="80"/>
              <w:right w:type="dxa" w:w="120"/>
            </w:tcMar>
          </w:tcPr>
          <w:p>
            <w:r>
              <w:rPr>
                <w:rFonts w:ascii="Arial" w:cs="Arial" w:eastAsia="Arial" w:hAnsi="Arial"/>
                <w:b w:val="false"/>
                <w:bCs w:val="false"/>
                <w:sz w:val="20"/>
                <w:szCs w:val="20"/>
              </w:rPr>
              <w:t xml:space="preserve">Cross-Border GMV (Annualized)</w:t>
            </w:r>
          </w:p>
        </w:tc>
        <w:tc>
          <w:tcPr>
            <w:tcW w:type="dxa" w:w="1800"/>
            <w:tcBorders>
              <w:top w:val="single" w:color="DDDDDD" w:sz="1"/>
              <w:left w:val="single" w:color="DDDDDD" w:sz="1"/>
              <w:bottom w:val="single" w:color="DDDDDD" w:sz="1"/>
              <w:right w:val="single" w:color="DDDDDD" w:sz="1"/>
            </w:tcBorders>
            <w:shd w:fill="EFF5E9" w:val="clear"/>
            <w:tcMar>
              <w:top w:type="dxa" w:w="80"/>
              <w:left w:type="dxa" w:w="120"/>
              <w:bottom w:type="dxa" w:w="80"/>
              <w:right w:type="dxa" w:w="120"/>
            </w:tcMar>
          </w:tcPr>
          <w:p>
            <w:r>
              <w:rPr>
                <w:rFonts w:ascii="Arial" w:cs="Arial" w:eastAsia="Arial" w:hAnsi="Arial"/>
                <w:b w:val="false"/>
                <w:bCs w:val="false"/>
                <w:sz w:val="20"/>
                <w:szCs w:val="20"/>
              </w:rPr>
              <w:t xml:space="preserve">$28B</w:t>
            </w:r>
          </w:p>
        </w:tc>
        <w:tc>
          <w:tcPr>
            <w:tcW w:type="dxa" w:w="1800"/>
            <w:tcBorders>
              <w:top w:val="single" w:color="DDDDDD" w:sz="1"/>
              <w:left w:val="single" w:color="DDDDDD" w:sz="1"/>
              <w:bottom w:val="single" w:color="DDDDDD" w:sz="1"/>
              <w:right w:val="single" w:color="DDDDDD" w:sz="1"/>
            </w:tcBorders>
            <w:shd w:fill="EFF5E9" w:val="clear"/>
            <w:tcMar>
              <w:top w:type="dxa" w:w="80"/>
              <w:left w:type="dxa" w:w="120"/>
              <w:bottom w:type="dxa" w:w="80"/>
              <w:right w:type="dxa" w:w="120"/>
            </w:tcMar>
          </w:tcPr>
          <w:p>
            <w:r>
              <w:rPr>
                <w:rFonts w:ascii="Arial" w:cs="Arial" w:eastAsia="Arial" w:hAnsi="Arial"/>
                <w:b w:val="false"/>
                <w:bCs w:val="false"/>
                <w:sz w:val="20"/>
                <w:szCs w:val="20"/>
              </w:rPr>
              <w:t xml:space="preserve">$55B</w:t>
            </w:r>
          </w:p>
        </w:tc>
        <w:tc>
          <w:tcPr>
            <w:tcW w:type="dxa" w:w="1440"/>
            <w:tcBorders>
              <w:top w:val="single" w:color="DDDDDD" w:sz="1"/>
              <w:left w:val="single" w:color="DDDDDD" w:sz="1"/>
              <w:bottom w:val="single" w:color="DDDDDD" w:sz="1"/>
              <w:right w:val="single" w:color="DDDDDD" w:sz="1"/>
            </w:tcBorders>
            <w:shd w:fill="EFF5E9" w:val="clear"/>
            <w:tcMar>
              <w:top w:type="dxa" w:w="80"/>
              <w:left w:type="dxa" w:w="120"/>
              <w:bottom w:type="dxa" w:w="80"/>
              <w:right w:type="dxa" w:w="120"/>
            </w:tcMar>
          </w:tcPr>
          <w:p>
            <w:r>
              <w:rPr>
                <w:rFonts w:ascii="Arial" w:cs="Arial" w:eastAsia="Arial" w:hAnsi="Arial"/>
                <w:b w:val="false"/>
                <w:bCs w:val="false"/>
                <w:sz w:val="20"/>
                <w:szCs w:val="20"/>
              </w:rPr>
              <w:t xml:space="preserve">Q4 2025</w:t>
            </w:r>
          </w:p>
        </w:tc>
        <w:tc>
          <w:tcPr>
            <w:tcW w:type="dxa" w:w="1440"/>
            <w:tcBorders>
              <w:top w:val="single" w:color="DDDDDD" w:sz="1"/>
              <w:left w:val="single" w:color="DDDDDD" w:sz="1"/>
              <w:bottom w:val="single" w:color="DDDDDD" w:sz="1"/>
              <w:right w:val="single" w:color="DDDDDD" w:sz="1"/>
            </w:tcBorders>
            <w:shd w:fill="EFF5E9" w:val="clear"/>
            <w:tcMar>
              <w:top w:type="dxa" w:w="80"/>
              <w:left w:type="dxa" w:w="120"/>
              <w:bottom w:type="dxa" w:w="80"/>
              <w:right w:type="dxa" w:w="120"/>
            </w:tcMar>
          </w:tcPr>
          <w:p>
            <w:r>
              <w:rPr>
                <w:rFonts w:ascii="Arial" w:cs="Arial" w:eastAsia="Arial" w:hAnsi="Arial"/>
                <w:b w:val="false"/>
                <w:bCs w:val="false"/>
                <w:sz w:val="20"/>
                <w:szCs w:val="20"/>
              </w:rPr>
              <w:t xml:space="preserve">GMV PM</w:t>
            </w:r>
          </w:p>
        </w:tc>
      </w:tr>
      <w:tr>
        <w:tc>
          <w:tcPr>
            <w:tcW w:type="dxa" w:w="28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Markets Merchant Adoption Rate</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18%</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35%</w:t>
            </w:r>
          </w:p>
        </w:tc>
        <w:tc>
          <w:tcPr>
            <w:tcW w:type="dxa" w:w="14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Q4 2025</w:t>
            </w:r>
          </w:p>
        </w:tc>
        <w:tc>
          <w:tcPr>
            <w:tcW w:type="dxa" w:w="14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Growth PM</w:t>
            </w:r>
          </w:p>
        </w:tc>
      </w:tr>
      <w:tr>
        <w:tc>
          <w:tcPr>
            <w:tcW w:type="dxa" w:w="2880"/>
            <w:tcBorders>
              <w:top w:val="single" w:color="DDDDDD" w:sz="1"/>
              <w:left w:val="single" w:color="DDDDDD" w:sz="1"/>
              <w:bottom w:val="single" w:color="DDDDDD" w:sz="1"/>
              <w:right w:val="single" w:color="DDDDDD" w:sz="1"/>
            </w:tcBorders>
            <w:shd w:fill="EFF5E9" w:val="clear"/>
            <w:tcMar>
              <w:top w:type="dxa" w:w="80"/>
              <w:left w:type="dxa" w:w="120"/>
              <w:bottom w:type="dxa" w:w="80"/>
              <w:right w:type="dxa" w:w="120"/>
            </w:tcMar>
          </w:tcPr>
          <w:p>
            <w:r>
              <w:rPr>
                <w:rFonts w:ascii="Arial" w:cs="Arial" w:eastAsia="Arial" w:hAnsi="Arial"/>
                <w:b w:val="false"/>
                <w:bCs w:val="false"/>
                <w:sz w:val="20"/>
                <w:szCs w:val="20"/>
              </w:rPr>
              <w:t xml:space="preserve">Net New Markets Merchants (2025)</w:t>
            </w:r>
          </w:p>
        </w:tc>
        <w:tc>
          <w:tcPr>
            <w:tcW w:type="dxa" w:w="1800"/>
            <w:tcBorders>
              <w:top w:val="single" w:color="DDDDDD" w:sz="1"/>
              <w:left w:val="single" w:color="DDDDDD" w:sz="1"/>
              <w:bottom w:val="single" w:color="DDDDDD" w:sz="1"/>
              <w:right w:val="single" w:color="DDDDDD" w:sz="1"/>
            </w:tcBorders>
            <w:shd w:fill="EFF5E9" w:val="clear"/>
            <w:tcMar>
              <w:top w:type="dxa" w:w="80"/>
              <w:left w:type="dxa" w:w="120"/>
              <w:bottom w:type="dxa" w:w="80"/>
              <w:right w:type="dxa" w:w="120"/>
            </w:tcMar>
          </w:tcPr>
          <w:p>
            <w:r>
              <w:rPr>
                <w:rFonts w:ascii="Arial" w:cs="Arial" w:eastAsia="Arial" w:hAnsi="Arial"/>
                <w:b w:val="false"/>
                <w:bCs w:val="false"/>
                <w:sz w:val="20"/>
                <w:szCs w:val="20"/>
              </w:rPr>
              <w:t xml:space="preserve">~55K/yr pace</w:t>
            </w:r>
          </w:p>
        </w:tc>
        <w:tc>
          <w:tcPr>
            <w:tcW w:type="dxa" w:w="1800"/>
            <w:tcBorders>
              <w:top w:val="single" w:color="DDDDDD" w:sz="1"/>
              <w:left w:val="single" w:color="DDDDDD" w:sz="1"/>
              <w:bottom w:val="single" w:color="DDDDDD" w:sz="1"/>
              <w:right w:val="single" w:color="DDDDDD" w:sz="1"/>
            </w:tcBorders>
            <w:shd w:fill="EFF5E9" w:val="clear"/>
            <w:tcMar>
              <w:top w:type="dxa" w:w="80"/>
              <w:left w:type="dxa" w:w="120"/>
              <w:bottom w:type="dxa" w:w="80"/>
              <w:right w:type="dxa" w:w="120"/>
            </w:tcMar>
          </w:tcPr>
          <w:p>
            <w:r>
              <w:rPr>
                <w:rFonts w:ascii="Arial" w:cs="Arial" w:eastAsia="Arial" w:hAnsi="Arial"/>
                <w:b w:val="false"/>
                <w:bCs w:val="false"/>
                <w:sz w:val="20"/>
                <w:szCs w:val="20"/>
              </w:rPr>
              <w:t xml:space="preserve">150,000</w:t>
            </w:r>
          </w:p>
        </w:tc>
        <w:tc>
          <w:tcPr>
            <w:tcW w:type="dxa" w:w="1440"/>
            <w:tcBorders>
              <w:top w:val="single" w:color="DDDDDD" w:sz="1"/>
              <w:left w:val="single" w:color="DDDDDD" w:sz="1"/>
              <w:bottom w:val="single" w:color="DDDDDD" w:sz="1"/>
              <w:right w:val="single" w:color="DDDDDD" w:sz="1"/>
            </w:tcBorders>
            <w:shd w:fill="EFF5E9" w:val="clear"/>
            <w:tcMar>
              <w:top w:type="dxa" w:w="80"/>
              <w:left w:type="dxa" w:w="120"/>
              <w:bottom w:type="dxa" w:w="80"/>
              <w:right w:type="dxa" w:w="120"/>
            </w:tcMar>
          </w:tcPr>
          <w:p>
            <w:r>
              <w:rPr>
                <w:rFonts w:ascii="Arial" w:cs="Arial" w:eastAsia="Arial" w:hAnsi="Arial"/>
                <w:b w:val="false"/>
                <w:bCs w:val="false"/>
                <w:sz w:val="20"/>
                <w:szCs w:val="20"/>
              </w:rPr>
              <w:t xml:space="preserve">Q4 2025</w:t>
            </w:r>
          </w:p>
        </w:tc>
        <w:tc>
          <w:tcPr>
            <w:tcW w:type="dxa" w:w="1440"/>
            <w:tcBorders>
              <w:top w:val="single" w:color="DDDDDD" w:sz="1"/>
              <w:left w:val="single" w:color="DDDDDD" w:sz="1"/>
              <w:bottom w:val="single" w:color="DDDDDD" w:sz="1"/>
              <w:right w:val="single" w:color="DDDDDD" w:sz="1"/>
            </w:tcBorders>
            <w:shd w:fill="EFF5E9" w:val="clear"/>
            <w:tcMar>
              <w:top w:type="dxa" w:w="80"/>
              <w:left w:type="dxa" w:w="120"/>
              <w:bottom w:type="dxa" w:w="80"/>
              <w:right w:type="dxa" w:w="120"/>
            </w:tcMar>
          </w:tcPr>
          <w:p>
            <w:r>
              <w:rPr>
                <w:rFonts w:ascii="Arial" w:cs="Arial" w:eastAsia="Arial" w:hAnsi="Arial"/>
                <w:b w:val="false"/>
                <w:bCs w:val="false"/>
                <w:sz w:val="20"/>
                <w:szCs w:val="20"/>
              </w:rPr>
              <w:t xml:space="preserve">Activation PM</w:t>
            </w:r>
          </w:p>
        </w:tc>
      </w:tr>
      <w:tr>
        <w:tc>
          <w:tcPr>
            <w:tcW w:type="dxa" w:w="28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Markets Pro Adoption % (eligible)</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14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Q4 2025</w:t>
            </w:r>
          </w:p>
        </w:tc>
        <w:tc>
          <w:tcPr>
            <w:tcW w:type="dxa" w:w="14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Monetization PM</w:t>
            </w:r>
          </w:p>
        </w:tc>
      </w:tr>
      <w:tr>
        <w:tc>
          <w:tcPr>
            <w:tcW w:type="dxa" w:w="2880"/>
            <w:tcBorders>
              <w:top w:val="single" w:color="DDDDDD" w:sz="1"/>
              <w:left w:val="single" w:color="DDDDDD" w:sz="1"/>
              <w:bottom w:val="single" w:color="DDDDDD" w:sz="1"/>
              <w:right w:val="single" w:color="DDDDDD" w:sz="1"/>
            </w:tcBorders>
            <w:shd w:fill="EFF5E9" w:val="clear"/>
            <w:tcMar>
              <w:top w:type="dxa" w:w="80"/>
              <w:left w:type="dxa" w:w="120"/>
              <w:bottom w:type="dxa" w:w="80"/>
              <w:right w:type="dxa" w:w="120"/>
            </w:tcMar>
          </w:tcPr>
          <w:p>
            <w:r>
              <w:rPr>
                <w:rFonts w:ascii="Arial" w:cs="Arial" w:eastAsia="Arial" w:hAnsi="Arial"/>
                <w:b w:val="false"/>
                <w:bCs w:val="false"/>
                <w:sz w:val="20"/>
                <w:szCs w:val="20"/>
              </w:rPr>
              <w:t xml:space="preserve">Intl. Buyer Conversion Rate</w:t>
            </w:r>
          </w:p>
        </w:tc>
        <w:tc>
          <w:tcPr>
            <w:tcW w:type="dxa" w:w="1800"/>
            <w:tcBorders>
              <w:top w:val="single" w:color="DDDDDD" w:sz="1"/>
              <w:left w:val="single" w:color="DDDDDD" w:sz="1"/>
              <w:bottom w:val="single" w:color="DDDDDD" w:sz="1"/>
              <w:right w:val="single" w:color="DDDDDD" w:sz="1"/>
            </w:tcBorders>
            <w:shd w:fill="EFF5E9" w:val="clear"/>
            <w:tcMar>
              <w:top w:type="dxa" w:w="80"/>
              <w:left w:type="dxa" w:w="120"/>
              <w:bottom w:type="dxa" w:w="80"/>
              <w:right w:type="dxa" w:w="120"/>
            </w:tcMar>
          </w:tcPr>
          <w:p>
            <w:r>
              <w:rPr>
                <w:rFonts w:ascii="Arial" w:cs="Arial" w:eastAsia="Arial" w:hAnsi="Arial"/>
                <w:b w:val="false"/>
                <w:bCs w:val="false"/>
                <w:sz w:val="20"/>
                <w:szCs w:val="20"/>
              </w:rPr>
              <w:t xml:space="preserve">2.1%</w:t>
            </w:r>
          </w:p>
        </w:tc>
        <w:tc>
          <w:tcPr>
            <w:tcW w:type="dxa" w:w="1800"/>
            <w:tcBorders>
              <w:top w:val="single" w:color="DDDDDD" w:sz="1"/>
              <w:left w:val="single" w:color="DDDDDD" w:sz="1"/>
              <w:bottom w:val="single" w:color="DDDDDD" w:sz="1"/>
              <w:right w:val="single" w:color="DDDDDD" w:sz="1"/>
            </w:tcBorders>
            <w:shd w:fill="EFF5E9" w:val="clear"/>
            <w:tcMar>
              <w:top w:type="dxa" w:w="80"/>
              <w:left w:type="dxa" w:w="120"/>
              <w:bottom w:type="dxa" w:w="80"/>
              <w:right w:type="dxa" w:w="120"/>
            </w:tcMar>
          </w:tcPr>
          <w:p>
            <w:r>
              <w:rPr>
                <w:rFonts w:ascii="Arial" w:cs="Arial" w:eastAsia="Arial" w:hAnsi="Arial"/>
                <w:b w:val="false"/>
                <w:bCs w:val="false"/>
                <w:sz w:val="20"/>
                <w:szCs w:val="20"/>
              </w:rPr>
              <w:t xml:space="preserve">2.9%</w:t>
            </w:r>
          </w:p>
        </w:tc>
        <w:tc>
          <w:tcPr>
            <w:tcW w:type="dxa" w:w="1440"/>
            <w:tcBorders>
              <w:top w:val="single" w:color="DDDDDD" w:sz="1"/>
              <w:left w:val="single" w:color="DDDDDD" w:sz="1"/>
              <w:bottom w:val="single" w:color="DDDDDD" w:sz="1"/>
              <w:right w:val="single" w:color="DDDDDD" w:sz="1"/>
            </w:tcBorders>
            <w:shd w:fill="EFF5E9" w:val="clear"/>
            <w:tcMar>
              <w:top w:type="dxa" w:w="80"/>
              <w:left w:type="dxa" w:w="120"/>
              <w:bottom w:type="dxa" w:w="80"/>
              <w:right w:type="dxa" w:w="120"/>
            </w:tcMar>
          </w:tcPr>
          <w:p>
            <w:r>
              <w:rPr>
                <w:rFonts w:ascii="Arial" w:cs="Arial" w:eastAsia="Arial" w:hAnsi="Arial"/>
                <w:b w:val="false"/>
                <w:bCs w:val="false"/>
                <w:sz w:val="20"/>
                <w:szCs w:val="20"/>
              </w:rPr>
              <w:t xml:space="preserve">Q4 2025</w:t>
            </w:r>
          </w:p>
        </w:tc>
        <w:tc>
          <w:tcPr>
            <w:tcW w:type="dxa" w:w="1440"/>
            <w:tcBorders>
              <w:top w:val="single" w:color="DDDDDD" w:sz="1"/>
              <w:left w:val="single" w:color="DDDDDD" w:sz="1"/>
              <w:bottom w:val="single" w:color="DDDDDD" w:sz="1"/>
              <w:right w:val="single" w:color="DDDDDD" w:sz="1"/>
            </w:tcBorders>
            <w:shd w:fill="EFF5E9" w:val="clear"/>
            <w:tcMar>
              <w:top w:type="dxa" w:w="80"/>
              <w:left w:type="dxa" w:w="120"/>
              <w:bottom w:type="dxa" w:w="80"/>
              <w:right w:type="dxa" w:w="120"/>
            </w:tcMar>
          </w:tcPr>
          <w:p>
            <w:r>
              <w:rPr>
                <w:rFonts w:ascii="Arial" w:cs="Arial" w:eastAsia="Arial" w:hAnsi="Arial"/>
                <w:b w:val="false"/>
                <w:bCs w:val="false"/>
                <w:sz w:val="20"/>
                <w:szCs w:val="20"/>
              </w:rPr>
              <w:t xml:space="preserve">Conversion PM</w:t>
            </w:r>
          </w:p>
        </w:tc>
      </w:tr>
      <w:tr>
        <w:tc>
          <w:tcPr>
            <w:tcW w:type="dxa" w:w="28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LPMs Supported</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18</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40</w:t>
            </w:r>
          </w:p>
        </w:tc>
        <w:tc>
          <w:tcPr>
            <w:tcW w:type="dxa" w:w="14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Q3 2025</w:t>
            </w:r>
          </w:p>
        </w:tc>
        <w:tc>
          <w:tcPr>
            <w:tcW w:type="dxa" w:w="14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Payments Eng</w:t>
            </w:r>
          </w:p>
        </w:tc>
      </w:tr>
      <w:tr>
        <w:tc>
          <w:tcPr>
            <w:tcW w:type="dxa" w:w="2880"/>
            <w:tcBorders>
              <w:top w:val="single" w:color="DDDDDD" w:sz="1"/>
              <w:left w:val="single" w:color="DDDDDD" w:sz="1"/>
              <w:bottom w:val="single" w:color="DDDDDD" w:sz="1"/>
              <w:right w:val="single" w:color="DDDDDD" w:sz="1"/>
            </w:tcBorders>
            <w:shd w:fill="EFF5E9" w:val="clear"/>
            <w:tcMar>
              <w:top w:type="dxa" w:w="80"/>
              <w:left w:type="dxa" w:w="120"/>
              <w:bottom w:type="dxa" w:w="80"/>
              <w:right w:type="dxa" w:w="120"/>
            </w:tcMar>
          </w:tcPr>
          <w:p>
            <w:r>
              <w:rPr>
                <w:rFonts w:ascii="Arial" w:cs="Arial" w:eastAsia="Arial" w:hAnsi="Arial"/>
                <w:b w:val="false"/>
                <w:bCs w:val="false"/>
                <w:sz w:val="20"/>
                <w:szCs w:val="20"/>
              </w:rPr>
              <w:t xml:space="preserve">Auto-Localization Merchant Adoption</w:t>
            </w:r>
          </w:p>
        </w:tc>
        <w:tc>
          <w:tcPr>
            <w:tcW w:type="dxa" w:w="1800"/>
            <w:tcBorders>
              <w:top w:val="single" w:color="DDDDDD" w:sz="1"/>
              <w:left w:val="single" w:color="DDDDDD" w:sz="1"/>
              <w:bottom w:val="single" w:color="DDDDDD" w:sz="1"/>
              <w:right w:val="single" w:color="DDDDDD" w:sz="1"/>
            </w:tcBorders>
            <w:shd w:fill="EFF5E9" w:val="clear"/>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1800"/>
            <w:tcBorders>
              <w:top w:val="single" w:color="DDDDDD" w:sz="1"/>
              <w:left w:val="single" w:color="DDDDDD" w:sz="1"/>
              <w:bottom w:val="single" w:color="DDDDDD" w:sz="1"/>
              <w:right w:val="single" w:color="DDDDDD" w:sz="1"/>
            </w:tcBorders>
            <w:shd w:fill="EFF5E9" w:val="clear"/>
            <w:tcMar>
              <w:top w:type="dxa" w:w="80"/>
              <w:left w:type="dxa" w:w="120"/>
              <w:bottom w:type="dxa" w:w="80"/>
              <w:right w:type="dxa" w:w="120"/>
            </w:tcMar>
          </w:tcPr>
          <w:p>
            <w:r>
              <w:rPr>
                <w:rFonts w:ascii="Arial" w:cs="Arial" w:eastAsia="Arial" w:hAnsi="Arial"/>
                <w:b w:val="false"/>
                <w:bCs w:val="false"/>
                <w:sz w:val="20"/>
                <w:szCs w:val="20"/>
              </w:rPr>
              <w:t xml:space="preserve">50,000</w:t>
            </w:r>
          </w:p>
        </w:tc>
        <w:tc>
          <w:tcPr>
            <w:tcW w:type="dxa" w:w="1440"/>
            <w:tcBorders>
              <w:top w:val="single" w:color="DDDDDD" w:sz="1"/>
              <w:left w:val="single" w:color="DDDDDD" w:sz="1"/>
              <w:bottom w:val="single" w:color="DDDDDD" w:sz="1"/>
              <w:right w:val="single" w:color="DDDDDD" w:sz="1"/>
            </w:tcBorders>
            <w:shd w:fill="EFF5E9" w:val="clear"/>
            <w:tcMar>
              <w:top w:type="dxa" w:w="80"/>
              <w:left w:type="dxa" w:w="120"/>
              <w:bottom w:type="dxa" w:w="80"/>
              <w:right w:type="dxa" w:w="120"/>
            </w:tcMar>
          </w:tcPr>
          <w:p>
            <w:r>
              <w:rPr>
                <w:rFonts w:ascii="Arial" w:cs="Arial" w:eastAsia="Arial" w:hAnsi="Arial"/>
                <w:b w:val="false"/>
                <w:bCs w:val="false"/>
                <w:sz w:val="20"/>
                <w:szCs w:val="20"/>
              </w:rPr>
              <w:t xml:space="preserve">90d post-GA</w:t>
            </w:r>
          </w:p>
        </w:tc>
        <w:tc>
          <w:tcPr>
            <w:tcW w:type="dxa" w:w="1440"/>
            <w:tcBorders>
              <w:top w:val="single" w:color="DDDDDD" w:sz="1"/>
              <w:left w:val="single" w:color="DDDDDD" w:sz="1"/>
              <w:bottom w:val="single" w:color="DDDDDD" w:sz="1"/>
              <w:right w:val="single" w:color="DDDDDD" w:sz="1"/>
            </w:tcBorders>
            <w:shd w:fill="EFF5E9" w:val="clear"/>
            <w:tcMar>
              <w:top w:type="dxa" w:w="80"/>
              <w:left w:type="dxa" w:w="120"/>
              <w:bottom w:type="dxa" w:w="80"/>
              <w:right w:type="dxa" w:w="120"/>
            </w:tcMar>
          </w:tcPr>
          <w:p>
            <w:r>
              <w:rPr>
                <w:rFonts w:ascii="Arial" w:cs="Arial" w:eastAsia="Arial" w:hAnsi="Arial"/>
                <w:b w:val="false"/>
                <w:bCs w:val="false"/>
                <w:sz w:val="20"/>
                <w:szCs w:val="20"/>
              </w:rPr>
              <w:t xml:space="preserve">AI PM</w:t>
            </w:r>
          </w:p>
        </w:tc>
      </w:tr>
      <w:tr>
        <w:tc>
          <w:tcPr>
            <w:tcW w:type="dxa" w:w="28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Intl. Search Traffic Lift (Auto-L10n)</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28% (beta)</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25%+ GA avg</w:t>
            </w:r>
          </w:p>
        </w:tc>
        <w:tc>
          <w:tcPr>
            <w:tcW w:type="dxa" w:w="14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60d post-adopt.</w:t>
            </w:r>
          </w:p>
        </w:tc>
        <w:tc>
          <w:tcPr>
            <w:tcW w:type="dxa" w:w="14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SEO / Growth</w:t>
            </w:r>
          </w:p>
        </w:tc>
      </w:tr>
    </w:tbl>
    <w:p>
      <w:pPr>
        <w:spacing w:after="0" w:before="100"/>
      </w:pPr>
    </w:p>
    <w:p>
      <w:r>
        <w:br w:type="page"/>
      </w:r>
    </w:p>
    <w:p>
      <w:pPr>
        <w:pBdr>
          <w:bottom w:val="single" w:color="5E8E3E" w:sz="4" w:space="4"/>
        </w:pBdr>
        <w:spacing w:after="160" w:before="320"/>
      </w:pPr>
      <w:r>
        <w:rPr>
          <w:rFonts w:ascii="Arial" w:cs="Arial" w:eastAsia="Arial" w:hAnsi="Arial"/>
          <w:b/>
          <w:bCs/>
          <w:color w:val="5E8E3E"/>
          <w:sz w:val="32"/>
          <w:szCs w:val="32"/>
        </w:rPr>
        <w:t xml:space="preserve">Competitive Positioning</w:t>
      </w:r>
    </w:p>
    <w:p>
      <w:pPr>
        <w:spacing w:after="100" w:before="80"/>
      </w:pPr>
      <w:r>
        <w:rPr>
          <w:rFonts w:ascii="Arial" w:cs="Arial" w:eastAsia="Arial" w:hAnsi="Arial"/>
          <w:sz w:val="20"/>
          <w:szCs w:val="20"/>
        </w:rPr>
        <w:t xml:space="preserve">Shopify Markets competes with BigCommerce's multi-storefront, WooCommerce + WooPayments international, and standalone cross-border solutions (Global-E, Zonos, Avalara). Our advantage is the only fully integrated cross-border stack within the commerce platform itself.</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40"/>
        <w:gridCol w:w="1640"/>
        <w:gridCol w:w="1640"/>
        <w:gridCol w:w="1120"/>
        <w:gridCol w:w="1120"/>
      </w:tblGrid>
      <w:tr>
        <w:tc>
          <w:tcPr>
            <w:tcW w:type="dxa" w:w="2200"/>
            <w:tcBorders>
              <w:top w:val="single" w:color="DDDDDD" w:sz="1"/>
              <w:left w:val="single" w:color="DDDDDD" w:sz="1"/>
              <w:bottom w:val="single" w:color="DDDDDD" w:sz="1"/>
              <w:right w:val="single" w:color="DDDDDD" w:sz="1"/>
            </w:tcBorders>
            <w:shd w:fill="5E8E3E" w:val="clear"/>
            <w:tcMar>
              <w:top w:type="dxa" w:w="100"/>
              <w:left w:type="dxa" w:w="120"/>
              <w:bottom w:type="dxa" w:w="100"/>
              <w:right w:type="dxa" w:w="120"/>
            </w:tcMar>
            <w:vAlign w:val="center"/>
          </w:tcPr>
          <w:p>
            <w:r>
              <w:rPr>
                <w:rFonts w:ascii="Arial" w:cs="Arial" w:eastAsia="Arial" w:hAnsi="Arial"/>
                <w:b/>
                <w:bCs/>
                <w:color w:val="FFFFFF"/>
                <w:sz w:val="20"/>
                <w:szCs w:val="20"/>
              </w:rPr>
              <w:t xml:space="preserve">Dimension</w:t>
            </w:r>
          </w:p>
        </w:tc>
        <w:tc>
          <w:tcPr>
            <w:tcW w:type="dxa" w:w="1640"/>
            <w:tcBorders>
              <w:top w:val="single" w:color="DDDDDD" w:sz="1"/>
              <w:left w:val="single" w:color="DDDDDD" w:sz="1"/>
              <w:bottom w:val="single" w:color="DDDDDD" w:sz="1"/>
              <w:right w:val="single" w:color="DDDDDD" w:sz="1"/>
            </w:tcBorders>
            <w:shd w:fill="5E8E3E" w:val="clear"/>
            <w:tcMar>
              <w:top w:type="dxa" w:w="100"/>
              <w:left w:type="dxa" w:w="120"/>
              <w:bottom w:type="dxa" w:w="100"/>
              <w:right w:type="dxa" w:w="120"/>
            </w:tcMar>
            <w:vAlign w:val="center"/>
          </w:tcPr>
          <w:p>
            <w:r>
              <w:rPr>
                <w:rFonts w:ascii="Arial" w:cs="Arial" w:eastAsia="Arial" w:hAnsi="Arial"/>
                <w:b/>
                <w:bCs/>
                <w:color w:val="FFFFFF"/>
                <w:sz w:val="20"/>
                <w:szCs w:val="20"/>
              </w:rPr>
              <w:t xml:space="preserve">Shopify Markets</w:t>
            </w:r>
          </w:p>
        </w:tc>
        <w:tc>
          <w:tcPr>
            <w:tcW w:type="dxa" w:w="1640"/>
            <w:tcBorders>
              <w:top w:val="single" w:color="DDDDDD" w:sz="1"/>
              <w:left w:val="single" w:color="DDDDDD" w:sz="1"/>
              <w:bottom w:val="single" w:color="DDDDDD" w:sz="1"/>
              <w:right w:val="single" w:color="DDDDDD" w:sz="1"/>
            </w:tcBorders>
            <w:shd w:fill="5E8E3E" w:val="clear"/>
            <w:tcMar>
              <w:top w:type="dxa" w:w="100"/>
              <w:left w:type="dxa" w:w="120"/>
              <w:bottom w:type="dxa" w:w="100"/>
              <w:right w:type="dxa" w:w="120"/>
            </w:tcMar>
            <w:vAlign w:val="center"/>
          </w:tcPr>
          <w:p>
            <w:r>
              <w:rPr>
                <w:rFonts w:ascii="Arial" w:cs="Arial" w:eastAsia="Arial" w:hAnsi="Arial"/>
                <w:b/>
                <w:bCs/>
                <w:color w:val="FFFFFF"/>
                <w:sz w:val="20"/>
                <w:szCs w:val="20"/>
              </w:rPr>
              <w:t xml:space="preserve">BigCommerce Multi-Store</w:t>
            </w:r>
          </w:p>
        </w:tc>
        <w:tc>
          <w:tcPr>
            <w:tcW w:type="dxa" w:w="1640"/>
            <w:tcBorders>
              <w:top w:val="single" w:color="DDDDDD" w:sz="1"/>
              <w:left w:val="single" w:color="DDDDDD" w:sz="1"/>
              <w:bottom w:val="single" w:color="DDDDDD" w:sz="1"/>
              <w:right w:val="single" w:color="DDDDDD" w:sz="1"/>
            </w:tcBorders>
            <w:shd w:fill="5E8E3E" w:val="clear"/>
            <w:tcMar>
              <w:top w:type="dxa" w:w="100"/>
              <w:left w:type="dxa" w:w="120"/>
              <w:bottom w:type="dxa" w:w="100"/>
              <w:right w:type="dxa" w:w="120"/>
            </w:tcMar>
            <w:vAlign w:val="center"/>
          </w:tcPr>
          <w:p>
            <w:r>
              <w:rPr>
                <w:rFonts w:ascii="Arial" w:cs="Arial" w:eastAsia="Arial" w:hAnsi="Arial"/>
                <w:b/>
                <w:bCs/>
                <w:color w:val="FFFFFF"/>
                <w:sz w:val="20"/>
                <w:szCs w:val="20"/>
              </w:rPr>
              <w:t xml:space="preserve">Global-E (standalone)</w:t>
            </w:r>
          </w:p>
        </w:tc>
        <w:tc>
          <w:tcPr>
            <w:tcW w:type="dxa" w:w="1120"/>
            <w:tcBorders>
              <w:top w:val="single" w:color="DDDDDD" w:sz="1"/>
              <w:left w:val="single" w:color="DDDDDD" w:sz="1"/>
              <w:bottom w:val="single" w:color="DDDDDD" w:sz="1"/>
              <w:right w:val="single" w:color="DDDDDD" w:sz="1"/>
            </w:tcBorders>
            <w:shd w:fill="5E8E3E" w:val="clear"/>
            <w:tcMar>
              <w:top w:type="dxa" w:w="100"/>
              <w:left w:type="dxa" w:w="120"/>
              <w:bottom w:type="dxa" w:w="100"/>
              <w:right w:type="dxa" w:w="120"/>
            </w:tcMar>
            <w:vAlign w:val="center"/>
          </w:tcPr>
          <w:p>
            <w:r>
              <w:rPr>
                <w:rFonts w:ascii="Arial" w:cs="Arial" w:eastAsia="Arial" w:hAnsi="Arial"/>
                <w:b/>
                <w:bCs/>
                <w:color w:val="FFFFFF"/>
                <w:sz w:val="20"/>
                <w:szCs w:val="20"/>
              </w:rPr>
              <w:t xml:space="preserve">WooCommerce</w:t>
            </w:r>
          </w:p>
        </w:tc>
        <w:tc>
          <w:tcPr>
            <w:tcW w:type="dxa" w:w="1120"/>
            <w:tcBorders>
              <w:top w:val="single" w:color="DDDDDD" w:sz="1"/>
              <w:left w:val="single" w:color="DDDDDD" w:sz="1"/>
              <w:bottom w:val="single" w:color="DDDDDD" w:sz="1"/>
              <w:right w:val="single" w:color="DDDDDD" w:sz="1"/>
            </w:tcBorders>
            <w:shd w:fill="5E8E3E" w:val="clear"/>
            <w:tcMar>
              <w:top w:type="dxa" w:w="100"/>
              <w:left w:type="dxa" w:w="120"/>
              <w:bottom w:type="dxa" w:w="100"/>
              <w:right w:type="dxa" w:w="120"/>
            </w:tcMar>
            <w:vAlign w:val="center"/>
          </w:tcPr>
          <w:p>
            <w:r>
              <w:rPr>
                <w:rFonts w:ascii="Arial" w:cs="Arial" w:eastAsia="Arial" w:hAnsi="Arial"/>
                <w:b/>
                <w:bCs/>
                <w:color w:val="FFFFFF"/>
                <w:sz w:val="20"/>
                <w:szCs w:val="20"/>
              </w:rPr>
              <w:t xml:space="preserve">Zonos</w:t>
            </w:r>
          </w:p>
        </w:tc>
      </w:tr>
      <w:tr>
        <w:tc>
          <w:tcPr>
            <w:tcW w:type="dxa" w:w="2200"/>
            <w:tcBorders>
              <w:top w:val="single" w:color="DDDDDD" w:sz="1"/>
              <w:left w:val="single" w:color="DDDDDD" w:sz="1"/>
              <w:bottom w:val="single" w:color="DDDDDD" w:sz="1"/>
              <w:right w:val="single" w:color="DDDDDD" w:sz="1"/>
            </w:tcBorders>
            <w:shd w:fill="EFF5E9" w:val="clear"/>
            <w:tcMar>
              <w:top w:type="dxa" w:w="80"/>
              <w:left w:type="dxa" w:w="120"/>
              <w:bottom w:type="dxa" w:w="80"/>
              <w:right w:type="dxa" w:w="120"/>
            </w:tcMar>
          </w:tcPr>
          <w:p>
            <w:r>
              <w:rPr>
                <w:rFonts w:ascii="Arial" w:cs="Arial" w:eastAsia="Arial" w:hAnsi="Arial"/>
                <w:b w:val="false"/>
                <w:bCs w:val="false"/>
                <w:sz w:val="20"/>
                <w:szCs w:val="20"/>
              </w:rPr>
              <w:t xml:space="preserve">Platform Integration</w:t>
            </w:r>
          </w:p>
        </w:tc>
        <w:tc>
          <w:tcPr>
            <w:tcW w:type="dxa" w:w="1640"/>
            <w:tcBorders>
              <w:top w:val="single" w:color="DDDDDD" w:sz="1"/>
              <w:left w:val="single" w:color="DDDDDD" w:sz="1"/>
              <w:bottom w:val="single" w:color="DDDDDD" w:sz="1"/>
              <w:right w:val="single" w:color="DDDDDD" w:sz="1"/>
            </w:tcBorders>
            <w:shd w:fill="EFF5E9" w:val="clear"/>
            <w:tcMar>
              <w:top w:type="dxa" w:w="80"/>
              <w:left w:type="dxa" w:w="120"/>
              <w:bottom w:type="dxa" w:w="80"/>
              <w:right w:type="dxa" w:w="120"/>
            </w:tcMar>
          </w:tcPr>
          <w:p>
            <w:r>
              <w:rPr>
                <w:rFonts w:ascii="Arial" w:cs="Arial" w:eastAsia="Arial" w:hAnsi="Arial"/>
                <w:b w:val="false"/>
                <w:bCs w:val="false"/>
                <w:sz w:val="20"/>
                <w:szCs w:val="20"/>
              </w:rPr>
              <w:t xml:space="preserve">Native (built-in)</w:t>
            </w:r>
          </w:p>
        </w:tc>
        <w:tc>
          <w:tcPr>
            <w:tcW w:type="dxa" w:w="1640"/>
            <w:tcBorders>
              <w:top w:val="single" w:color="DDDDDD" w:sz="1"/>
              <w:left w:val="single" w:color="DDDDDD" w:sz="1"/>
              <w:bottom w:val="single" w:color="DDDDDD" w:sz="1"/>
              <w:right w:val="single" w:color="DDDDDD" w:sz="1"/>
            </w:tcBorders>
            <w:shd w:fill="EFF5E9" w:val="clear"/>
            <w:tcMar>
              <w:top w:type="dxa" w:w="80"/>
              <w:left w:type="dxa" w:w="120"/>
              <w:bottom w:type="dxa" w:w="80"/>
              <w:right w:type="dxa" w:w="120"/>
            </w:tcMar>
          </w:tcPr>
          <w:p>
            <w:r>
              <w:rPr>
                <w:rFonts w:ascii="Arial" w:cs="Arial" w:eastAsia="Arial" w:hAnsi="Arial"/>
                <w:b w:val="false"/>
                <w:bCs w:val="false"/>
                <w:sz w:val="20"/>
                <w:szCs w:val="20"/>
              </w:rPr>
              <w:t xml:space="preserve">Native</w:t>
            </w:r>
          </w:p>
        </w:tc>
        <w:tc>
          <w:tcPr>
            <w:tcW w:type="dxa" w:w="1640"/>
            <w:tcBorders>
              <w:top w:val="single" w:color="DDDDDD" w:sz="1"/>
              <w:left w:val="single" w:color="DDDDDD" w:sz="1"/>
              <w:bottom w:val="single" w:color="DDDDDD" w:sz="1"/>
              <w:right w:val="single" w:color="DDDDDD" w:sz="1"/>
            </w:tcBorders>
            <w:shd w:fill="EFF5E9" w:val="clear"/>
            <w:tcMar>
              <w:top w:type="dxa" w:w="80"/>
              <w:left w:type="dxa" w:w="120"/>
              <w:bottom w:type="dxa" w:w="80"/>
              <w:right w:type="dxa" w:w="120"/>
            </w:tcMar>
          </w:tcPr>
          <w:p>
            <w:r>
              <w:rPr>
                <w:rFonts w:ascii="Arial" w:cs="Arial" w:eastAsia="Arial" w:hAnsi="Arial"/>
                <w:b w:val="false"/>
                <w:bCs w:val="false"/>
                <w:sz w:val="20"/>
                <w:szCs w:val="20"/>
              </w:rPr>
              <w:t xml:space="preserve">Plugin/API</w:t>
            </w:r>
          </w:p>
        </w:tc>
        <w:tc>
          <w:tcPr>
            <w:tcW w:type="dxa" w:w="1120"/>
            <w:tcBorders>
              <w:top w:val="single" w:color="DDDDDD" w:sz="1"/>
              <w:left w:val="single" w:color="DDDDDD" w:sz="1"/>
              <w:bottom w:val="single" w:color="DDDDDD" w:sz="1"/>
              <w:right w:val="single" w:color="DDDDDD" w:sz="1"/>
            </w:tcBorders>
            <w:shd w:fill="EFF5E9" w:val="clear"/>
            <w:tcMar>
              <w:top w:type="dxa" w:w="80"/>
              <w:left w:type="dxa" w:w="120"/>
              <w:bottom w:type="dxa" w:w="80"/>
              <w:right w:type="dxa" w:w="120"/>
            </w:tcMar>
          </w:tcPr>
          <w:p>
            <w:r>
              <w:rPr>
                <w:rFonts w:ascii="Arial" w:cs="Arial" w:eastAsia="Arial" w:hAnsi="Arial"/>
                <w:b w:val="false"/>
                <w:bCs w:val="false"/>
                <w:sz w:val="20"/>
                <w:szCs w:val="20"/>
              </w:rPr>
              <w:t xml:space="preserve">Plugin-based</w:t>
            </w:r>
          </w:p>
        </w:tc>
        <w:tc>
          <w:tcPr>
            <w:tcW w:type="dxa" w:w="1120"/>
            <w:tcBorders>
              <w:top w:val="single" w:color="DDDDDD" w:sz="1"/>
              <w:left w:val="single" w:color="DDDDDD" w:sz="1"/>
              <w:bottom w:val="single" w:color="DDDDDD" w:sz="1"/>
              <w:right w:val="single" w:color="DDDDDD" w:sz="1"/>
            </w:tcBorders>
            <w:shd w:fill="EFF5E9" w:val="clear"/>
            <w:tcMar>
              <w:top w:type="dxa" w:w="80"/>
              <w:left w:type="dxa" w:w="120"/>
              <w:bottom w:type="dxa" w:w="80"/>
              <w:right w:type="dxa" w:w="120"/>
            </w:tcMar>
          </w:tcPr>
          <w:p>
            <w:r>
              <w:rPr>
                <w:rFonts w:ascii="Arial" w:cs="Arial" w:eastAsia="Arial" w:hAnsi="Arial"/>
                <w:b w:val="false"/>
                <w:bCs w:val="false"/>
                <w:sz w:val="20"/>
                <w:szCs w:val="20"/>
              </w:rPr>
              <w:t xml:space="preserve">Plugin/API</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Duty/Tax Automation (DDP)</w:t>
            </w:r>
          </w:p>
        </w:tc>
        <w:tc>
          <w:tcPr>
            <w:tcW w:type="dxa" w:w="16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Markets Pro (full)</w:t>
            </w:r>
          </w:p>
        </w:tc>
        <w:tc>
          <w:tcPr>
            <w:tcW w:type="dxa" w:w="16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Limited</w:t>
            </w:r>
          </w:p>
        </w:tc>
        <w:tc>
          <w:tcPr>
            <w:tcW w:type="dxa" w:w="16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Full (standalone)</w:t>
            </w:r>
          </w:p>
        </w:tc>
        <w:tc>
          <w:tcPr>
            <w:tcW w:type="dxa" w:w="1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Via plugin</w:t>
            </w:r>
          </w:p>
        </w:tc>
        <w:tc>
          <w:tcPr>
            <w:tcW w:type="dxa" w:w="1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Duty only</w:t>
            </w:r>
          </w:p>
        </w:tc>
      </w:tr>
      <w:tr>
        <w:tc>
          <w:tcPr>
            <w:tcW w:type="dxa" w:w="2200"/>
            <w:tcBorders>
              <w:top w:val="single" w:color="DDDDDD" w:sz="1"/>
              <w:left w:val="single" w:color="DDDDDD" w:sz="1"/>
              <w:bottom w:val="single" w:color="DDDDDD" w:sz="1"/>
              <w:right w:val="single" w:color="DDDDDD" w:sz="1"/>
            </w:tcBorders>
            <w:shd w:fill="EFF5E9" w:val="clear"/>
            <w:tcMar>
              <w:top w:type="dxa" w:w="80"/>
              <w:left w:type="dxa" w:w="120"/>
              <w:bottom w:type="dxa" w:w="80"/>
              <w:right w:type="dxa" w:w="120"/>
            </w:tcMar>
          </w:tcPr>
          <w:p>
            <w:r>
              <w:rPr>
                <w:rFonts w:ascii="Arial" w:cs="Arial" w:eastAsia="Arial" w:hAnsi="Arial"/>
                <w:b w:val="false"/>
                <w:bCs w:val="false"/>
                <w:sz w:val="20"/>
                <w:szCs w:val="20"/>
              </w:rPr>
              <w:t xml:space="preserve">AI Localization</w:t>
            </w:r>
          </w:p>
        </w:tc>
        <w:tc>
          <w:tcPr>
            <w:tcW w:type="dxa" w:w="1640"/>
            <w:tcBorders>
              <w:top w:val="single" w:color="DDDDDD" w:sz="1"/>
              <w:left w:val="single" w:color="DDDDDD" w:sz="1"/>
              <w:bottom w:val="single" w:color="DDDDDD" w:sz="1"/>
              <w:right w:val="single" w:color="DDDDDD" w:sz="1"/>
            </w:tcBorders>
            <w:shd w:fill="EFF5E9" w:val="clear"/>
            <w:tcMar>
              <w:top w:type="dxa" w:w="80"/>
              <w:left w:type="dxa" w:w="120"/>
              <w:bottom w:type="dxa" w:w="80"/>
              <w:right w:type="dxa" w:w="120"/>
            </w:tcMar>
          </w:tcPr>
          <w:p>
            <w:r>
              <w:rPr>
                <w:rFonts w:ascii="Arial" w:cs="Arial" w:eastAsia="Arial" w:hAnsi="Arial"/>
                <w:b w:val="false"/>
                <w:bCs w:val="false"/>
                <w:sz w:val="20"/>
                <w:szCs w:val="20"/>
              </w:rPr>
              <w:t xml:space="preserve">Launching Q3 2025</w:t>
            </w:r>
          </w:p>
        </w:tc>
        <w:tc>
          <w:tcPr>
            <w:tcW w:type="dxa" w:w="1640"/>
            <w:tcBorders>
              <w:top w:val="single" w:color="DDDDDD" w:sz="1"/>
              <w:left w:val="single" w:color="DDDDDD" w:sz="1"/>
              <w:bottom w:val="single" w:color="DDDDDD" w:sz="1"/>
              <w:right w:val="single" w:color="DDDDDD" w:sz="1"/>
            </w:tcBorders>
            <w:shd w:fill="EFF5E9"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1640"/>
            <w:tcBorders>
              <w:top w:val="single" w:color="DDDDDD" w:sz="1"/>
              <w:left w:val="single" w:color="DDDDDD" w:sz="1"/>
              <w:bottom w:val="single" w:color="DDDDDD" w:sz="1"/>
              <w:right w:val="single" w:color="DDDDDD" w:sz="1"/>
            </w:tcBorders>
            <w:shd w:fill="EFF5E9"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1120"/>
            <w:tcBorders>
              <w:top w:val="single" w:color="DDDDDD" w:sz="1"/>
              <w:left w:val="single" w:color="DDDDDD" w:sz="1"/>
              <w:bottom w:val="single" w:color="DDDDDD" w:sz="1"/>
              <w:right w:val="single" w:color="DDDDDD" w:sz="1"/>
            </w:tcBorders>
            <w:shd w:fill="EFF5E9" w:val="clear"/>
            <w:tcMar>
              <w:top w:type="dxa" w:w="80"/>
              <w:left w:type="dxa" w:w="120"/>
              <w:bottom w:type="dxa" w:w="80"/>
              <w:right w:type="dxa" w:w="120"/>
            </w:tcMar>
          </w:tcPr>
          <w:p>
            <w:r>
              <w:rPr>
                <w:rFonts w:ascii="Arial" w:cs="Arial" w:eastAsia="Arial" w:hAnsi="Arial"/>
                <w:b w:val="false"/>
                <w:bCs w:val="false"/>
                <w:sz w:val="20"/>
                <w:szCs w:val="20"/>
              </w:rPr>
              <w:t xml:space="preserve">Plugin</w:t>
            </w:r>
          </w:p>
        </w:tc>
        <w:tc>
          <w:tcPr>
            <w:tcW w:type="dxa" w:w="1120"/>
            <w:tcBorders>
              <w:top w:val="single" w:color="DDDDDD" w:sz="1"/>
              <w:left w:val="single" w:color="DDDDDD" w:sz="1"/>
              <w:bottom w:val="single" w:color="DDDDDD" w:sz="1"/>
              <w:right w:val="single" w:color="DDDDDD" w:sz="1"/>
            </w:tcBorders>
            <w:shd w:fill="EFF5E9" w:val="clear"/>
            <w:tcMar>
              <w:top w:type="dxa" w:w="80"/>
              <w:left w:type="dxa" w:w="120"/>
              <w:bottom w:type="dxa" w:w="80"/>
              <w:right w:type="dxa" w:w="120"/>
            </w:tcMar>
          </w:tcPr>
          <w:p>
            <w:r>
              <w:rPr>
                <w:rFonts w:ascii="Arial" w:cs="Arial" w:eastAsia="Arial" w:hAnsi="Arial"/>
                <w:b w:val="false"/>
                <w:bCs w:val="false"/>
                <w:sz w:val="20"/>
                <w:szCs w:val="20"/>
              </w:rPr>
              <w:t xml:space="preserve">None</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SMB Accessibility</w:t>
            </w:r>
          </w:p>
        </w:tc>
        <w:tc>
          <w:tcPr>
            <w:tcW w:type="dxa" w:w="16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Best-in-class</w:t>
            </w:r>
          </w:p>
        </w:tc>
        <w:tc>
          <w:tcPr>
            <w:tcW w:type="dxa" w:w="16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Mid-market+</w:t>
            </w:r>
          </w:p>
        </w:tc>
        <w:tc>
          <w:tcPr>
            <w:tcW w:type="dxa" w:w="16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Enterprise focus</w:t>
            </w:r>
          </w:p>
        </w:tc>
        <w:tc>
          <w:tcPr>
            <w:tcW w:type="dxa" w:w="1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High setup complexity</w:t>
            </w:r>
          </w:p>
        </w:tc>
        <w:tc>
          <w:tcPr>
            <w:tcW w:type="dxa" w:w="1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Mid-market+</w:t>
            </w:r>
          </w:p>
        </w:tc>
      </w:tr>
    </w:tbl>
    <w:p>
      <w:pPr>
        <w:spacing w:after="0" w:before="120"/>
      </w:pPr>
    </w:p>
    <w:p>
      <w:pPr>
        <w:pBdr>
          <w:bottom w:val="single" w:color="5E8E3E" w:sz="4" w:space="4"/>
        </w:pBdr>
        <w:spacing w:after="160" w:before="320"/>
      </w:pPr>
      <w:r>
        <w:rPr>
          <w:rFonts w:ascii="Arial" w:cs="Arial" w:eastAsia="Arial" w:hAnsi="Arial"/>
          <w:b/>
          <w:bCs/>
          <w:color w:val="5E8E3E"/>
          <w:sz w:val="32"/>
          <w:szCs w:val="32"/>
        </w:rPr>
        <w:t xml:space="preserve">Strategic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80"/>
        <w:gridCol w:w="1880"/>
        <w:gridCol w:w="4000"/>
      </w:tblGrid>
      <w:tr>
        <w:tc>
          <w:tcPr>
            <w:tcW w:type="dxa" w:w="2800"/>
            <w:tcBorders>
              <w:top w:val="single" w:color="DDDDDD" w:sz="1"/>
              <w:left w:val="single" w:color="DDDDDD" w:sz="1"/>
              <w:bottom w:val="single" w:color="DDDDDD" w:sz="1"/>
              <w:right w:val="single" w:color="DDDDDD" w:sz="1"/>
            </w:tcBorders>
            <w:shd w:fill="5E8E3E" w:val="clear"/>
            <w:tcMar>
              <w:top w:type="dxa" w:w="100"/>
              <w:left w:type="dxa" w:w="120"/>
              <w:bottom w:type="dxa" w:w="100"/>
              <w:right w:type="dxa" w:w="120"/>
            </w:tcMar>
            <w:vAlign w:val="center"/>
          </w:tcPr>
          <w:p>
            <w:r>
              <w:rPr>
                <w:rFonts w:ascii="Arial" w:cs="Arial" w:eastAsia="Arial" w:hAnsi="Arial"/>
                <w:b/>
                <w:bCs/>
                <w:color w:val="FFFFFF"/>
                <w:sz w:val="20"/>
                <w:szCs w:val="20"/>
              </w:rPr>
              <w:t xml:space="preserve">Risk</w:t>
            </w:r>
          </w:p>
        </w:tc>
        <w:tc>
          <w:tcPr>
            <w:tcW w:type="dxa" w:w="680"/>
            <w:tcBorders>
              <w:top w:val="single" w:color="DDDDDD" w:sz="1"/>
              <w:left w:val="single" w:color="DDDDDD" w:sz="1"/>
              <w:bottom w:val="single" w:color="DDDDDD" w:sz="1"/>
              <w:right w:val="single" w:color="DDDDDD" w:sz="1"/>
            </w:tcBorders>
            <w:shd w:fill="5E8E3E" w:val="clear"/>
            <w:tcMar>
              <w:top w:type="dxa" w:w="100"/>
              <w:left w:type="dxa" w:w="120"/>
              <w:bottom w:type="dxa" w:w="100"/>
              <w:right w:type="dxa" w:w="120"/>
            </w:tcMar>
            <w:vAlign w:val="center"/>
          </w:tcPr>
          <w:p>
            <w:r>
              <w:rPr>
                <w:rFonts w:ascii="Arial" w:cs="Arial" w:eastAsia="Arial" w:hAnsi="Arial"/>
                <w:b/>
                <w:bCs/>
                <w:color w:val="FFFFFF"/>
                <w:sz w:val="20"/>
                <w:szCs w:val="20"/>
              </w:rPr>
              <w:t xml:space="preserve">Impact</w:t>
            </w:r>
          </w:p>
        </w:tc>
        <w:tc>
          <w:tcPr>
            <w:tcW w:type="dxa" w:w="1880"/>
            <w:tcBorders>
              <w:top w:val="single" w:color="DDDDDD" w:sz="1"/>
              <w:left w:val="single" w:color="DDDDDD" w:sz="1"/>
              <w:bottom w:val="single" w:color="DDDDDD" w:sz="1"/>
              <w:right w:val="single" w:color="DDDDDD" w:sz="1"/>
            </w:tcBorders>
            <w:shd w:fill="5E8E3E" w:val="clear"/>
            <w:tcMar>
              <w:top w:type="dxa" w:w="100"/>
              <w:left w:type="dxa" w:w="120"/>
              <w:bottom w:type="dxa" w:w="100"/>
              <w:right w:type="dxa" w:w="120"/>
            </w:tcMar>
            <w:vAlign w:val="center"/>
          </w:tcPr>
          <w:p>
            <w:r>
              <w:rPr>
                <w:rFonts w:ascii="Arial" w:cs="Arial" w:eastAsia="Arial" w:hAnsi="Arial"/>
                <w:b/>
                <w:bCs/>
                <w:color w:val="FFFFFF"/>
                <w:sz w:val="20"/>
                <w:szCs w:val="20"/>
              </w:rPr>
              <w:t xml:space="preserve">Likelihood</w:t>
            </w:r>
          </w:p>
        </w:tc>
        <w:tc>
          <w:tcPr>
            <w:tcW w:type="dxa" w:w="4000"/>
            <w:tcBorders>
              <w:top w:val="single" w:color="DDDDDD" w:sz="1"/>
              <w:left w:val="single" w:color="DDDDDD" w:sz="1"/>
              <w:bottom w:val="single" w:color="DDDDDD" w:sz="1"/>
              <w:right w:val="single" w:color="DDDDDD" w:sz="1"/>
            </w:tcBorders>
            <w:shd w:fill="5E8E3E" w:val="clear"/>
            <w:tcMar>
              <w:top w:type="dxa" w:w="100"/>
              <w:left w:type="dxa" w:w="120"/>
              <w:bottom w:type="dxa" w:w="100"/>
              <w:right w:type="dxa" w:w="120"/>
            </w:tcMar>
            <w:vAlign w:val="center"/>
          </w:tcPr>
          <w:p>
            <w:r>
              <w:rPr>
                <w:rFonts w:ascii="Arial" w:cs="Arial" w:eastAsia="Arial" w:hAnsi="Arial"/>
                <w:b/>
                <w:bCs/>
                <w:color w:val="FFFFFF"/>
                <w:sz w:val="20"/>
                <w:szCs w:val="20"/>
              </w:rPr>
              <w:t xml:space="preserve">Mitigation</w:t>
            </w:r>
          </w:p>
        </w:tc>
      </w:tr>
      <w:tr>
        <w:tc>
          <w:tcPr>
            <w:tcW w:type="dxa" w:w="2800"/>
            <w:tcBorders>
              <w:top w:val="single" w:color="DDDDDD" w:sz="1"/>
              <w:left w:val="single" w:color="DDDDDD" w:sz="1"/>
              <w:bottom w:val="single" w:color="DDDDDD" w:sz="1"/>
              <w:right w:val="single" w:color="DDDDDD" w:sz="1"/>
            </w:tcBorders>
            <w:shd w:fill="EFF5E9" w:val="clear"/>
            <w:tcMar>
              <w:top w:type="dxa" w:w="80"/>
              <w:left w:type="dxa" w:w="120"/>
              <w:bottom w:type="dxa" w:w="80"/>
              <w:right w:type="dxa" w:w="120"/>
            </w:tcMar>
          </w:tcPr>
          <w:p>
            <w:r>
              <w:rPr>
                <w:rFonts w:ascii="Arial" w:cs="Arial" w:eastAsia="Arial" w:hAnsi="Arial"/>
                <w:b w:val="false"/>
                <w:bCs w:val="false"/>
                <w:sz w:val="20"/>
                <w:szCs w:val="20"/>
              </w:rPr>
              <w:t xml:space="preserve">Regulatory complexity in key markets (EU customs, India FDI) causes merchant compliance failures or store bans</w:t>
            </w:r>
          </w:p>
        </w:tc>
        <w:tc>
          <w:tcPr>
            <w:tcW w:type="dxa" w:w="680"/>
            <w:tcBorders>
              <w:top w:val="single" w:color="DDDDDD" w:sz="1"/>
              <w:left w:val="single" w:color="DDDDDD" w:sz="1"/>
              <w:bottom w:val="single" w:color="DDDDDD" w:sz="1"/>
              <w:right w:val="single" w:color="DDDDDD" w:sz="1"/>
            </w:tcBorders>
            <w:shd w:fill="EFF5E9"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1880"/>
            <w:tcBorders>
              <w:top w:val="single" w:color="DDDDDD" w:sz="1"/>
              <w:left w:val="single" w:color="DDDDDD" w:sz="1"/>
              <w:bottom w:val="single" w:color="DDDDDD" w:sz="1"/>
              <w:right w:val="single" w:color="DDDDDD" w:sz="1"/>
            </w:tcBorders>
            <w:shd w:fill="EFF5E9"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4000"/>
            <w:tcBorders>
              <w:top w:val="single" w:color="DDDDDD" w:sz="1"/>
              <w:left w:val="single" w:color="DDDDDD" w:sz="1"/>
              <w:bottom w:val="single" w:color="DDDDDD" w:sz="1"/>
              <w:right w:val="single" w:color="DDDDDD" w:sz="1"/>
            </w:tcBorders>
            <w:shd w:fill="EFF5E9" w:val="clear"/>
            <w:tcMar>
              <w:top w:type="dxa" w:w="80"/>
              <w:left w:type="dxa" w:w="120"/>
              <w:bottom w:type="dxa" w:w="80"/>
              <w:right w:type="dxa" w:w="120"/>
            </w:tcMar>
          </w:tcPr>
          <w:p>
            <w:r>
              <w:rPr>
                <w:rFonts w:ascii="Arial" w:cs="Arial" w:eastAsia="Arial" w:hAnsi="Arial"/>
                <w:b w:val="false"/>
                <w:bCs w:val="false"/>
                <w:sz w:val="20"/>
                <w:szCs w:val="20"/>
              </w:rPr>
              <w:t xml:space="preserve">Markets Pro merchant-of-record model fully insulates merchants from liability. Dedicated regulatory monitoring team with 30-day advance implementation lead time.</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AI Auto-Localization translation quality varies by language pair; merchants in low-resource languages see poor quality</w:t>
            </w:r>
          </w:p>
        </w:tc>
        <w:tc>
          <w:tcPr>
            <w:tcW w:type="dxa" w:w="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8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Human review layer for languages below quality threshold; merchant satisfaction feedback loop in product; phased rollout by language quality tier.</w:t>
            </w:r>
          </w:p>
        </w:tc>
      </w:tr>
      <w:tr>
        <w:tc>
          <w:tcPr>
            <w:tcW w:type="dxa" w:w="2800"/>
            <w:tcBorders>
              <w:top w:val="single" w:color="DDDDDD" w:sz="1"/>
              <w:left w:val="single" w:color="DDDDDD" w:sz="1"/>
              <w:bottom w:val="single" w:color="DDDDDD" w:sz="1"/>
              <w:right w:val="single" w:color="DDDDDD" w:sz="1"/>
            </w:tcBorders>
            <w:shd w:fill="EFF5E9" w:val="clear"/>
            <w:tcMar>
              <w:top w:type="dxa" w:w="80"/>
              <w:left w:type="dxa" w:w="120"/>
              <w:bottom w:type="dxa" w:w="80"/>
              <w:right w:type="dxa" w:w="120"/>
            </w:tcMar>
          </w:tcPr>
          <w:p>
            <w:r>
              <w:rPr>
                <w:rFonts w:ascii="Arial" w:cs="Arial" w:eastAsia="Arial" w:hAnsi="Arial"/>
                <w:b w:val="false"/>
                <w:bCs w:val="false"/>
                <w:sz w:val="20"/>
                <w:szCs w:val="20"/>
              </w:rPr>
              <w:t xml:space="preserve">Global-E partnership terms create margin compression as Markets Pro scales; unit economics deteriorate</w:t>
            </w:r>
          </w:p>
        </w:tc>
        <w:tc>
          <w:tcPr>
            <w:tcW w:type="dxa" w:w="680"/>
            <w:tcBorders>
              <w:top w:val="single" w:color="DDDDDD" w:sz="1"/>
              <w:left w:val="single" w:color="DDDDDD" w:sz="1"/>
              <w:bottom w:val="single" w:color="DDDDDD" w:sz="1"/>
              <w:right w:val="single" w:color="DDDDDD" w:sz="1"/>
            </w:tcBorders>
            <w:shd w:fill="EFF5E9"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1880"/>
            <w:tcBorders>
              <w:top w:val="single" w:color="DDDDDD" w:sz="1"/>
              <w:left w:val="single" w:color="DDDDDD" w:sz="1"/>
              <w:bottom w:val="single" w:color="DDDDDD" w:sz="1"/>
              <w:right w:val="single" w:color="DDDDDD" w:sz="1"/>
            </w:tcBorders>
            <w:shd w:fill="EFF5E9"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4000"/>
            <w:tcBorders>
              <w:top w:val="single" w:color="DDDDDD" w:sz="1"/>
              <w:left w:val="single" w:color="DDDDDD" w:sz="1"/>
              <w:bottom w:val="single" w:color="DDDDDD" w:sz="1"/>
              <w:right w:val="single" w:color="DDDDDD" w:sz="1"/>
            </w:tcBorders>
            <w:shd w:fill="EFF5E9" w:val="clear"/>
            <w:tcMar>
              <w:top w:type="dxa" w:w="80"/>
              <w:left w:type="dxa" w:w="120"/>
              <w:bottom w:type="dxa" w:w="80"/>
              <w:right w:type="dxa" w:w="120"/>
            </w:tcMar>
          </w:tcPr>
          <w:p>
            <w:r>
              <w:rPr>
                <w:rFonts w:ascii="Arial" w:cs="Arial" w:eastAsia="Arial" w:hAnsi="Arial"/>
                <w:b w:val="false"/>
                <w:bCs w:val="false"/>
                <w:sz w:val="20"/>
                <w:szCs w:val="20"/>
              </w:rPr>
              <w:t xml:space="preserve">Contract renegotiation milestone tied to volume thresholds; parallel internal infrastructure build to reduce Global-E dependency by Q2 2026.</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TikTok Shop regulatory uncertainty (US ban risk) disrupts social commerce cross-border integration roadmap</w:t>
            </w:r>
          </w:p>
        </w:tc>
        <w:tc>
          <w:tcPr>
            <w:tcW w:type="dxa" w:w="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8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Dual-track integration: TikTok Shop + Instagram/Pinterest/YouTube Shopping as equal priority social commerce surfaces.</w:t>
            </w:r>
          </w:p>
        </w:tc>
      </w:tr>
      <w:tr>
        <w:tc>
          <w:tcPr>
            <w:tcW w:type="dxa" w:w="2800"/>
            <w:tcBorders>
              <w:top w:val="single" w:color="DDDDDD" w:sz="1"/>
              <w:left w:val="single" w:color="DDDDDD" w:sz="1"/>
              <w:bottom w:val="single" w:color="DDDDDD" w:sz="1"/>
              <w:right w:val="single" w:color="DDDDDD" w:sz="1"/>
            </w:tcBorders>
            <w:shd w:fill="EFF5E9" w:val="clear"/>
            <w:tcMar>
              <w:top w:type="dxa" w:w="80"/>
              <w:left w:type="dxa" w:w="120"/>
              <w:bottom w:type="dxa" w:w="80"/>
              <w:right w:type="dxa" w:w="120"/>
            </w:tcMar>
          </w:tcPr>
          <w:p>
            <w:r>
              <w:rPr>
                <w:rFonts w:ascii="Arial" w:cs="Arial" w:eastAsia="Arial" w:hAnsi="Arial"/>
                <w:b w:val="false"/>
                <w:bCs w:val="false"/>
                <w:sz w:val="20"/>
                <w:szCs w:val="20"/>
              </w:rPr>
              <w:t xml:space="preserve">Merchant activation program generates low-quality market launches with poor buyer experience; brand risk in new markets</w:t>
            </w:r>
          </w:p>
        </w:tc>
        <w:tc>
          <w:tcPr>
            <w:tcW w:type="dxa" w:w="680"/>
            <w:tcBorders>
              <w:top w:val="single" w:color="DDDDDD" w:sz="1"/>
              <w:left w:val="single" w:color="DDDDDD" w:sz="1"/>
              <w:bottom w:val="single" w:color="DDDDDD" w:sz="1"/>
              <w:right w:val="single" w:color="DDDDDD" w:sz="1"/>
            </w:tcBorders>
            <w:shd w:fill="EFF5E9"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1880"/>
            <w:tcBorders>
              <w:top w:val="single" w:color="DDDDDD" w:sz="1"/>
              <w:left w:val="single" w:color="DDDDDD" w:sz="1"/>
              <w:bottom w:val="single" w:color="DDDDDD" w:sz="1"/>
              <w:right w:val="single" w:color="DDDDDD" w:sz="1"/>
            </w:tcBorders>
            <w:shd w:fill="EFF5E9" w:val="clear"/>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4000"/>
            <w:tcBorders>
              <w:top w:val="single" w:color="DDDDDD" w:sz="1"/>
              <w:left w:val="single" w:color="DDDDDD" w:sz="1"/>
              <w:bottom w:val="single" w:color="DDDDDD" w:sz="1"/>
              <w:right w:val="single" w:color="DDDDDD" w:sz="1"/>
            </w:tcBorders>
            <w:shd w:fill="EFF5E9" w:val="clear"/>
            <w:tcMar>
              <w:top w:type="dxa" w:w="80"/>
              <w:left w:type="dxa" w:w="120"/>
              <w:bottom w:type="dxa" w:w="80"/>
              <w:right w:type="dxa" w:w="120"/>
            </w:tcMar>
          </w:tcPr>
          <w:p>
            <w:r>
              <w:rPr>
                <w:rFonts w:ascii="Arial" w:cs="Arial" w:eastAsia="Arial" w:hAnsi="Arial"/>
                <w:b w:val="false"/>
                <w:bCs w:val="false"/>
                <w:sz w:val="20"/>
                <w:szCs w:val="20"/>
              </w:rPr>
              <w:t xml:space="preserve">Activation wizard includes market readiness checklist (inventory, shipping carrier, returns policy) before launch. Markets quality score visible to merchant in admin.</w:t>
            </w:r>
          </w:p>
        </w:tc>
      </w:tr>
    </w:tbl>
    <w:p>
      <w:pPr>
        <w:spacing w:after="0" w:before="200"/>
      </w:pPr>
    </w:p>
    <w:p>
      <w:pPr>
        <w:spacing w:after="0" w:before="120"/>
        <w:jc w:val="center"/>
      </w:pPr>
      <w:r>
        <w:rPr>
          <w:rFonts w:ascii="Arial" w:cs="Arial" w:eastAsia="Arial" w:hAnsi="Arial"/>
          <w:i/>
          <w:iCs/>
          <w:color w:val="999999"/>
          <w:sz w:val="16"/>
          <w:szCs w:val="16"/>
        </w:rPr>
        <w:t xml:space="preserve">Shopify Confidential — For Internal Distribution Only — Q2 2025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E8E3E" w:sz="4" w:space="4"/>
      </w:pBdr>
      <w:tabs>
        <w:tab w:val="center" w:pos="4680"/>
        <w:tab w:val="right" w:pos="9360"/>
      </w:tabs>
      <w:spacing w:after="0" w:before="80"/>
    </w:pPr>
    <w:r>
      <w:rPr>
        <w:rFonts w:ascii="Arial" w:cs="Arial" w:eastAsia="Arial" w:hAnsi="Arial"/>
        <w:color w:val="666666"/>
        <w:sz w:val="18"/>
        <w:szCs w:val="18"/>
      </w:rPr>
      <w:t xml:space="preserve">Shopify Inc.</w:t>
    </w:r>
    <w:r>
      <w:rPr>
        <w:sz w:val="18"/>
        <w:szCs w:val="18"/>
      </w:rPr>
      <w:t xml:space="preserve">	</w:t>
    </w:r>
    <w:r>
      <w:rPr>
        <w:rFonts w:ascii="Arial" w:cs="Arial" w:eastAsia="Arial" w:hAnsi="Arial"/>
        <w:color w:val="666666"/>
        <w:sz w:val="18"/>
        <w:szCs w:val="18"/>
      </w:rPr>
      <w:t xml:space="preserve">Product Strategy, Vision &amp; OKRs</w:t>
    </w:r>
    <w:r>
      <w:rPr>
        <w:sz w:val="18"/>
        <w:szCs w:val="18"/>
      </w:rPr>
      <w:t xml:space="preserve">	</w:t>
    </w: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E8E3E" w:sz="8" w:space="4"/>
      </w:pBdr>
      <w:spacing w:after="80" w:before="0"/>
    </w:pPr>
    <w:r>
      <w:rPr>
        <w:rFonts w:ascii="Arial" w:cs="Arial" w:eastAsia="Arial" w:hAnsi="Arial"/>
        <w:b/>
        <w:bCs/>
        <w:color w:val="666666"/>
        <w:sz w:val="18"/>
        <w:szCs w:val="18"/>
      </w:rPr>
      <w:t xml:space="preserve">SHOPIFY 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5E8E3E"/>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3D5C2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2026-06-07T20:59:49.351Z</dcterms:created>
  <dcterms:modified xsi:type="dcterms:W3CDTF">2026-06-07T20:59:49.351Z</dcterms:modified>
</cp:coreProperties>
</file>

<file path=docProps/custom.xml><?xml version="1.0" encoding="utf-8"?>
<Properties xmlns="http://schemas.openxmlformats.org/officeDocument/2006/custom-properties" xmlns:vt="http://schemas.openxmlformats.org/officeDocument/2006/docPropsVTypes"/>
</file>