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009604"/>
          <w:sz w:val="52"/>
          <w:szCs w:val="52"/>
        </w:rPr>
        <w:t xml:space="preserve">ROBINHOOD</w:t>
      </w:r>
    </w:p>
    <w:p>
      <w:pPr>
        <w:pBdr>
          <w:bottom w:val="single" w:color="00C805" w:sz="8"/>
        </w:pBdr>
        <w:spacing w:after="60" w:before="0"/>
      </w:pPr>
      <w:r>
        <w:rPr>
          <w:rFonts w:ascii="Arial" w:cs="Arial" w:eastAsia="Arial" w:hAnsi="Arial"/>
          <w:b/>
          <w:bCs/>
          <w:color w:val="111111"/>
          <w:sz w:val="40"/>
          <w:szCs w:val="40"/>
        </w:rPr>
        <w:t xml:space="preserve">Options Trading Interface Redesign</w:t>
      </w:r>
    </w:p>
    <w:p>
      <w:pPr>
        <w:spacing w:after="80" w:before="0"/>
      </w:pPr>
      <w:r>
        <w:rPr>
          <w:rFonts w:ascii="Arial" w:cs="Arial" w:eastAsia="Arial" w:hAnsi="Arial"/>
          <w:color w:val="555555"/>
          <w:sz w:val="26"/>
          <w:szCs w:val="26"/>
        </w:rPr>
        <w:t xml:space="preserve">Clarity, Risk Disclosure &amp; Informed Decision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Document Type</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Classification</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Date</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Version</w:t>
            </w:r>
          </w:p>
        </w:tc>
      </w:tr>
      <w:tr>
        <w:tc>
          <w:tcPr>
            <w:tcW w:type="dxa" w:w="234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Product Design Document</w:t>
            </w:r>
          </w:p>
        </w:tc>
        <w:tc>
          <w:tcPr>
            <w:tcW w:type="dxa" w:w="234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Internal — Restricted</w:t>
            </w:r>
          </w:p>
        </w:tc>
        <w:tc>
          <w:tcPr>
            <w:tcW w:type="dxa" w:w="234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June 2025</w:t>
            </w:r>
          </w:p>
        </w:tc>
        <w:tc>
          <w:tcPr>
            <w:tcW w:type="dxa" w:w="234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v4.0</w:t>
            </w:r>
          </w:p>
        </w:tc>
      </w:tr>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Author</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Team</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Platform</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Staff Product Designer</w:t>
            </w:r>
          </w:p>
        </w:tc>
        <w:tc>
          <w:tcPr>
            <w:tcW w:type="dxa" w:w="234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Options &amp; Derivatives</w:t>
            </w:r>
          </w:p>
        </w:tc>
        <w:tc>
          <w:tcPr>
            <w:tcW w:type="dxa" w:w="234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iOS, Android</w:t>
            </w:r>
          </w:p>
        </w:tc>
        <w:tc>
          <w:tcPr>
            <w:tcW w:type="dxa" w:w="234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Legal Review Pending</w:t>
            </w:r>
          </w:p>
        </w:tc>
      </w:tr>
    </w:tbl>
    <w:p>
      <w:pPr>
        <w:spacing w:after="80" w:before="80"/>
      </w:pPr>
      <w:r>
        <w:t xml:space="preserve"/>
      </w:r>
    </w:p>
    <w:p>
      <w:pPr>
        <w:pBdr>
          <w:top w:val="single" w:color="CCCCCC" w:sz="1"/>
          <w:bottom w:val="single" w:color="CCCCCC" w:sz="1"/>
          <w:left w:val="single" w:color="F59E0B" w:sz="8"/>
          <w:right w:val="single" w:color="CCCCCC" w:sz="1"/>
        </w:pBdr>
        <w:shd w:fill="FEF3C7" w:val="clear"/>
        <w:spacing w:after="80" w:before="40"/>
      </w:pPr>
      <w:r>
        <w:rPr>
          <w:rFonts w:ascii="Arial" w:cs="Arial" w:eastAsia="Arial" w:hAnsi="Arial"/>
          <w:color w:val="92400E"/>
          <w:sz w:val="18"/>
          <w:szCs w:val="18"/>
        </w:rPr>
        <w:t xml:space="preserve">COMPLIANCE NOTE: This document contains material relating to options risk disclosure. All design decisions in Sections 4, 7, 8, and 9 must be reviewed and approved by the Robinhood Legal and Compliance team before implementation. See compliance sign-off table in Appendix A.</w:t>
      </w:r>
    </w:p>
    <w:p>
      <w:pPr>
        <w:spacing w:after="80" w:before="80"/>
      </w:pPr>
      <w:r>
        <w:t xml:space="preserve"/>
      </w:r>
    </w:p>
    <w:p>
      <w:pPr>
        <w:pStyle w:val="Heading1"/>
        <w:pBdr>
          <w:bottom w:val="single" w:color="00C805" w:sz="4"/>
        </w:pBdr>
        <w:spacing w:after="120" w:before="280"/>
      </w:pPr>
      <w:r>
        <w:rPr>
          <w:rFonts w:ascii="Arial" w:cs="Arial" w:eastAsia="Arial" w:hAnsi="Arial"/>
          <w:b/>
          <w:bCs/>
          <w:color w:val="009604"/>
          <w:sz w:val="32"/>
          <w:szCs w:val="32"/>
        </w:rPr>
        <w:t xml:space="preserve">1. Design Summary</w:t>
      </w:r>
    </w:p>
    <w:p>
      <w:pPr>
        <w:spacing w:after="60" w:before="60"/>
      </w:pPr>
      <w:r>
        <w:rPr>
          <w:rFonts w:ascii="Arial" w:cs="Arial" w:eastAsia="Arial" w:hAnsi="Arial"/>
          <w:sz w:val="20"/>
          <w:szCs w:val="20"/>
        </w:rPr>
        <w:t xml:space="preserve">This document specifies the complete redesign of the Robinhood Options trading interface, with a primary focus on clarity, educational scaffolding, and proactive risk disclosure. Options trading carries significant financial risk, and regulatory feedback (FINRA 2022 examination, SEC correspondence 2023) has highlighted the need for enhanced risk communication at key decision points in the trading flow.</w:t>
      </w:r>
    </w:p>
    <w:p>
      <w:pPr>
        <w:spacing w:after="60" w:before="60"/>
      </w:pPr>
      <w:r>
        <w:rPr>
          <w:rFonts w:ascii="Arial" w:cs="Arial" w:eastAsia="Arial" w:hAnsi="Arial"/>
          <w:sz w:val="20"/>
          <w:szCs w:val="20"/>
        </w:rPr>
        <w:t xml:space="preserve">The redesign does not reduce the power or speed of the options flow for experienced traders, but introduces a layered disclosure system, a plain-language risk summary at order entry, and a redesigned Options Chain that surfaces key Greeks and expiration context without requiring users to navigate away. This spec governs the iOS and Android implementations.</w:t>
      </w:r>
    </w:p>
    <w:p>
      <w:pPr>
        <w:spacing w:after="80" w:before="80"/>
      </w:pPr>
      <w:r>
        <w:t xml:space="preserve"/>
      </w:r>
    </w:p>
    <w:p>
      <w:pPr>
        <w:pStyle w:val="Heading1"/>
        <w:pBdr>
          <w:bottom w:val="single" w:color="00C805" w:sz="4"/>
        </w:pBdr>
        <w:spacing w:after="120" w:before="280"/>
      </w:pPr>
      <w:r>
        <w:rPr>
          <w:rFonts w:ascii="Arial" w:cs="Arial" w:eastAsia="Arial" w:hAnsi="Arial"/>
          <w:b/>
          <w:bCs/>
          <w:color w:val="009604"/>
          <w:sz w:val="32"/>
          <w:szCs w:val="32"/>
        </w:rPr>
        <w:t xml:space="preserve">2. Design Vision &amp;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Principle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Description</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Design Signal</w:t>
            </w:r>
          </w:p>
        </w:tc>
      </w:tr>
      <w:tr>
        <w:tc>
          <w:tcPr>
            <w:tcW w:type="dxa" w:w="20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Informed Confidence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should feel equipped to make decisions, not rushed. The interface provides the right information at the right moment — contextually, without overwhelming the screen.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Loss / Max Gain displayed prominently at order review; tooltips on all Greek values</w:t>
            </w:r>
          </w:p>
        </w:tc>
      </w:tr>
      <w:tr>
        <w:tc>
          <w:tcPr>
            <w:tcW w:type="dxa" w:w="20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Progressive Disclosure of Risk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information is layered: headline risk (max loss in dollar terms) is always visible; detailed risk analysis (payoff chart, breakeven, probability) is one tap away.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Summary Card always present on Order Review screen; "See full risk analysis" expands chart</w:t>
            </w:r>
          </w:p>
        </w:tc>
      </w:tr>
      <w:tr>
        <w:tc>
          <w:tcPr>
            <w:tcW w:type="dxa" w:w="20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Experienced Speed, Novice Safety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Expert users can execute in 3 taps. Novice users (Level 2 approval or below) receive additional friction points with mandatory risk acknowledgments that cannot be skipped.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acknowledgment gate for users under 6 months of options trading history; bypassable with toggle for experienced traders</w:t>
            </w:r>
          </w:p>
        </w:tc>
      </w:tr>
      <w:tr>
        <w:tc>
          <w:tcPr>
            <w:tcW w:type="dxa" w:w="20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Plain Language First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jargon is defined on first use within a session. Greeks (Delta, Theta, IV, Gamma) have tap-to-expand plain English explanations. Legal disclosures use active voice.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Delta tooltip: "Tells you roughly how much the option price moves when the stock moves $1." No passive voice in user-facing disclosure text.</w:t>
            </w:r>
          </w:p>
        </w:tc>
      </w:tr>
      <w:tr>
        <w:tc>
          <w:tcPr>
            <w:tcW w:type="dxa" w:w="20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Regulatory Compliance as UX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disclosures are designed as useful context, not legal fine print. Users should perceive risk information as helpful, not punitive.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disclosures use card-based design with iconography, not gray footnote text; FINRA-mandated disclosures appear in-context, not in a separate legal modal</w:t>
            </w:r>
          </w:p>
        </w:tc>
      </w:tr>
    </w:tbl>
    <w:p>
      <w:pPr>
        <w:spacing w:after="80" w:before="80"/>
      </w:pPr>
      <w:r>
        <w:t xml:space="preserve"/>
      </w:r>
    </w:p>
    <w:p>
      <w:pPr>
        <w:pStyle w:val="Heading1"/>
        <w:pBdr>
          <w:bottom w:val="single" w:color="00C805" w:sz="4"/>
        </w:pBdr>
        <w:spacing w:after="120" w:before="280"/>
      </w:pPr>
      <w:r>
        <w:rPr>
          <w:rFonts w:ascii="Arial" w:cs="Arial" w:eastAsia="Arial" w:hAnsi="Arial"/>
          <w:b/>
          <w:bCs/>
          <w:color w:val="009604"/>
          <w:sz w:val="32"/>
          <w:szCs w:val="32"/>
        </w:rPr>
        <w:t xml:space="preserve">3. Problem Statement &amp; Design Goals</w:t>
      </w:r>
    </w:p>
    <w:p>
      <w:pPr>
        <w:pStyle w:val="Heading2"/>
        <w:spacing w:after="80" w:before="200"/>
      </w:pPr>
      <w:r>
        <w:rPr>
          <w:rFonts w:ascii="Arial" w:cs="Arial" w:eastAsia="Arial" w:hAnsi="Arial"/>
          <w:b/>
          <w:bCs/>
          <w:color w:val="333333"/>
          <w:sz w:val="26"/>
          <w:szCs w:val="26"/>
        </w:rPr>
        <w:t xml:space="preserve">3.1 Problem Statement</w:t>
      </w:r>
    </w:p>
    <w:p>
      <w:pPr>
        <w:spacing w:after="60" w:before="60"/>
      </w:pPr>
      <w:r>
        <w:rPr>
          <w:rFonts w:ascii="Arial" w:cs="Arial" w:eastAsia="Arial" w:hAnsi="Arial"/>
          <w:sz w:val="20"/>
          <w:szCs w:val="20"/>
        </w:rPr>
        <w:t xml:space="preserve">Robinhood has faced regulatory scrutiny and reputational harm related to options trading UX. In 2020, a high-profile customer loss resulted in significant media attention and regulatory correspondence. The current options interface, while fast, lacks contextual risk education, displays Max Loss only on the order confirmation screen (too late in the flow), and uses industry jargon without plain-language alternatives. A 2024 customer study (n=480) found that 44% of options traders with less than 12 months of history could not correctly identify their Maximum Possible Loss before placing a trade.</w:t>
      </w:r>
    </w:p>
    <w:p>
      <w:pPr>
        <w:spacing w:after="80" w:before="80"/>
      </w:pPr>
      <w:r>
        <w:t xml:space="preserve"/>
      </w:r>
    </w:p>
    <w:p>
      <w:pPr>
        <w:pStyle w:val="Heading2"/>
        <w:spacing w:after="80" w:before="200"/>
      </w:pPr>
      <w:r>
        <w:rPr>
          <w:rFonts w:ascii="Arial" w:cs="Arial" w:eastAsia="Arial" w:hAnsi="Arial"/>
          <w:b/>
          <w:bCs/>
          <w:color w:val="333333"/>
          <w:sz w:val="26"/>
          <w:szCs w:val="26"/>
        </w:rPr>
        <w:t xml:space="preserve">3.2 Design Goals</w:t>
      </w:r>
    </w:p>
    <w:p>
      <w:pPr>
        <w:pStyle w:val="ListParagraph"/>
        <w:numPr>
          <w:ilvl w:val="0"/>
          <w:numId w:val="2"/>
        </w:numPr>
        <w:spacing w:after="40" w:before="40"/>
      </w:pPr>
      <w:r>
        <w:rPr>
          <w:rFonts w:ascii="Arial" w:cs="Arial" w:eastAsia="Arial" w:hAnsi="Arial"/>
          <w:sz w:val="20"/>
          <w:szCs w:val="20"/>
        </w:rPr>
        <w:t xml:space="preserve">Ensure 95%+ of options users can correctly identify Max Loss before order submission (measured via usability study)</w:t>
      </w:r>
    </w:p>
    <w:p>
      <w:pPr>
        <w:pStyle w:val="ListParagraph"/>
        <w:numPr>
          <w:ilvl w:val="0"/>
          <w:numId w:val="2"/>
        </w:numPr>
        <w:spacing w:after="40" w:before="40"/>
      </w:pPr>
      <w:r>
        <w:rPr>
          <w:rFonts w:ascii="Arial" w:cs="Arial" w:eastAsia="Arial" w:hAnsi="Arial"/>
          <w:sz w:val="20"/>
          <w:szCs w:val="20"/>
        </w:rPr>
        <w:t xml:space="preserve">Reduce options-related support contacts categorized as "confusion about loss" by 50% within 6 months</w:t>
      </w:r>
    </w:p>
    <w:p>
      <w:pPr>
        <w:pStyle w:val="ListParagraph"/>
        <w:numPr>
          <w:ilvl w:val="0"/>
          <w:numId w:val="2"/>
        </w:numPr>
        <w:spacing w:after="40" w:before="40"/>
      </w:pPr>
      <w:r>
        <w:rPr>
          <w:rFonts w:ascii="Arial" w:cs="Arial" w:eastAsia="Arial" w:hAnsi="Arial"/>
          <w:sz w:val="20"/>
          <w:szCs w:val="20"/>
        </w:rPr>
        <w:t xml:space="preserve">Maintain or improve Options trade completion rate (current: 78%) — risk friction should not meaningfully reduce trade volume for experienced users</w:t>
      </w:r>
    </w:p>
    <w:p>
      <w:pPr>
        <w:pStyle w:val="ListParagraph"/>
        <w:numPr>
          <w:ilvl w:val="0"/>
          <w:numId w:val="2"/>
        </w:numPr>
        <w:spacing w:after="40" w:before="40"/>
      </w:pPr>
      <w:r>
        <w:rPr>
          <w:rFonts w:ascii="Arial" w:cs="Arial" w:eastAsia="Arial" w:hAnsi="Arial"/>
          <w:sz w:val="20"/>
          <w:szCs w:val="20"/>
        </w:rPr>
        <w:t xml:space="preserve">Pass FINRA and SEC UX review for risk disclosure compliance — Legal sign-off required before launch</w:t>
      </w:r>
    </w:p>
    <w:p>
      <w:pPr>
        <w:pStyle w:val="ListParagraph"/>
        <w:numPr>
          <w:ilvl w:val="0"/>
          <w:numId w:val="2"/>
        </w:numPr>
        <w:spacing w:after="40" w:before="40"/>
      </w:pPr>
      <w:r>
        <w:rPr>
          <w:rFonts w:ascii="Arial" w:cs="Arial" w:eastAsia="Arial" w:hAnsi="Arial"/>
          <w:sz w:val="20"/>
          <w:szCs w:val="20"/>
        </w:rPr>
        <w:t xml:space="preserve">Increase Options educational content engagement (Learn tab) from 12% to 30% of active options users</w:t>
      </w:r>
    </w:p>
    <w:p>
      <w:pPr>
        <w:spacing w:after="80" w:before="80"/>
      </w:pPr>
      <w:r>
        <w:t xml:space="preserve"/>
      </w:r>
    </w:p>
    <w:p>
      <w:pPr>
        <w:pStyle w:val="Heading1"/>
        <w:pBdr>
          <w:bottom w:val="single" w:color="00C805" w:sz="4"/>
        </w:pBdr>
        <w:spacing w:after="120" w:before="280"/>
      </w:pPr>
      <w:r>
        <w:rPr>
          <w:rFonts w:ascii="Arial" w:cs="Arial" w:eastAsia="Arial" w:hAnsi="Arial"/>
          <w:b/>
          <w:bCs/>
          <w:color w:val="009604"/>
          <w:sz w:val="32"/>
          <w:szCs w:val="32"/>
        </w:rPr>
        <w:t xml:space="preserve">4.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800"/>
        <w:gridCol w:w="2800"/>
      </w:tblGrid>
      <w:tr>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Persona</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Context</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Needs</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Pain Points</w:t>
            </w:r>
          </w:p>
        </w:tc>
      </w:tr>
      <w:tr>
        <w:tc>
          <w:tcPr>
            <w:tcW w:type="dxa" w:w="156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Marcus, 38
Experienced Options Trader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years options experience. Trades weekly. Robinhood Gold subscriber. Uses iOS primarily.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order entry without friction. Quick access to IV rank, Greeks, and payoff diagrams. Ability to dismiss educational content permanently.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disclosures slow down experienced traders. Cannot customize the Options Chain column layout. Greeks require navigating to a separate detail screen.</w:t>
            </w:r>
          </w:p>
        </w:tc>
      </w:tr>
      <w:tr>
        <w:tc>
          <w:tcPr>
            <w:tcW w:type="dxa" w:w="156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Taylor, 27
New Options Trader (Level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months of options trading. Just received Level 2 approval. Trades covered calls on stocks they own. Android user.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explanation of what can go wrong. Visual payoff diagram before committing. Confidence that they understand the trade.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Options Chain is confusing — too many numbers. Max Loss is not visible until the final confirm screen. Greeks are undefined in the interface.</w:t>
            </w:r>
          </w:p>
        </w:tc>
      </w:tr>
      <w:tr>
        <w:tc>
          <w:tcPr>
            <w:tcW w:type="dxa" w:w="156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Jordan, 22
Social Trader (Curious)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Primarily a stock trader. Saw options discussed in social media and want to try. No approval yet. iPhone user.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Understand what options are before applying. Know the risks clearly. Easy path to approval with educational gates.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Options promotion feels like it is encouraging trading without sufficient upfront risk education. Apply for options CTA is too prominent before user understands the product.</w:t>
            </w:r>
          </w:p>
        </w:tc>
      </w:tr>
    </w:tbl>
    <w:p>
      <w:pPr>
        <w:spacing w:after="80" w:before="80"/>
      </w:pPr>
      <w:r>
        <w:t xml:space="preserve"/>
      </w:r>
    </w:p>
    <w:p>
      <w:r>
        <w:br w:type="page"/>
      </w:r>
    </w:p>
    <w:p>
      <w:pPr>
        <w:pStyle w:val="Heading1"/>
        <w:pBdr>
          <w:bottom w:val="single" w:color="00C805" w:sz="4"/>
        </w:pBdr>
        <w:spacing w:after="120" w:before="280"/>
      </w:pPr>
      <w:r>
        <w:rPr>
          <w:rFonts w:ascii="Arial" w:cs="Arial" w:eastAsia="Arial" w:hAnsi="Arial"/>
          <w:b/>
          <w:bCs/>
          <w:color w:val="009604"/>
          <w:sz w:val="32"/>
          <w:szCs w:val="32"/>
        </w:rPr>
        <w:t xml:space="preserve">5. User Flows</w:t>
      </w:r>
    </w:p>
    <w:p>
      <w:pPr>
        <w:pStyle w:val="Heading2"/>
        <w:spacing w:after="80" w:before="200"/>
      </w:pPr>
      <w:r>
        <w:rPr>
          <w:rFonts w:ascii="Arial" w:cs="Arial" w:eastAsia="Arial" w:hAnsi="Arial"/>
          <w:b/>
          <w:bCs/>
          <w:color w:val="333333"/>
          <w:sz w:val="26"/>
          <w:szCs w:val="26"/>
        </w:rPr>
        <w:t xml:space="preserve">5.1 Primary Flow: Options Order Entry (Level 3+ Experienced Trader)</w:t>
      </w:r>
    </w:p>
    <w:p>
      <w:pPr>
        <w:pStyle w:val="ListParagraph"/>
        <w:numPr>
          <w:ilvl w:val="0"/>
          <w:numId w:val="3"/>
        </w:numPr>
        <w:spacing w:after="40" w:before="40"/>
      </w:pPr>
      <w:r>
        <w:rPr>
          <w:rFonts w:ascii="Arial" w:cs="Arial" w:eastAsia="Arial" w:hAnsi="Arial"/>
          <w:sz w:val="20"/>
          <w:szCs w:val="20"/>
        </w:rPr>
        <w:t xml:space="preserve">User navigates to stock detail page; taps "Trade" &gt; "Trade Options"</w:t>
      </w:r>
    </w:p>
    <w:p>
      <w:pPr>
        <w:pStyle w:val="ListParagraph"/>
        <w:numPr>
          <w:ilvl w:val="0"/>
          <w:numId w:val="3"/>
        </w:numPr>
        <w:spacing w:after="40" w:before="40"/>
      </w:pPr>
      <w:r>
        <w:rPr>
          <w:rFonts w:ascii="Arial" w:cs="Arial" w:eastAsia="Arial" w:hAnsi="Arial"/>
          <w:sz w:val="20"/>
          <w:szCs w:val="20"/>
        </w:rPr>
        <w:t xml:space="preserve">Options Chain loads: calls (left) and puts (right) displayed by expiration date group; default sort by OTM proximity</w:t>
      </w:r>
    </w:p>
    <w:p>
      <w:pPr>
        <w:pStyle w:val="ListParagraph"/>
        <w:numPr>
          <w:ilvl w:val="0"/>
          <w:numId w:val="3"/>
        </w:numPr>
        <w:spacing w:after="40" w:before="40"/>
      </w:pPr>
      <w:r>
        <w:rPr>
          <w:rFonts w:ascii="Arial" w:cs="Arial" w:eastAsia="Arial" w:hAnsi="Arial"/>
          <w:sz w:val="20"/>
          <w:szCs w:val="20"/>
        </w:rPr>
        <w:t xml:space="preserve">User taps an option contract row; Option Detail Card slides up: shows premium, Delta, Theta, IV, breakeven, and Max Gain/Loss in dollar and percentage terms</w:t>
      </w:r>
    </w:p>
    <w:p>
      <w:pPr>
        <w:pStyle w:val="ListParagraph"/>
        <w:numPr>
          <w:ilvl w:val="0"/>
          <w:numId w:val="3"/>
        </w:numPr>
        <w:spacing w:after="40" w:before="40"/>
      </w:pPr>
      <w:r>
        <w:rPr>
          <w:rFonts w:ascii="Arial" w:cs="Arial" w:eastAsia="Arial" w:hAnsi="Arial"/>
          <w:sz w:val="20"/>
          <w:szCs w:val="20"/>
        </w:rPr>
        <w:t xml:space="preserve">User selects Buy/Sell and quantity; "Review Order" button activates</w:t>
      </w:r>
    </w:p>
    <w:p>
      <w:pPr>
        <w:pStyle w:val="ListParagraph"/>
        <w:numPr>
          <w:ilvl w:val="0"/>
          <w:numId w:val="3"/>
        </w:numPr>
        <w:spacing w:after="40" w:before="40"/>
      </w:pPr>
      <w:r>
        <w:rPr>
          <w:rFonts w:ascii="Arial" w:cs="Arial" w:eastAsia="Arial" w:hAnsi="Arial"/>
          <w:sz w:val="20"/>
          <w:szCs w:val="20"/>
        </w:rPr>
        <w:t xml:space="preserve">Order Review screen: Risk Summary Card (full-width, accent border) shows: Strategy, Max Loss, Max Gain, Breakeven Price, Expiration, Days to Expiry</w:t>
      </w:r>
    </w:p>
    <w:p>
      <w:pPr>
        <w:pStyle w:val="ListParagraph"/>
        <w:numPr>
          <w:ilvl w:val="0"/>
          <w:numId w:val="3"/>
        </w:numPr>
        <w:spacing w:after="40" w:before="40"/>
      </w:pPr>
      <w:r>
        <w:rPr>
          <w:rFonts w:ascii="Arial" w:cs="Arial" w:eastAsia="Arial" w:hAnsi="Arial"/>
          <w:sz w:val="20"/>
          <w:szCs w:val="20"/>
        </w:rPr>
        <w:t xml:space="preserve">User taps "See Full Risk Analysis": Payoff Diagram expands (P&amp;L chart with breakeven line); can be collapsed</w:t>
      </w:r>
    </w:p>
    <w:p>
      <w:pPr>
        <w:pStyle w:val="ListParagraph"/>
        <w:numPr>
          <w:ilvl w:val="0"/>
          <w:numId w:val="3"/>
        </w:numPr>
        <w:spacing w:after="40" w:before="40"/>
      </w:pPr>
      <w:r>
        <w:rPr>
          <w:rFonts w:ascii="Arial" w:cs="Arial" w:eastAsia="Arial" w:hAnsi="Arial"/>
          <w:sz w:val="20"/>
          <w:szCs w:val="20"/>
        </w:rPr>
        <w:t xml:space="preserve">User confirms order: taps "Place Order" (green, full-width); haptic confirmation; Success screen with order details</w:t>
      </w:r>
    </w:p>
    <w:p>
      <w:pPr>
        <w:spacing w:after="80" w:before="80"/>
      </w:pPr>
      <w:r>
        <w:t xml:space="preserve"/>
      </w:r>
    </w:p>
    <w:p>
      <w:pPr>
        <w:pStyle w:val="Heading2"/>
        <w:spacing w:after="80" w:before="200"/>
      </w:pPr>
      <w:r>
        <w:rPr>
          <w:rFonts w:ascii="Arial" w:cs="Arial" w:eastAsia="Arial" w:hAnsi="Arial"/>
          <w:b/>
          <w:bCs/>
          <w:color w:val="333333"/>
          <w:sz w:val="26"/>
          <w:szCs w:val="26"/>
        </w:rPr>
        <w:t xml:space="preserve">5.1b Sub-flow: New Trader Risk Acknowledgment Gate (Under 6 Months)</w:t>
      </w:r>
    </w:p>
    <w:p>
      <w:pPr>
        <w:pStyle w:val="ListParagraph"/>
        <w:numPr>
          <w:ilvl w:val="0"/>
          <w:numId w:val="3"/>
        </w:numPr>
        <w:spacing w:after="40" w:before="40"/>
      </w:pPr>
      <w:r>
        <w:rPr>
          <w:rFonts w:ascii="Arial" w:cs="Arial" w:eastAsia="Arial" w:hAnsi="Arial"/>
          <w:sz w:val="20"/>
          <w:szCs w:val="20"/>
        </w:rPr>
        <w:t xml:space="preserve">Before Options Chain loads, Risk Education Gate screen appears</w:t>
      </w:r>
    </w:p>
    <w:p>
      <w:pPr>
        <w:pStyle w:val="ListParagraph"/>
        <w:numPr>
          <w:ilvl w:val="0"/>
          <w:numId w:val="3"/>
        </w:numPr>
        <w:spacing w:after="40" w:before="40"/>
      </w:pPr>
      <w:r>
        <w:rPr>
          <w:rFonts w:ascii="Arial" w:cs="Arial" w:eastAsia="Arial" w:hAnsi="Arial"/>
          <w:sz w:val="20"/>
          <w:szCs w:val="20"/>
        </w:rPr>
        <w:t xml:space="preserve">Screen shows 3-card carousel: "What options are", "Your maximum loss", "Before you continue"</w:t>
      </w:r>
    </w:p>
    <w:p>
      <w:pPr>
        <w:pStyle w:val="ListParagraph"/>
        <w:numPr>
          <w:ilvl w:val="0"/>
          <w:numId w:val="3"/>
        </w:numPr>
        <w:spacing w:after="40" w:before="40"/>
      </w:pPr>
      <w:r>
        <w:rPr>
          <w:rFonts w:ascii="Arial" w:cs="Arial" w:eastAsia="Arial" w:hAnsi="Arial"/>
          <w:sz w:val="20"/>
          <w:szCs w:val="20"/>
        </w:rPr>
        <w:t xml:space="preserve">User must swipe through all 3 cards; "I understand the risks" checkbox appears on card 3</w:t>
      </w:r>
    </w:p>
    <w:p>
      <w:pPr>
        <w:pStyle w:val="ListParagraph"/>
        <w:numPr>
          <w:ilvl w:val="0"/>
          <w:numId w:val="3"/>
        </w:numPr>
        <w:spacing w:after="40" w:before="40"/>
      </w:pPr>
      <w:r>
        <w:rPr>
          <w:rFonts w:ascii="Arial" w:cs="Arial" w:eastAsia="Arial" w:hAnsi="Arial"/>
          <w:sz w:val="20"/>
          <w:szCs w:val="20"/>
        </w:rPr>
        <w:t xml:space="preserve">Checkbox ticked: "Continue to Options Chain" button activates; gate dismissed for 30-day session</w:t>
      </w:r>
    </w:p>
    <w:p>
      <w:pPr>
        <w:spacing w:after="80" w:before="80"/>
      </w:pPr>
      <w:r>
        <w:t xml:space="preserve"/>
      </w:r>
    </w:p>
    <w:p>
      <w:pPr>
        <w:pStyle w:val="Heading2"/>
        <w:spacing w:after="80" w:before="200"/>
      </w:pPr>
      <w:r>
        <w:rPr>
          <w:rFonts w:ascii="Arial" w:cs="Arial" w:eastAsia="Arial" w:hAnsi="Arial"/>
          <w:b/>
          <w:bCs/>
          <w:color w:val="333333"/>
          <w:sz w:val="26"/>
          <w:szCs w:val="26"/>
        </w:rPr>
        <w:t xml:space="preserve">5.2 Flow State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State</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Screen</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User Action</w:t>
            </w:r>
          </w:p>
        </w:tc>
        <w:tc>
          <w:tcPr>
            <w:tcW w:type="dxa" w:w="2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System Response</w:t>
            </w:r>
          </w:p>
        </w:tc>
      </w:tr>
      <w:tr>
        <w:tc>
          <w:tcPr>
            <w:tcW w:type="dxa" w:w="18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Entry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 Detail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Trade &gt; Trade Options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gate (new traders) OR Options Chain (experienced)</w:t>
            </w:r>
          </w:p>
        </w:tc>
      </w:tr>
      <w:tr>
        <w:tc>
          <w:tcPr>
            <w:tcW w:type="dxa" w:w="18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Risk Gate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Education Gate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Swipe through 3 cards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3: checkbox appears; continue button activates</w:t>
            </w:r>
          </w:p>
        </w:tc>
      </w:tr>
      <w:tr>
        <w:tc>
          <w:tcPr>
            <w:tcW w:type="dxa" w:w="18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Chain 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Options Chain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Scroll, filter by expiry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Chain updates with filter; Greeks displayed inline</w:t>
            </w:r>
          </w:p>
        </w:tc>
      </w:tr>
      <w:tr>
        <w:tc>
          <w:tcPr>
            <w:tcW w:type="dxa" w:w="18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Contract Select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Options Chain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contract row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 Detail Card slides up; payoff snapshot shown</w:t>
            </w:r>
          </w:p>
        </w:tc>
      </w:tr>
      <w:tr>
        <w:tc>
          <w:tcPr>
            <w:tcW w:type="dxa" w:w="18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Order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Review Order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Summary Card shown; full analysis expandable</w:t>
            </w:r>
          </w:p>
        </w:tc>
      </w:tr>
      <w:tr>
        <w:tc>
          <w:tcPr>
            <w:tcW w:type="dxa" w:w="18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Confirm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Place Order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Haptic heavy; success screen; portfolio updates</w:t>
            </w:r>
          </w:p>
        </w:tc>
      </w:tr>
      <w:tr>
        <w:tc>
          <w:tcPr>
            <w:tcW w:type="dxa" w:w="18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Order Fail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 Order — rejected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card: reason (insufficient BP, market closed, etc.), retry action</w:t>
            </w:r>
          </w:p>
        </w:tc>
      </w:tr>
    </w:tbl>
    <w:p>
      <w:pPr>
        <w:spacing w:after="80" w:before="80"/>
      </w:pPr>
      <w:r>
        <w:t xml:space="preserve"/>
      </w:r>
    </w:p>
    <w:p>
      <w:pPr>
        <w:pStyle w:val="Heading1"/>
        <w:pBdr>
          <w:bottom w:val="single" w:color="00C805" w:sz="4"/>
        </w:pBdr>
        <w:spacing w:after="120" w:before="280"/>
      </w:pPr>
      <w:r>
        <w:rPr>
          <w:rFonts w:ascii="Arial" w:cs="Arial" w:eastAsia="Arial" w:hAnsi="Arial"/>
          <w:b/>
          <w:bCs/>
          <w:color w:val="009604"/>
          <w:sz w:val="32"/>
          <w:szCs w:val="32"/>
        </w:rPr>
        <w:t xml:space="preserve">6. Information Architecture</w:t>
      </w:r>
    </w:p>
    <w:p>
      <w:pPr>
        <w:pStyle w:val="ListParagraph"/>
        <w:numPr>
          <w:ilvl w:val="0"/>
          <w:numId w:val="2"/>
        </w:numPr>
        <w:spacing w:after="40" w:before="40"/>
      </w:pPr>
      <w:r>
        <w:rPr>
          <w:rFonts w:ascii="Arial" w:cs="Arial" w:eastAsia="Arial" w:hAnsi="Arial"/>
          <w:sz w:val="20"/>
          <w:szCs w:val="20"/>
        </w:rPr>
        <w:t xml:space="preserve">Stock Detail Page (existing)</w:t>
      </w:r>
    </w:p>
    <w:p>
      <w:pPr>
        <w:pStyle w:val="ListParagraph"/>
        <w:numPr>
          <w:ilvl w:val="0"/>
          <w:numId w:val="2"/>
        </w:numPr>
        <w:spacing w:after="40" w:before="40"/>
      </w:pPr>
      <w:r>
        <w:rPr>
          <w:rFonts w:ascii="Arial" w:cs="Arial" w:eastAsia="Arial" w:hAnsi="Arial"/>
          <w:sz w:val="20"/>
          <w:szCs w:val="20"/>
        </w:rPr>
        <w:t xml:space="preserve">   Trade Options CTA (new prominence — secondary to stock trade, NOT primary)</w:t>
      </w:r>
    </w:p>
    <w:p>
      <w:pPr>
        <w:pStyle w:val="ListParagraph"/>
        <w:numPr>
          <w:ilvl w:val="0"/>
          <w:numId w:val="2"/>
        </w:numPr>
        <w:spacing w:after="40" w:before="40"/>
      </w:pPr>
      <w:r>
        <w:rPr>
          <w:rFonts w:ascii="Arial" w:cs="Arial" w:eastAsia="Arial" w:hAnsi="Arial"/>
          <w:sz w:val="20"/>
          <w:szCs w:val="20"/>
        </w:rPr>
        <w:t xml:space="preserve">Options Chain Screen (redesigned)</w:t>
      </w:r>
    </w:p>
    <w:p>
      <w:pPr>
        <w:pStyle w:val="ListParagraph"/>
        <w:numPr>
          <w:ilvl w:val="0"/>
          <w:numId w:val="2"/>
        </w:numPr>
        <w:spacing w:after="40" w:before="40"/>
      </w:pPr>
      <w:r>
        <w:rPr>
          <w:rFonts w:ascii="Arial" w:cs="Arial" w:eastAsia="Arial" w:hAnsi="Arial"/>
          <w:sz w:val="20"/>
          <w:szCs w:val="20"/>
        </w:rPr>
        <w:t xml:space="preserve">   Expiry Date Tab Selector (horizontal scroll)</w:t>
      </w:r>
    </w:p>
    <w:p>
      <w:pPr>
        <w:pStyle w:val="ListParagraph"/>
        <w:numPr>
          <w:ilvl w:val="0"/>
          <w:numId w:val="2"/>
        </w:numPr>
        <w:spacing w:after="40" w:before="40"/>
      </w:pPr>
      <w:r>
        <w:rPr>
          <w:rFonts w:ascii="Arial" w:cs="Arial" w:eastAsia="Arial" w:hAnsi="Arial"/>
          <w:sz w:val="20"/>
          <w:szCs w:val="20"/>
        </w:rPr>
        <w:t xml:space="preserve">   Chain Type Toggle (Calls / Puts / Both)</w:t>
      </w:r>
    </w:p>
    <w:p>
      <w:pPr>
        <w:pStyle w:val="ListParagraph"/>
        <w:numPr>
          <w:ilvl w:val="0"/>
          <w:numId w:val="2"/>
        </w:numPr>
        <w:spacing w:after="40" w:before="40"/>
      </w:pPr>
      <w:r>
        <w:rPr>
          <w:rFonts w:ascii="Arial" w:cs="Arial" w:eastAsia="Arial" w:hAnsi="Arial"/>
          <w:sz w:val="20"/>
          <w:szCs w:val="20"/>
        </w:rPr>
        <w:t xml:space="preserve">   Column Set: Strike / Premium (Bid x Ask) / Delta / Volume / OI / IV</w:t>
      </w:r>
    </w:p>
    <w:p>
      <w:pPr>
        <w:pStyle w:val="ListParagraph"/>
        <w:numPr>
          <w:ilvl w:val="0"/>
          <w:numId w:val="2"/>
        </w:numPr>
        <w:spacing w:after="40" w:before="40"/>
      </w:pPr>
      <w:r>
        <w:rPr>
          <w:rFonts w:ascii="Arial" w:cs="Arial" w:eastAsia="Arial" w:hAnsi="Arial"/>
          <w:sz w:val="20"/>
          <w:szCs w:val="20"/>
        </w:rPr>
        <w:t xml:space="preserve">   Floating Greeks Legend (tap-to-expand definitions)</w:t>
      </w:r>
    </w:p>
    <w:p>
      <w:pPr>
        <w:pStyle w:val="ListParagraph"/>
        <w:numPr>
          <w:ilvl w:val="0"/>
          <w:numId w:val="2"/>
        </w:numPr>
        <w:spacing w:after="40" w:before="40"/>
      </w:pPr>
      <w:r>
        <w:rPr>
          <w:rFonts w:ascii="Arial" w:cs="Arial" w:eastAsia="Arial" w:hAnsi="Arial"/>
          <w:sz w:val="20"/>
          <w:szCs w:val="20"/>
        </w:rPr>
        <w:t xml:space="preserve">Option Detail Card (Bottom Sheet)</w:t>
      </w:r>
    </w:p>
    <w:p>
      <w:pPr>
        <w:pStyle w:val="ListParagraph"/>
        <w:numPr>
          <w:ilvl w:val="0"/>
          <w:numId w:val="2"/>
        </w:numPr>
        <w:spacing w:after="40" w:before="40"/>
      </w:pPr>
      <w:r>
        <w:rPr>
          <w:rFonts w:ascii="Arial" w:cs="Arial" w:eastAsia="Arial" w:hAnsi="Arial"/>
          <w:sz w:val="20"/>
          <w:szCs w:val="20"/>
        </w:rPr>
        <w:t xml:space="preserve">   Contract Header (symbol, type, strike, expiry)</w:t>
      </w:r>
    </w:p>
    <w:p>
      <w:pPr>
        <w:pStyle w:val="ListParagraph"/>
        <w:numPr>
          <w:ilvl w:val="0"/>
          <w:numId w:val="2"/>
        </w:numPr>
        <w:spacing w:after="40" w:before="40"/>
      </w:pPr>
      <w:r>
        <w:rPr>
          <w:rFonts w:ascii="Arial" w:cs="Arial" w:eastAsia="Arial" w:hAnsi="Arial"/>
          <w:sz w:val="20"/>
          <w:szCs w:val="20"/>
        </w:rPr>
        <w:t xml:space="preserve">   Risk Summary Snapshot (Max Loss, Max Gain, Breakeven)</w:t>
      </w:r>
    </w:p>
    <w:p>
      <w:pPr>
        <w:pStyle w:val="ListParagraph"/>
        <w:numPr>
          <w:ilvl w:val="0"/>
          <w:numId w:val="2"/>
        </w:numPr>
        <w:spacing w:after="40" w:before="40"/>
      </w:pPr>
      <w:r>
        <w:rPr>
          <w:rFonts w:ascii="Arial" w:cs="Arial" w:eastAsia="Arial" w:hAnsi="Arial"/>
          <w:sz w:val="20"/>
          <w:szCs w:val="20"/>
        </w:rPr>
        <w:t xml:space="preserve">   Greeks Row (Delta, Theta, IV, Gamma — all with tap-to-define)</w:t>
      </w:r>
    </w:p>
    <w:p>
      <w:pPr>
        <w:pStyle w:val="ListParagraph"/>
        <w:numPr>
          <w:ilvl w:val="0"/>
          <w:numId w:val="2"/>
        </w:numPr>
        <w:spacing w:after="40" w:before="40"/>
      </w:pPr>
      <w:r>
        <w:rPr>
          <w:rFonts w:ascii="Arial" w:cs="Arial" w:eastAsia="Arial" w:hAnsi="Arial"/>
          <w:sz w:val="20"/>
          <w:szCs w:val="20"/>
        </w:rPr>
        <w:t xml:space="preserve">   Quick Payoff Chart (simplified; full chart on Order Review)</w:t>
      </w:r>
    </w:p>
    <w:p>
      <w:pPr>
        <w:pStyle w:val="ListParagraph"/>
        <w:numPr>
          <w:ilvl w:val="0"/>
          <w:numId w:val="2"/>
        </w:numPr>
        <w:spacing w:after="40" w:before="40"/>
      </w:pPr>
      <w:r>
        <w:rPr>
          <w:rFonts w:ascii="Arial" w:cs="Arial" w:eastAsia="Arial" w:hAnsi="Arial"/>
          <w:sz w:val="20"/>
          <w:szCs w:val="20"/>
        </w:rPr>
        <w:t xml:space="preserve">Order Review Screen</w:t>
      </w:r>
    </w:p>
    <w:p>
      <w:pPr>
        <w:pStyle w:val="ListParagraph"/>
        <w:numPr>
          <w:ilvl w:val="0"/>
          <w:numId w:val="2"/>
        </w:numPr>
        <w:spacing w:after="40" w:before="40"/>
      </w:pPr>
      <w:r>
        <w:rPr>
          <w:rFonts w:ascii="Arial" w:cs="Arial" w:eastAsia="Arial" w:hAnsi="Arial"/>
          <w:sz w:val="20"/>
          <w:szCs w:val="20"/>
        </w:rPr>
        <w:t xml:space="preserve">   Order Summary (strategy, contract, quantity, total premium)</w:t>
      </w:r>
    </w:p>
    <w:p>
      <w:pPr>
        <w:pStyle w:val="ListParagraph"/>
        <w:numPr>
          <w:ilvl w:val="0"/>
          <w:numId w:val="2"/>
        </w:numPr>
        <w:spacing w:after="40" w:before="40"/>
      </w:pPr>
      <w:r>
        <w:rPr>
          <w:rFonts w:ascii="Arial" w:cs="Arial" w:eastAsia="Arial" w:hAnsi="Arial"/>
          <w:sz w:val="20"/>
          <w:szCs w:val="20"/>
        </w:rPr>
        <w:t xml:space="preserve">   Risk Summary Card (prominent, accent-bordered)</w:t>
      </w:r>
    </w:p>
    <w:p>
      <w:pPr>
        <w:pStyle w:val="ListParagraph"/>
        <w:numPr>
          <w:ilvl w:val="0"/>
          <w:numId w:val="2"/>
        </w:numPr>
        <w:spacing w:after="40" w:before="40"/>
      </w:pPr>
      <w:r>
        <w:rPr>
          <w:rFonts w:ascii="Arial" w:cs="Arial" w:eastAsia="Arial" w:hAnsi="Arial"/>
          <w:sz w:val="20"/>
          <w:szCs w:val="20"/>
        </w:rPr>
        <w:t xml:space="preserve">   Full Risk Analysis Expandable (Payoff diagram, probability of profit, scenario table)</w:t>
      </w:r>
    </w:p>
    <w:p>
      <w:pPr>
        <w:pStyle w:val="ListParagraph"/>
        <w:numPr>
          <w:ilvl w:val="0"/>
          <w:numId w:val="2"/>
        </w:numPr>
        <w:spacing w:after="40" w:before="40"/>
      </w:pPr>
      <w:r>
        <w:rPr>
          <w:rFonts w:ascii="Arial" w:cs="Arial" w:eastAsia="Arial" w:hAnsi="Arial"/>
          <w:sz w:val="20"/>
          <w:szCs w:val="20"/>
        </w:rPr>
        <w:t xml:space="preserve">   Place Order CTA</w:t>
      </w:r>
    </w:p>
    <w:p>
      <w:pPr>
        <w:spacing w:after="80" w:before="80"/>
      </w:pPr>
      <w:r>
        <w:t xml:space="preserve"/>
      </w:r>
    </w:p>
    <w:p>
      <w:r>
        <w:br w:type="page"/>
      </w:r>
    </w:p>
    <w:p>
      <w:pPr>
        <w:pStyle w:val="Heading1"/>
        <w:pBdr>
          <w:bottom w:val="single" w:color="00C805" w:sz="4"/>
        </w:pBdr>
        <w:spacing w:after="120" w:before="280"/>
      </w:pPr>
      <w:r>
        <w:rPr>
          <w:rFonts w:ascii="Arial" w:cs="Arial" w:eastAsia="Arial" w:hAnsi="Arial"/>
          <w:b/>
          <w:bCs/>
          <w:color w:val="009604"/>
          <w:sz w:val="32"/>
          <w:szCs w:val="32"/>
        </w:rPr>
        <w:t xml:space="preserve">7. Screen-by-Screen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760"/>
        <w:gridCol w:w="3600"/>
      </w:tblGrid>
      <w:tr>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Screen</w:t>
            </w:r>
          </w:p>
        </w:tc>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Purpose</w:t>
            </w:r>
          </w:p>
        </w:tc>
        <w:tc>
          <w:tcPr>
            <w:tcW w:type="dxa" w:w="2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Key Elements</w:t>
            </w:r>
          </w:p>
        </w:tc>
        <w:tc>
          <w:tcPr>
            <w:tcW w:type="dxa" w:w="3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Interactions &amp; Behavior</w:t>
            </w:r>
          </w:p>
        </w:tc>
      </w:tr>
      <w:tr>
        <w:tc>
          <w:tcPr>
            <w:tcW w:type="dxa" w:w="16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Options Chain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selection surface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Expiry tabs (horizontal scroll, 6 nearest expiries default); Calls/Puts toggle; Chain table (Strike, Bid, Ask, Delta, IV, Volume); ATM row highlighted; OTM rows muted 60% opacity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Expiry tab: tap to load chain for that date. Toggle: Calls shows only calls column; Both shows symmetric chain. Row tap: opens Option Detail Card (bottom sheet, 50% height). Long press: show contract info tooltip. Pinch zoom on chain: not supported — fixed font size for readability.</w:t>
            </w:r>
          </w:p>
        </w:tc>
      </w:tr>
      <w:tr>
        <w:tc>
          <w:tcPr>
            <w:tcW w:type="dxa" w:w="16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Option Detail Card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review pre-order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header (bolded strike, expiry, type badge), Risk Snapshot (Max Loss in red if undefined/uncapped, Max Gain in green or "Unlimited" for long calls), Greeks row (4 chips with value and tap-to-define), Mini payoff chart (150px height), Buy / Sell toggle, Quantity stepper, Review Order CTA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expands to 75% height on scroll. Max Loss "Unlimited" language replaced with "Your loss is not capped" with explanation — per Legal requirement. Greeks chip tap: inline tooltip with plain-language definition. Mini chart: interactive hover/touch shows P&amp;L at price. Review Order: validates quantity against buying power; shows inline error if insufficient.</w:t>
            </w:r>
          </w:p>
        </w:tc>
      </w:tr>
      <w:tr>
        <w:tc>
          <w:tcPr>
            <w:tcW w:type="dxa" w:w="16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Risk Summary Card (Order Review)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Prominent risk context at order gate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Full-width card; left border 4px accent green (or red for uncapped loss); rows: Strategy (e.g., "Long Call"), Max Loss (dollar amount or "Uncapped — see analysis"), Max Gain (dollar or "Unlimited"), Breakeven ($XX.XX), Days to Expiry (N days), Probability of Profit (% from model)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is non-dismissible and always visible on Order Review. "See Full Risk Analysis" link below card expands Payoff Diagram and Scenario Table. For uncapped-loss strategies: left border is red (#EF4444), Max Loss row text is red bold, mandatory visual callout box above card: "This strategy has unlimited loss potential."</w:t>
            </w:r>
          </w:p>
        </w:tc>
      </w:tr>
      <w:tr>
        <w:tc>
          <w:tcPr>
            <w:tcW w:type="dxa" w:w="16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Full Risk Analysis (Expandable)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Payoff visualization for informed consent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Payoff diagram (P&amp;L vs. stock price at expiry): x-axis stock price, y-axis P&amp;L in dollars; breakeven vertical dashed line; current stock price marker; profit zone shaded green, loss zone shaded red. Scenario Table: 5 price scenarios (stock -30%, -15%, flat, +15%, +30%) with estimated option P&amp;L per scenario.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Payoff chart: touch/drag on chart shows exact P&amp;L at touched price. Scenario Table rows: color coded (red for loss, green for profit). Chart renders client-side from options pricing model inputs (Black-Scholes approximation).</w:t>
            </w:r>
          </w:p>
        </w:tc>
      </w:tr>
      <w:tr>
        <w:tc>
          <w:tcPr>
            <w:tcW w:type="dxa" w:w="16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Risk Education Gate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trader risk education (mandatory)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Full-screen card carousel; Card 1: "What is an options contract?" with illustrated diagram; Card 2: "Understanding your maximum loss" with example in plain dollars; Card 3: "Before you continue" checklist + checkbox; Progress dots at bottom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Carousel: swipe or tap arrow to advance. Back navigation: swipe right or tap back arrow. Forward skip: NOT allowed — user must reach Card 3. Checkbox: must be tapped before CTA activates. Gate expires: 30 days (re-shown at 30 days or if user loses options access).</w:t>
            </w:r>
          </w:p>
        </w:tc>
      </w:tr>
    </w:tbl>
    <w:p>
      <w:pPr>
        <w:spacing w:after="80" w:before="80"/>
      </w:pPr>
      <w:r>
        <w:t xml:space="preserve"/>
      </w:r>
    </w:p>
    <w:p>
      <w:pPr>
        <w:pStyle w:val="Heading1"/>
        <w:pBdr>
          <w:bottom w:val="single" w:color="00C805" w:sz="4"/>
        </w:pBdr>
        <w:spacing w:after="120" w:before="280"/>
      </w:pPr>
      <w:r>
        <w:rPr>
          <w:rFonts w:ascii="Arial" w:cs="Arial" w:eastAsia="Arial" w:hAnsi="Arial"/>
          <w:b/>
          <w:bCs/>
          <w:color w:val="009604"/>
          <w:sz w:val="32"/>
          <w:szCs w:val="32"/>
        </w:rPr>
        <w:t xml:space="preserve">8. Design System / Visual Spec</w:t>
      </w:r>
    </w:p>
    <w:p>
      <w:pPr>
        <w:pStyle w:val="Heading2"/>
        <w:spacing w:after="80" w:before="200"/>
      </w:pPr>
      <w:r>
        <w:rPr>
          <w:rFonts w:ascii="Arial" w:cs="Arial" w:eastAsia="Arial" w:hAnsi="Arial"/>
          <w:b/>
          <w:bCs/>
          <w:color w:val="333333"/>
          <w:sz w:val="26"/>
          <w:szCs w:val="26"/>
        </w:rPr>
        <w:t xml:space="preserve">8.1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960"/>
        <w:gridCol w:w="3200"/>
      </w:tblGrid>
      <w:tr>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Token Name</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Hex</w:t>
            </w:r>
          </w:p>
        </w:tc>
        <w:tc>
          <w:tcPr>
            <w:tcW w:type="dxa" w:w="1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Role</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Usage</w:t>
            </w:r>
          </w:p>
        </w:tc>
      </w:tr>
      <w:tr>
        <w:tc>
          <w:tcPr>
            <w:tcW w:type="dxa" w:w="26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--rh-brand-green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#00C805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 profit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CTAs, positive P&amp;L, profit zone on payoff chart</w:t>
            </w:r>
          </w:p>
        </w:tc>
      </w:tr>
      <w:tr>
        <w:tc>
          <w:tcPr>
            <w:tcW w:type="dxa" w:w="26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--rh-brand-green-dark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#009604</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CTA pressed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 Order button pressed state</w:t>
            </w:r>
          </w:p>
        </w:tc>
      </w:tr>
      <w:tr>
        <w:tc>
          <w:tcPr>
            <w:tcW w:type="dxa" w:w="26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--rh-risk-red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#EF4444</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Loss / risk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Loss zone payoff chart, Max Loss value (uncapped), risk callout border</w:t>
            </w:r>
          </w:p>
        </w:tc>
      </w:tr>
      <w:tr>
        <w:tc>
          <w:tcPr>
            <w:tcW w:type="dxa" w:w="26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--rh-surface-dark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#0A0A0A</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background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screen backgrounds (dark mode standard)</w:t>
            </w:r>
          </w:p>
        </w:tc>
      </w:tr>
      <w:tr>
        <w:tc>
          <w:tcPr>
            <w:tcW w:type="dxa" w:w="26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--rh-surface-card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#1A1A1A</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Cards / sheets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 Detail Card, Risk Summary Card, Order Review sections</w:t>
            </w:r>
          </w:p>
        </w:tc>
      </w:tr>
      <w:tr>
        <w:tc>
          <w:tcPr>
            <w:tcW w:type="dxa" w:w="26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--rh-text-primary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Strike price, order amounts, key figures</w:t>
            </w:r>
          </w:p>
        </w:tc>
      </w:tr>
      <w:tr>
        <w:tc>
          <w:tcPr>
            <w:tcW w:type="dxa" w:w="26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--rh-text-secondary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#9CA3AF</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Greek labels, column headers, metadata</w:t>
            </w:r>
          </w:p>
        </w:tc>
      </w:tr>
      <w:tr>
        <w:tc>
          <w:tcPr>
            <w:tcW w:type="dxa" w:w="26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--rh-callout-amber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#F59E0B</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warning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 risk callout banner for uncapped-loss strategies</w:t>
            </w:r>
          </w:p>
        </w:tc>
      </w:tr>
    </w:tbl>
    <w:p>
      <w:pPr>
        <w:spacing w:after="80" w:before="80"/>
      </w:pPr>
      <w:r>
        <w:t xml:space="preserve"/>
      </w:r>
    </w:p>
    <w:p>
      <w:pPr>
        <w:pStyle w:val="Heading2"/>
        <w:spacing w:after="80" w:before="200"/>
      </w:pPr>
      <w:r>
        <w:rPr>
          <w:rFonts w:ascii="Arial" w:cs="Arial" w:eastAsia="Arial" w:hAnsi="Arial"/>
          <w:b/>
          <w:bCs/>
          <w:color w:val="333333"/>
          <w:sz w:val="26"/>
          <w:szCs w:val="26"/>
        </w:rPr>
        <w:t xml:space="preserve">8.2 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1400"/>
        <w:gridCol w:w="25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Role</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Font</w:t>
            </w:r>
          </w:p>
        </w:tc>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Size</w:t>
            </w:r>
          </w:p>
        </w:tc>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Weight</w:t>
            </w:r>
          </w:p>
        </w:tc>
        <w:tc>
          <w:tcPr>
            <w:tcW w:type="dxa" w:w="2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Max Loss / Max Gain Values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SF Pro Display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Bold 700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Summary Card primary figures</w:t>
            </w:r>
          </w:p>
        </w:tc>
      </w:tr>
      <w:tr>
        <w:tc>
          <w:tcPr>
            <w:tcW w:type="dxa" w:w="24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Risk Card Labels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SF Pro 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400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 labels: Max Loss, Breakeven, etc.</w:t>
            </w:r>
          </w:p>
        </w:tc>
      </w:tr>
      <w:tr>
        <w:tc>
          <w:tcPr>
            <w:tcW w:type="dxa" w:w="24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Strike Price (Chain)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SF Pro Display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Semibold 600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Strike price column in Options Chain</w:t>
            </w:r>
          </w:p>
        </w:tc>
      </w:tr>
      <w:tr>
        <w:tc>
          <w:tcPr>
            <w:tcW w:type="dxa" w:w="24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Greeks Values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SF Pro Mono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400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Delta, Theta, IV values (monospace for alignment)</w:t>
            </w:r>
          </w:p>
        </w:tc>
      </w:tr>
      <w:tr>
        <w:tc>
          <w:tcPr>
            <w:tcW w:type="dxa" w:w="24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Chart Axis Labels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SF Pro 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400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Payoff diagram price and P&amp;L axis</w:t>
            </w:r>
          </w:p>
        </w:tc>
      </w:tr>
    </w:tbl>
    <w:p>
      <w:pPr>
        <w:spacing w:after="80" w:before="80"/>
      </w:pPr>
      <w:r>
        <w:t xml:space="preserve"/>
      </w:r>
    </w:p>
    <w:p>
      <w:pPr>
        <w:pStyle w:val="Heading2"/>
        <w:spacing w:after="80" w:before="200"/>
      </w:pPr>
      <w:r>
        <w:rPr>
          <w:rFonts w:ascii="Arial" w:cs="Arial" w:eastAsia="Arial" w:hAnsi="Arial"/>
          <w:b/>
          <w:bCs/>
          <w:color w:val="333333"/>
          <w:sz w:val="26"/>
          <w:szCs w:val="26"/>
        </w:rPr>
        <w:t xml:space="preserve">8.3 Spacing, Radius &amp; Elevation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Token</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Value</w:t>
            </w:r>
          </w:p>
        </w:tc>
        <w:tc>
          <w:tcPr>
            <w:tcW w:type="dxa" w:w="4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--rh-row-height-chain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48pt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Options Chain table row height (touch-friendly minimum)</w:t>
            </w:r>
          </w:p>
        </w:tc>
      </w:tr>
      <w:tr>
        <w:tc>
          <w:tcPr>
            <w:tcW w:type="dxa" w:w="24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--rh-card-radius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12pt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Summary Card, Option Detail Card</w:t>
            </w:r>
          </w:p>
        </w:tc>
      </w:tr>
      <w:tr>
        <w:tc>
          <w:tcPr>
            <w:tcW w:type="dxa" w:w="24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--rh-risk-border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4pt left border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Summary Card left accent border (green/red based on risk profile)</w:t>
            </w:r>
          </w:p>
        </w:tc>
      </w:tr>
      <w:tr>
        <w:tc>
          <w:tcPr>
            <w:tcW w:type="dxa" w:w="24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--rh-chart-height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180pt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Payoff diagram chart height on Order Review screen</w:t>
            </w:r>
          </w:p>
        </w:tc>
      </w:tr>
      <w:tr>
        <w:tc>
          <w:tcPr>
            <w:tcW w:type="dxa" w:w="24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--rh-sheet-radius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20pt top corners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 Detail Card and full-screen bottom sheets</w:t>
            </w:r>
          </w:p>
        </w:tc>
      </w:tr>
      <w:tr>
        <w:tc>
          <w:tcPr>
            <w:tcW w:type="dxa" w:w="24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--rh-callout-pad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12pt all sides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padding of compliance callout banner</w:t>
            </w:r>
          </w:p>
        </w:tc>
      </w:tr>
    </w:tbl>
    <w:p>
      <w:pPr>
        <w:spacing w:after="80" w:before="80"/>
      </w:pPr>
      <w:r>
        <w:t xml:space="preserve"/>
      </w:r>
    </w:p>
    <w:p>
      <w:r>
        <w:br w:type="page"/>
      </w:r>
    </w:p>
    <w:p>
      <w:pPr>
        <w:pStyle w:val="Heading1"/>
        <w:pBdr>
          <w:bottom w:val="single" w:color="00C805" w:sz="4"/>
        </w:pBdr>
        <w:spacing w:after="120" w:before="280"/>
      </w:pPr>
      <w:r>
        <w:rPr>
          <w:rFonts w:ascii="Arial" w:cs="Arial" w:eastAsia="Arial" w:hAnsi="Arial"/>
          <w:b/>
          <w:bCs/>
          <w:color w:val="009604"/>
          <w:sz w:val="32"/>
          <w:szCs w:val="32"/>
        </w:rPr>
        <w:t xml:space="preserve">9. Component &amp; Interaction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200"/>
        <w:gridCol w:w="1200"/>
        <w:gridCol w:w="1200"/>
        <w:gridCol w:w="1460"/>
        <w:gridCol w:w="1400"/>
      </w:tblGrid>
      <w:tr>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Component</w:t>
            </w:r>
          </w:p>
        </w:tc>
        <w:tc>
          <w:tcPr>
            <w:tcW w:type="dxa" w:w="13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Default</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Hover</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Active/Pressed</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Disabled</w:t>
            </w:r>
          </w:p>
        </w:tc>
        <w:tc>
          <w:tcPr>
            <w:tcW w:type="dxa" w:w="14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Error</w:t>
            </w:r>
          </w:p>
        </w:tc>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Loading</w:t>
            </w:r>
          </w:p>
        </w:tc>
      </w:tr>
      <w:tr>
        <w:tc>
          <w:tcPr>
            <w:tcW w:type="dxa" w:w="16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Options Chain Row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row, monospace figures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 bg #FFFFFF 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Detail Card, scale 0.99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Grayed: market closed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Shimmer row</w:t>
            </w:r>
          </w:p>
        </w:tc>
      </w:tr>
      <w:tr>
        <w:tc>
          <w:tcPr>
            <w:tcW w:type="dxa" w:w="16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Place Order Button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#00C805, white text, full-width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Darken 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0.98; haptic heavy; upload starts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Gray #374151; no tap</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Shake animation; inline error below button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"Placing..." text; progress bar overlay</w:t>
            </w:r>
          </w:p>
        </w:tc>
      </w:tr>
      <w:tr>
        <w:tc>
          <w:tcPr>
            <w:tcW w:type="dxa" w:w="16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Greek Chip</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pill, label + value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 highlight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Tooltip opens with plain-language definition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Skeleton chip</w:t>
            </w:r>
          </w:p>
        </w:tc>
      </w:tr>
      <w:tr>
        <w:tc>
          <w:tcPr>
            <w:tcW w:type="dxa" w:w="16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Risk Card (Uncapped Loss)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left border, warning callout above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(non-interactive)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 always visible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16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Education Gate Checkbox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Unchecked, gray border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 highlight #00C805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Checked; green fill; CTA activates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bl>
    <w:p>
      <w:pPr>
        <w:spacing w:after="80" w:before="80"/>
      </w:pPr>
      <w:r>
        <w:t xml:space="preserve"/>
      </w:r>
    </w:p>
    <w:p>
      <w:pPr>
        <w:pStyle w:val="Heading1"/>
        <w:pBdr>
          <w:bottom w:val="single" w:color="00C805" w:sz="4"/>
        </w:pBdr>
        <w:spacing w:after="120" w:before="280"/>
      </w:pPr>
      <w:r>
        <w:rPr>
          <w:rFonts w:ascii="Arial" w:cs="Arial" w:eastAsia="Arial" w:hAnsi="Arial"/>
          <w:b/>
          <w:bCs/>
          <w:color w:val="009604"/>
          <w:sz w:val="32"/>
          <w:szCs w:val="32"/>
        </w:rPr>
        <w:t xml:space="preserve">10. Accessibility Considerations</w:t>
      </w:r>
    </w:p>
    <w:p>
      <w:pPr>
        <w:pStyle w:val="ListParagraph"/>
        <w:numPr>
          <w:ilvl w:val="0"/>
          <w:numId w:val="2"/>
        </w:numPr>
        <w:spacing w:after="40" w:before="40"/>
      </w:pPr>
      <w:r>
        <w:rPr>
          <w:rFonts w:ascii="Arial" w:cs="Arial" w:eastAsia="Arial" w:hAnsi="Arial"/>
          <w:sz w:val="20"/>
          <w:szCs w:val="20"/>
        </w:rPr>
        <w:t xml:space="preserve">Contrast: All figures in Risk Summary Card use minimum 18pt bold text meeting WCAG large text standard. #00C805 green on #1A1A1A card background = 5.3:1 (AA compliant). Red (#EF4444) loss values on #1A1A1A = 4.8:1.</w:t>
      </w:r>
    </w:p>
    <w:p>
      <w:pPr>
        <w:pStyle w:val="ListParagraph"/>
        <w:numPr>
          <w:ilvl w:val="0"/>
          <w:numId w:val="2"/>
        </w:numPr>
        <w:spacing w:after="40" w:before="40"/>
      </w:pPr>
      <w:r>
        <w:rPr>
          <w:rFonts w:ascii="Arial" w:cs="Arial" w:eastAsia="Arial" w:hAnsi="Arial"/>
          <w:sz w:val="20"/>
          <w:szCs w:val="20"/>
        </w:rPr>
        <w:t xml:space="preserve">Greeks Tooltips: Plain-language tooltips are accessible via screen reader. VoiceOver/TalkBack announces tooltip on double-tap. Tooltip can be closed with Esc or swipe-dismiss gesture.</w:t>
      </w:r>
    </w:p>
    <w:p>
      <w:pPr>
        <w:pStyle w:val="ListParagraph"/>
        <w:numPr>
          <w:ilvl w:val="0"/>
          <w:numId w:val="2"/>
        </w:numPr>
        <w:spacing w:after="40" w:before="40"/>
      </w:pPr>
      <w:r>
        <w:rPr>
          <w:rFonts w:ascii="Arial" w:cs="Arial" w:eastAsia="Arial" w:hAnsi="Arial"/>
          <w:sz w:val="20"/>
          <w:szCs w:val="20"/>
        </w:rPr>
        <w:t xml:space="preserve">Touch Targets: Options Chain rows are minimum 48pt height on iOS. Place Order button is full-width and 52pt height. Quantity stepper buttons are minimum 44x44pt.</w:t>
      </w:r>
    </w:p>
    <w:p>
      <w:pPr>
        <w:pStyle w:val="ListParagraph"/>
        <w:numPr>
          <w:ilvl w:val="0"/>
          <w:numId w:val="2"/>
        </w:numPr>
        <w:spacing w:after="40" w:before="40"/>
      </w:pPr>
      <w:r>
        <w:rPr>
          <w:rFonts w:ascii="Arial" w:cs="Arial" w:eastAsia="Arial" w:hAnsi="Arial"/>
          <w:sz w:val="20"/>
          <w:szCs w:val="20"/>
        </w:rPr>
        <w:t xml:space="preserve">Risk Callout Accessibility: The mandatory risk callout banner ("This strategy has unlimited loss potential") uses role="alert" in semantic HTML / UIAccessibilityNotification on iOS — immediately announced by screen reader when rendered.</w:t>
      </w:r>
    </w:p>
    <w:p>
      <w:pPr>
        <w:pStyle w:val="ListParagraph"/>
        <w:numPr>
          <w:ilvl w:val="0"/>
          <w:numId w:val="2"/>
        </w:numPr>
        <w:spacing w:after="40" w:before="40"/>
      </w:pPr>
      <w:r>
        <w:rPr>
          <w:rFonts w:ascii="Arial" w:cs="Arial" w:eastAsia="Arial" w:hAnsi="Arial"/>
          <w:sz w:val="20"/>
          <w:szCs w:val="20"/>
        </w:rPr>
        <w:t xml:space="preserve">Color Independence: Loss and profit zones on the Payoff Diagram use both color (red/green) and pattern fill (diagonal hash for loss zone) to communicate for colorblind users. This applies to all users, not opt-in.</w:t>
      </w:r>
    </w:p>
    <w:p>
      <w:pPr>
        <w:pStyle w:val="ListParagraph"/>
        <w:numPr>
          <w:ilvl w:val="0"/>
          <w:numId w:val="2"/>
        </w:numPr>
        <w:spacing w:after="40" w:before="40"/>
      </w:pPr>
      <w:r>
        <w:rPr>
          <w:rFonts w:ascii="Arial" w:cs="Arial" w:eastAsia="Arial" w:hAnsi="Arial"/>
          <w:sz w:val="20"/>
          <w:szCs w:val="20"/>
        </w:rPr>
        <w:t xml:space="preserve">Education Gate: Card carousel must be fully navigable via VoiceOver swipe. All card content is read as a complete text block, not as individual elements. Page indicator dots carry aria-label "Card N of 3."</w:t>
      </w:r>
    </w:p>
    <w:p>
      <w:pPr>
        <w:pStyle w:val="ListParagraph"/>
        <w:numPr>
          <w:ilvl w:val="0"/>
          <w:numId w:val="2"/>
        </w:numPr>
        <w:spacing w:after="40" w:before="40"/>
      </w:pPr>
      <w:r>
        <w:rPr>
          <w:rFonts w:ascii="Arial" w:cs="Arial" w:eastAsia="Arial" w:hAnsi="Arial"/>
          <w:sz w:val="20"/>
          <w:szCs w:val="20"/>
        </w:rPr>
        <w:t xml:space="preserve">Dynamic Type: All text scales with system Dynamic Type settings. Risk Summary Card values at maximum Dynamic Type size must not truncate — layout adjusts to multi-line where needed.</w:t>
      </w:r>
    </w:p>
    <w:p>
      <w:pPr>
        <w:spacing w:after="80" w:before="80"/>
      </w:pPr>
      <w:r>
        <w:t xml:space="preserve"/>
      </w:r>
    </w:p>
    <w:p>
      <w:pPr>
        <w:pStyle w:val="Heading1"/>
        <w:pBdr>
          <w:bottom w:val="single" w:color="00C805" w:sz="4"/>
        </w:pBdr>
        <w:spacing w:after="120" w:before="280"/>
      </w:pPr>
      <w:r>
        <w:rPr>
          <w:rFonts w:ascii="Arial" w:cs="Arial" w:eastAsia="Arial" w:hAnsi="Arial"/>
          <w:b/>
          <w:bCs/>
          <w:color w:val="009604"/>
          <w:sz w:val="32"/>
          <w:szCs w:val="32"/>
        </w:rPr>
        <w:t xml:space="preserve">11. Edge Cases &amp; Error States</w:t>
      </w:r>
    </w:p>
    <w:p>
      <w:pPr>
        <w:pStyle w:val="ListParagraph"/>
        <w:numPr>
          <w:ilvl w:val="0"/>
          <w:numId w:val="2"/>
        </w:numPr>
        <w:spacing w:after="40" w:before="40"/>
      </w:pPr>
      <w:r>
        <w:rPr>
          <w:rFonts w:ascii="Arial" w:cs="Arial" w:eastAsia="Arial" w:hAnsi="Arial"/>
          <w:sz w:val="20"/>
          <w:szCs w:val="20"/>
        </w:rPr>
        <w:t xml:space="preserve">Market Closed: Options Chain loads in read-only mode. All rows are grayed, no "Review Order" path. Banner: "Options markets are closed. Opens [next market open time, user timezone]."</w:t>
      </w:r>
    </w:p>
    <w:p>
      <w:pPr>
        <w:pStyle w:val="ListParagraph"/>
        <w:numPr>
          <w:ilvl w:val="0"/>
          <w:numId w:val="2"/>
        </w:numPr>
        <w:spacing w:after="40" w:before="40"/>
      </w:pPr>
      <w:r>
        <w:rPr>
          <w:rFonts w:ascii="Arial" w:cs="Arial" w:eastAsia="Arial" w:hAnsi="Arial"/>
          <w:sz w:val="20"/>
          <w:szCs w:val="20"/>
        </w:rPr>
        <w:t xml:space="preserve">Insufficient Buying Power: "Review Order" tapped with insufficient BP: inline error below quantity stepper: "Insufficient buying power. Adjust quantity or deposit funds." Place Order button disabled.</w:t>
      </w:r>
    </w:p>
    <w:p>
      <w:pPr>
        <w:pStyle w:val="ListParagraph"/>
        <w:numPr>
          <w:ilvl w:val="0"/>
          <w:numId w:val="2"/>
        </w:numPr>
        <w:spacing w:after="40" w:before="40"/>
      </w:pPr>
      <w:r>
        <w:rPr>
          <w:rFonts w:ascii="Arial" w:cs="Arial" w:eastAsia="Arial" w:hAnsi="Arial"/>
          <w:sz w:val="20"/>
          <w:szCs w:val="20"/>
        </w:rPr>
        <w:t xml:space="preserve">Options Approval Expired / Revoked: If user's options access is revoked between sessions, all options CTAs show "Options access required" with link to re-apply flow.</w:t>
      </w:r>
    </w:p>
    <w:p>
      <w:pPr>
        <w:pStyle w:val="ListParagraph"/>
        <w:numPr>
          <w:ilvl w:val="0"/>
          <w:numId w:val="2"/>
        </w:numPr>
        <w:spacing w:after="40" w:before="40"/>
      </w:pPr>
      <w:r>
        <w:rPr>
          <w:rFonts w:ascii="Arial" w:cs="Arial" w:eastAsia="Arial" w:hAnsi="Arial"/>
          <w:sz w:val="20"/>
          <w:szCs w:val="20"/>
        </w:rPr>
        <w:t xml:space="preserve">Very Deep OTM Contract (Delta &lt; 0.02): A soft warning appears on the Option Detail Card: "Deep out-of-the-money options have low probability of profit. Most expire worthless." — cannot be dismissed; not a blocker.</w:t>
      </w:r>
    </w:p>
    <w:p>
      <w:pPr>
        <w:pStyle w:val="ListParagraph"/>
        <w:numPr>
          <w:ilvl w:val="0"/>
          <w:numId w:val="2"/>
        </w:numPr>
        <w:spacing w:after="40" w:before="40"/>
      </w:pPr>
      <w:r>
        <w:rPr>
          <w:rFonts w:ascii="Arial" w:cs="Arial" w:eastAsia="Arial" w:hAnsi="Arial"/>
          <w:sz w:val="20"/>
          <w:szCs w:val="20"/>
        </w:rPr>
        <w:t xml:space="preserve">Expired Options Displayed: API returns an expired option (edge case in data): row shows "EXPIRED" badge; tap opens detail card with "This contract has expired and cannot be traded." No order entry.</w:t>
      </w:r>
    </w:p>
    <w:p>
      <w:pPr>
        <w:pStyle w:val="ListParagraph"/>
        <w:numPr>
          <w:ilvl w:val="0"/>
          <w:numId w:val="2"/>
        </w:numPr>
        <w:spacing w:after="40" w:before="40"/>
      </w:pPr>
      <w:r>
        <w:rPr>
          <w:rFonts w:ascii="Arial" w:cs="Arial" w:eastAsia="Arial" w:hAnsi="Arial"/>
          <w:sz w:val="20"/>
          <w:szCs w:val="20"/>
        </w:rPr>
        <w:t xml:space="preserve">Network Timeout During Order Submission: Order confirmation status unknown. "Order status unknown — check your positions before retrying." Order history link provided.</w:t>
      </w:r>
    </w:p>
    <w:p>
      <w:pPr>
        <w:pStyle w:val="ListParagraph"/>
        <w:numPr>
          <w:ilvl w:val="0"/>
          <w:numId w:val="2"/>
        </w:numPr>
        <w:spacing w:after="40" w:before="40"/>
      </w:pPr>
      <w:r>
        <w:rPr>
          <w:rFonts w:ascii="Arial" w:cs="Arial" w:eastAsia="Arial" w:hAnsi="Arial"/>
          <w:sz w:val="20"/>
          <w:szCs w:val="20"/>
        </w:rPr>
        <w:t xml:space="preserve">Payoff Chart Render Failure: Chart replaced with Scenario Table only. Disclaimer: "Interactive chart unavailable. Scenario estimates shown below."</w:t>
      </w:r>
    </w:p>
    <w:p>
      <w:pPr>
        <w:spacing w:after="80" w:before="80"/>
      </w:pPr>
      <w:r>
        <w:t xml:space="preserve"/>
      </w:r>
    </w:p>
    <w:p>
      <w:pPr>
        <w:pStyle w:val="Heading1"/>
        <w:pBdr>
          <w:bottom w:val="single" w:color="00C805" w:sz="4"/>
        </w:pBdr>
        <w:spacing w:after="120" w:before="280"/>
      </w:pPr>
      <w:r>
        <w:rPr>
          <w:rFonts w:ascii="Arial" w:cs="Arial" w:eastAsia="Arial" w:hAnsi="Arial"/>
          <w:b/>
          <w:bCs/>
          <w:color w:val="009604"/>
          <w:sz w:val="32"/>
          <w:szCs w:val="32"/>
        </w:rPr>
        <w:t xml:space="preserve">12. Design QA / Handoff Notes</w:t>
      </w:r>
    </w:p>
    <w:p>
      <w:pPr>
        <w:pStyle w:val="ListParagraph"/>
        <w:numPr>
          <w:ilvl w:val="0"/>
          <w:numId w:val="2"/>
        </w:numPr>
        <w:spacing w:after="40" w:before="40"/>
      </w:pPr>
      <w:r>
        <w:rPr>
          <w:rFonts w:ascii="Arial" w:cs="Arial" w:eastAsia="Arial" w:hAnsi="Arial"/>
          <w:sz w:val="20"/>
          <w:szCs w:val="20"/>
        </w:rPr>
        <w:t xml:space="preserve">Figma file: [figma.com/robinhood-options-redesign-v4] — includes all compliance-annotated screens, legal disclaimer placements, and redline specs. Compliance review annotations in purple.</w:t>
      </w:r>
    </w:p>
    <w:p>
      <w:pPr>
        <w:pStyle w:val="ListParagraph"/>
        <w:numPr>
          <w:ilvl w:val="0"/>
          <w:numId w:val="2"/>
        </w:numPr>
        <w:spacing w:after="40" w:before="40"/>
      </w:pPr>
      <w:r>
        <w:rPr>
          <w:rFonts w:ascii="Arial" w:cs="Arial" w:eastAsia="Arial" w:hAnsi="Arial"/>
          <w:sz w:val="20"/>
          <w:szCs w:val="20"/>
        </w:rPr>
        <w:t xml:space="preserve">All Risk Summary Card copy must be reviewed by Legal before engineering implementation. Copy locked in the Figma file; changes require Legal sign-off and doc revision.</w:t>
      </w:r>
    </w:p>
    <w:p>
      <w:pPr>
        <w:pStyle w:val="ListParagraph"/>
        <w:numPr>
          <w:ilvl w:val="0"/>
          <w:numId w:val="2"/>
        </w:numPr>
        <w:spacing w:after="40" w:before="40"/>
      </w:pPr>
      <w:r>
        <w:rPr>
          <w:rFonts w:ascii="Arial" w:cs="Arial" w:eastAsia="Arial" w:hAnsi="Arial"/>
          <w:sz w:val="20"/>
          <w:szCs w:val="20"/>
        </w:rPr>
        <w:t xml:space="preserve">Payoff Diagram: Engineering to implement using D3.js or equivalent SVG charting. Options pricing model inputs from the Options Pricing Service API. Chart data is client-generated — no server-side chart rendering.</w:t>
      </w:r>
    </w:p>
    <w:p>
      <w:pPr>
        <w:pStyle w:val="ListParagraph"/>
        <w:numPr>
          <w:ilvl w:val="0"/>
          <w:numId w:val="2"/>
        </w:numPr>
        <w:spacing w:after="40" w:before="40"/>
      </w:pPr>
      <w:r>
        <w:rPr>
          <w:rFonts w:ascii="Arial" w:cs="Arial" w:eastAsia="Arial" w:hAnsi="Arial"/>
          <w:sz w:val="20"/>
          <w:szCs w:val="20"/>
        </w:rPr>
        <w:t xml:space="preserve">Risk Gate session persistence: 30-day cookie or local storage flag. Re-triggers on: options access level change, 30-day expiry, or explicit "Reset Education" in Settings &gt; Options &gt; Education.</w:t>
      </w:r>
    </w:p>
    <w:p>
      <w:pPr>
        <w:pStyle w:val="ListParagraph"/>
        <w:numPr>
          <w:ilvl w:val="0"/>
          <w:numId w:val="2"/>
        </w:numPr>
        <w:spacing w:after="40" w:before="40"/>
      </w:pPr>
      <w:r>
        <w:rPr>
          <w:rFonts w:ascii="Arial" w:cs="Arial" w:eastAsia="Arial" w:hAnsi="Arial"/>
          <w:sz w:val="20"/>
          <w:szCs w:val="20"/>
        </w:rPr>
        <w:t xml:space="preserve">Accessibility audit: mandatory axe-core automated scan + manual screen reader audit (iOS VoiceOver + Android TalkBack) before Legal review submission.</w:t>
      </w:r>
    </w:p>
    <w:p>
      <w:pPr>
        <w:pStyle w:val="ListParagraph"/>
        <w:numPr>
          <w:ilvl w:val="0"/>
          <w:numId w:val="2"/>
        </w:numPr>
        <w:spacing w:after="40" w:before="40"/>
      </w:pPr>
      <w:r>
        <w:rPr>
          <w:rFonts w:ascii="Arial" w:cs="Arial" w:eastAsia="Arial" w:hAnsi="Arial"/>
          <w:sz w:val="20"/>
          <w:szCs w:val="20"/>
        </w:rPr>
        <w:t xml:space="preserve">Compliance documentation: All disclosure text versions, approval dates, and Legal approver names to be maintained in /compliance/options-disclosure-registry.md in the Engineering wiki.</w:t>
      </w:r>
    </w:p>
    <w:p>
      <w:pPr>
        <w:spacing w:after="80" w:before="80"/>
      </w:pPr>
      <w:r>
        <w:t xml:space="preserve"/>
      </w:r>
    </w:p>
    <w:p>
      <w:pPr>
        <w:pStyle w:val="Heading1"/>
        <w:pBdr>
          <w:bottom w:val="single" w:color="00C805" w:sz="4"/>
        </w:pBdr>
        <w:spacing w:after="120" w:before="280"/>
      </w:pPr>
      <w:r>
        <w:rPr>
          <w:rFonts w:ascii="Arial" w:cs="Arial" w:eastAsia="Arial" w:hAnsi="Arial"/>
          <w:b/>
          <w:bCs/>
          <w:color w:val="009604"/>
          <w:sz w:val="32"/>
          <w:szCs w:val="32"/>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Metric</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Baseline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Target (6 Months)</w:t>
            </w:r>
          </w:p>
        </w:tc>
        <w:tc>
          <w:tcPr>
            <w:tcW w:type="dxa" w:w="2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00C805"/>
                <w:sz w:val="20"/>
                <w:szCs w:val="20"/>
              </w:rPr>
              <w:t xml:space="preserve">Measurement Method</w:t>
            </w:r>
          </w:p>
        </w:tc>
      </w:tr>
      <w:tr>
        <w:tc>
          <w:tcPr>
            <w:tcW w:type="dxa" w:w="28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Max Loss Identification Accuracy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 (usability study)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Usability study task success: "What is the most you can lose on this trade?"</w:t>
            </w:r>
          </w:p>
        </w:tc>
      </w:tr>
      <w:tr>
        <w:tc>
          <w:tcPr>
            <w:tcW w:type="dxa" w:w="28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Options-Related Support Contact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from Zendesk tagging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"confusion-loss" category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Zendesk ticket tag: options:loss-confusion</w:t>
            </w:r>
          </w:p>
        </w:tc>
      </w:tr>
      <w:tr>
        <w:tc>
          <w:tcPr>
            <w:tcW w:type="dxa" w:w="28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Options Trade Completion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Greater than or equal to 78%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Funnel: Options:Chain:Load to Options:Order:Confirmed</w:t>
            </w:r>
          </w:p>
        </w:tc>
      </w:tr>
      <w:tr>
        <w:tc>
          <w:tcPr>
            <w:tcW w:type="dxa" w:w="28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Educational Content Engagement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monthly active options 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Learn:Options:ContentOpened within options session</w:t>
            </w:r>
          </w:p>
        </w:tc>
      </w:tr>
      <w:tr>
        <w:tc>
          <w:tcPr>
            <w:tcW w:type="dxa" w:w="28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Risk Gate Completion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(new feature)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Greater than 90%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Funnel: RiskGate:Start to RiskGate:Acknowledged</w:t>
            </w:r>
          </w:p>
        </w:tc>
      </w:tr>
      <w:tr>
        <w:tc>
          <w:tcPr>
            <w:tcW w:type="dxa" w:w="2800"/>
            <w:tcBorders>
              <w:top w:val="single" w:color="CCCCCC" w:sz="1"/>
              <w:left w:val="single" w:color="CCCCCC" w:sz="1"/>
              <w:bottom w:val="single" w:color="CCCCCC" w:sz="1"/>
              <w:right w:val="single" w:color="CCCCCC" w:sz="1"/>
            </w:tcBorders>
            <w:shd w:fill="E6FAE6" w:val="clear"/>
            <w:tcMar>
              <w:top w:type="dxa" w:w="80"/>
              <w:left w:type="dxa" w:w="120"/>
              <w:bottom w:type="dxa" w:w="80"/>
              <w:right w:type="dxa" w:w="120"/>
            </w:tcMar>
          </w:tcPr>
          <w:p>
            <w:r>
              <w:rPr>
                <w:rFonts w:ascii="Arial" w:cs="Arial" w:eastAsia="Arial" w:hAnsi="Arial"/>
                <w:sz w:val="20"/>
                <w:szCs w:val="20"/>
              </w:rPr>
              <w:t xml:space="preserve">FINRA / SEC Compliance Approval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approval before launch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sign-off in compliance registry</w:t>
            </w:r>
          </w:p>
        </w:tc>
      </w:tr>
    </w:tbl>
    <w:p>
      <w:pPr>
        <w:spacing w:after="80" w:before="80"/>
      </w:pPr>
      <w:r>
        <w:t xml:space="preserve"/>
      </w:r>
    </w:p>
    <w:p>
      <w:pPr>
        <w:spacing w:after="60" w:before="60"/>
      </w:pPr>
      <w:r>
        <w:rPr>
          <w:rFonts w:ascii="Arial" w:cs="Arial" w:eastAsia="Arial" w:hAnsi="Arial"/>
          <w:sz w:val="20"/>
          <w:szCs w:val="20"/>
        </w:rPr>
        <w:t xml:space="preserve">Document classification: Internal — Restricted. Distribution limited to Options &amp; Derivatives Design, Legal, Compliance, and Engineering. Do not share externally. Prepared June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Robinhood Markets, Inc.  </w:t>
    </w:r>
    <w:r>
      <w:rPr>
        <w:rFonts w:ascii="Arial" w:cs="Arial" w:eastAsia="Arial" w:hAnsi="Arial"/>
        <w:color w:val="666666"/>
        <w:sz w:val="16"/>
        <w:szCs w:val="16"/>
      </w:rPr>
      <w:t xml:space="preserve">  Product Design Document — Internal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805" w:sz="6"/>
      </w:pBdr>
      <w:spacing w:after="100"/>
    </w:pPr>
    <w:r>
      <w:rPr>
        <w:rFonts w:ascii="Arial" w:cs="Arial" w:eastAsia="Arial" w:hAnsi="Arial"/>
        <w:b/>
        <w:bCs/>
        <w:color w:val="009604"/>
        <w:sz w:val="20"/>
        <w:szCs w:val="20"/>
      </w:rPr>
      <w:t xml:space="preserve">ROBINHOOD</w:t>
    </w:r>
    <w:r>
      <w:rPr>
        <w:rFonts w:ascii="Arial" w:cs="Arial" w:eastAsia="Arial" w:hAnsi="Arial"/>
        <w:color w:val="333333"/>
        <w:sz w:val="20"/>
        <w:szCs w:val="20"/>
      </w:rPr>
      <w:t xml:space="preserve">   Options Trading Interface Redesign — Clarity &amp; Risk Disclosure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0960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2026-06-07T20:59:13.666Z</dcterms:created>
  <dcterms:modified xsi:type="dcterms:W3CDTF">2026-06-07T20:59:13.666Z</dcterms:modified>
</cp:coreProperties>
</file>

<file path=docProps/custom.xml><?xml version="1.0" encoding="utf-8"?>
<Properties xmlns="http://schemas.openxmlformats.org/officeDocument/2006/custom-properties" xmlns:vt="http://schemas.openxmlformats.org/officeDocument/2006/docPropsVTypes"/>
</file>