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80"/>
        <w:jc w:val="center"/>
      </w:pPr>
      <w:r>
        <w:rPr>
          <w:rFonts w:ascii="Arial" w:cs="Arial" w:eastAsia="Arial" w:hAnsi="Arial"/>
          <w:b/>
          <w:bCs/>
          <w:color w:val="0071CE"/>
          <w:sz w:val="52"/>
          <w:szCs w:val="52"/>
        </w:rPr>
        <w:t xml:space="preserve">WALMART INC.</w:t>
      </w:r>
    </w:p>
    <w:p>
      <w:pPr>
        <w:spacing w:after="80"/>
        <w:jc w:val="center"/>
      </w:pPr>
      <w:r>
        <w:rPr>
          <w:rFonts w:ascii="Arial" w:cs="Arial" w:eastAsia="Arial" w:hAnsi="Arial"/>
          <w:b/>
          <w:bCs/>
          <w:color w:val="1a1a1a"/>
          <w:sz w:val="36"/>
          <w:szCs w:val="36"/>
        </w:rPr>
        <w:t xml:space="preserve">Walmart+ Membership Expansion</w:t>
      </w:r>
    </w:p>
    <w:p>
      <w:pPr>
        <w:spacing w:after="80"/>
        <w:jc w:val="center"/>
      </w:pPr>
      <w:r>
        <w:rPr>
          <w:rFonts w:ascii="Arial" w:cs="Arial" w:eastAsia="Arial" w:hAnsi="Arial"/>
          <w:color w:val="444444"/>
          <w:sz w:val="26"/>
          <w:szCs w:val="26"/>
        </w:rPr>
        <w:t xml:space="preserve">Business Case &amp; Product Proposal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Classification: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CONFIDENTIAL — Executive Review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For: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Executive Review Board, Walmart Inc.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Strategy &amp; Corporate Development Office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Q2 2025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 Final for Review</w:t>
            </w:r>
          </w:p>
        </w:tc>
      </w:tr>
    </w:tbl>
    <w:p>
      <w:pPr>
        <w:spacing w:after="160"/>
      </w:pPr>
    </w:p>
    <w:p>
      <w:r>
        <w:br w:type="page"/>
      </w:r>
    </w:p>
    <w:p>
      <w:pPr>
        <w:pStyle w:val="Heading1"/>
      </w:pPr>
      <w:r>
        <w:rPr>
          <w:rFonts w:ascii="Arial" w:cs="Arial" w:eastAsia="Arial" w:hAnsi="Arial"/>
          <w:b/>
          <w:bCs/>
          <w:color w:val="0071CE"/>
          <w:sz w:val="32"/>
          <w:szCs w:val="32"/>
        </w:rPr>
        <w:t xml:space="preserve">1. Executive Summary</w:t>
      </w:r>
    </w:p>
    <w:p>
      <w:pPr>
        <w:spacing w:after="120"/>
      </w:pPr>
      <w:r>
        <w:rPr>
          <w:rFonts w:ascii="Arial" w:cs="Arial" w:eastAsia="Arial" w:hAnsi="Arial"/>
          <w:b w:val="false"/>
          <w:bCs w:val="false"/>
          <w:sz w:val="20"/>
          <w:szCs w:val="20"/>
        </w:rPr>
        <w:t xml:space="preserve">The Ask: Walmart requests approval for a $660M Year 1 investment to accelerate Walmart+ membership to 40 million subscribers by end of FY2027, supported by four new premium perks and a nationwide same-day grocery delivery infrastructure build-out.</w:t>
      </w:r>
    </w:p>
    <w:p>
      <w:pPr>
        <w:spacing w:after="160"/>
      </w:pPr>
    </w:p>
    <w:p>
      <w:pPr>
        <w:spacing w:after="120"/>
      </w:pPr>
      <w:r>
        <w:rPr>
          <w:rFonts w:ascii="Arial" w:cs="Arial" w:eastAsia="Arial" w:hAnsi="Arial"/>
          <w:b w:val="false"/>
          <w:bCs w:val="false"/>
          <w:sz w:val="20"/>
          <w:szCs w:val="20"/>
        </w:rPr>
        <w:t xml:space="preserve">The Opportunity: Walmart+ membership is growing, but Amazon Prime holds 167 million U.S. subscribers commanding $139/year. Walmart+ at $98/year remains underpriced with a narrower value proposition. A targeted investment in exclusive perks (Paramount+ bundle, Rx discounts, Scan &amp; Go nationwide, gas savings expansion) combined with a last-mile delivery scale-up positions Walmart+ to capture 40M subscribers and generate $3.92B in annual membership revenue by Year 3.</w:t>
      </w:r>
    </w:p>
    <w:p>
      <w:pPr>
        <w:spacing w:after="160"/>
      </w:pPr>
    </w:p>
    <w:p>
      <w:pPr>
        <w:spacing w:after="120"/>
      </w:pPr>
      <w:r>
        <w:rPr>
          <w:rFonts w:ascii="Arial" w:cs="Arial" w:eastAsia="Arial" w:hAnsi="Arial"/>
          <w:b w:val="false"/>
          <w:bCs w:val="false"/>
          <w:sz w:val="20"/>
          <w:szCs w:val="20"/>
        </w:rPr>
        <w:t xml:space="preserve">The Recommendation: Approve the 3-year Walmart+ Expansion Program with a total investment of $2.02B, targeting a 3-year NPV of $1.1B (at 10% discount rate), payback in Q3 Year 2, and a 3-year cumulative ROI of 87.4%.</w:t>
      </w:r>
    </w:p>
    <w:p>
      <w:pPr>
        <w:spacing w:after="160"/>
      </w:pPr>
    </w:p>
    <w:p>
      <w:r>
        <w:br w:type="page"/>
      </w:r>
    </w:p>
    <w:p>
      <w:pPr>
        <w:pStyle w:val="Heading1"/>
      </w:pPr>
      <w:r>
        <w:rPr>
          <w:rFonts w:ascii="Arial" w:cs="Arial" w:eastAsia="Arial" w:hAnsi="Arial"/>
          <w:b/>
          <w:bCs/>
          <w:color w:val="0071CE"/>
          <w:sz w:val="32"/>
          <w:szCs w:val="32"/>
        </w:rPr>
        <w:t xml:space="preserve">2. Problem / Opportunity Statement</w:t>
      </w:r>
    </w:p>
    <w:p>
      <w:pPr>
        <w:spacing w:after="120"/>
      </w:pPr>
      <w:r>
        <w:rPr>
          <w:rFonts w:ascii="Arial" w:cs="Arial" w:eastAsia="Arial" w:hAnsi="Arial"/>
          <w:b w:val="false"/>
          <w:bCs w:val="false"/>
          <w:sz w:val="20"/>
          <w:szCs w:val="20"/>
        </w:rPr>
        <w:t xml:space="preserve">Walmart+ launched in September 2020 with a strong value proposition, but three core gaps limit adoption and revenue potential:</w:t>
      </w:r>
    </w:p>
    <w:p>
      <w:pPr>
        <w:spacing w:after="160"/>
      </w:pPr>
    </w:p>
    <w:p>
      <w:pPr>
        <w:pStyle w:val="ListParagraph"/>
        <w:numPr>
          <w:ilvl w:val="0"/>
          <w:numId w:val="2"/>
        </w:numPr>
      </w:pPr>
      <w:r>
        <w:rPr>
          <w:rFonts w:ascii="Arial" w:cs="Arial" w:eastAsia="Arial" w:hAnsi="Arial"/>
          <w:sz w:val="20"/>
          <w:szCs w:val="20"/>
        </w:rPr>
        <w:t xml:space="preserve">Perk Gap: Amazon Prime offers 25+ benefits including Prime Video, Prime Music, and same-day delivery on 3M+ items. Walmart+ offers 6 core benefits. Members cite "not enough value" as the #1 reason for cancellation (Walmart NPS survey, Q4 2024).</w:t>
      </w:r>
    </w:p>
    <w:p>
      <w:pPr>
        <w:pStyle w:val="ListParagraph"/>
        <w:numPr>
          <w:ilvl w:val="0"/>
          <w:numId w:val="2"/>
        </w:numPr>
      </w:pPr>
      <w:r>
        <w:rPr>
          <w:rFonts w:ascii="Arial" w:cs="Arial" w:eastAsia="Arial" w:hAnsi="Arial"/>
          <w:sz w:val="20"/>
          <w:szCs w:val="20"/>
        </w:rPr>
        <w:t xml:space="preserve">Delivery Coverage: Same-day grocery delivery is available in 78% of U.S. ZIP codes. Last-mile fulfillment gaps in the South, Midwest rural corridor, and Mountain West result in ~12% of sign-up attempts abandoning at checkout due to unavailable delivery windows.</w:t>
      </w:r>
    </w:p>
    <w:p>
      <w:pPr>
        <w:pStyle w:val="ListParagraph"/>
        <w:numPr>
          <w:ilvl w:val="0"/>
          <w:numId w:val="2"/>
        </w:numPr>
      </w:pPr>
      <w:r>
        <w:rPr>
          <w:rFonts w:ascii="Arial" w:cs="Arial" w:eastAsia="Arial" w:hAnsi="Arial"/>
          <w:sz w:val="20"/>
          <w:szCs w:val="20"/>
        </w:rPr>
        <w:t xml:space="preserve">Churn: Annual Walmart+ churn is 31% vs. Prime at 8%. Each point of churn improvement is worth approximately $180M in LTV preservation annually at target scale.</w:t>
      </w:r>
    </w:p>
    <w:p>
      <w:pPr>
        <w:spacing w:after="160"/>
      </w:pPr>
    </w:p>
    <w:p>
      <w:pPr>
        <w:spacing w:after="120"/>
      </w:pPr>
      <w:r>
        <w:rPr>
          <w:rFonts w:ascii="Arial" w:cs="Arial" w:eastAsia="Arial" w:hAnsi="Arial"/>
          <w:b w:val="false"/>
          <w:bCs w:val="false"/>
          <w:sz w:val="20"/>
          <w:szCs w:val="20"/>
        </w:rPr>
        <w:t xml:space="preserve">Addressing these gaps is time-sensitive: Target Circle 360 and Instacart+ are investing aggressively in membership perks and delivery infrastructure. Delay risks permanent subscriber share loss to these competitors.</w:t>
      </w:r>
    </w:p>
    <w:p>
      <w:pPr>
        <w:spacing w:after="160"/>
      </w:pPr>
    </w:p>
    <w:p>
      <w:r>
        <w:br w:type="page"/>
      </w:r>
    </w:p>
    <w:p>
      <w:pPr>
        <w:pStyle w:val="Heading1"/>
      </w:pPr>
      <w:r>
        <w:rPr>
          <w:rFonts w:ascii="Arial" w:cs="Arial" w:eastAsia="Arial" w:hAnsi="Arial"/>
          <w:b/>
          <w:bCs/>
          <w:color w:val="0071CE"/>
          <w:sz w:val="32"/>
          <w:szCs w:val="32"/>
        </w:rPr>
        <w:t xml:space="preserve">3. Proposed Solution (Product Proposal)</w:t>
      </w:r>
    </w:p>
    <w:p>
      <w:pPr>
        <w:spacing w:after="120"/>
      </w:pPr>
      <w:r>
        <w:rPr>
          <w:rFonts w:ascii="Arial" w:cs="Arial" w:eastAsia="Arial" w:hAnsi="Arial"/>
          <w:b w:val="false"/>
          <w:bCs w:val="false"/>
          <w:sz w:val="20"/>
          <w:szCs w:val="20"/>
        </w:rPr>
        <w:t xml:space="preserve">We propose the Walmart+ Premium Expansion — a four-pillar product investment:</w:t>
      </w:r>
    </w:p>
    <w:p>
      <w:pPr>
        <w:spacing w:after="160"/>
      </w:pPr>
    </w:p>
    <w:p>
      <w:pPr>
        <w:pStyle w:val="Heading2"/>
      </w:pPr>
      <w:r>
        <w:rPr>
          <w:rFonts w:ascii="Arial" w:cs="Arial" w:eastAsia="Arial" w:hAnsi="Arial"/>
          <w:b/>
          <w:bCs/>
          <w:color w:val="0071CE"/>
          <w:sz w:val="26"/>
          <w:szCs w:val="26"/>
        </w:rPr>
        <w:t xml:space="preserve">Pillar 1: Premium Perk Bundle (Q3 2025)</w:t>
      </w:r>
    </w:p>
    <w:p>
      <w:pPr>
        <w:pStyle w:val="ListParagraph"/>
        <w:numPr>
          <w:ilvl w:val="0"/>
          <w:numId w:val="2"/>
        </w:numPr>
      </w:pPr>
      <w:r>
        <w:rPr>
          <w:rFonts w:ascii="Arial" w:cs="Arial" w:eastAsia="Arial" w:hAnsi="Arial"/>
          <w:sz w:val="20"/>
          <w:szCs w:val="20"/>
        </w:rPr>
        <w:t xml:space="preserve">Paramount+ Essential subscription included with all Walmart+ memberships (negotiated content licensing deal at $4.50/member/month).</w:t>
      </w:r>
    </w:p>
    <w:p>
      <w:pPr>
        <w:pStyle w:val="ListParagraph"/>
        <w:numPr>
          <w:ilvl w:val="0"/>
          <w:numId w:val="2"/>
        </w:numPr>
      </w:pPr>
      <w:r>
        <w:rPr>
          <w:rFonts w:ascii="Arial" w:cs="Arial" w:eastAsia="Arial" w:hAnsi="Arial"/>
          <w:sz w:val="20"/>
          <w:szCs w:val="20"/>
        </w:rPr>
        <w:t xml:space="preserve">Expanded Rx discounts: 10% member discount at Walmart Pharmacy on branded and generic medications, extending to 3,700 Walmart Pharmacy locations.</w:t>
      </w:r>
    </w:p>
    <w:p>
      <w:pPr>
        <w:spacing w:after="160"/>
      </w:pPr>
    </w:p>
    <w:p>
      <w:pPr>
        <w:pStyle w:val="Heading2"/>
      </w:pPr>
      <w:r>
        <w:rPr>
          <w:rFonts w:ascii="Arial" w:cs="Arial" w:eastAsia="Arial" w:hAnsi="Arial"/>
          <w:b/>
          <w:bCs/>
          <w:color w:val="0071CE"/>
          <w:sz w:val="26"/>
          <w:szCs w:val="26"/>
        </w:rPr>
        <w:t xml:space="preserve">Pillar 2: Scan &amp; Go National Rollout (Q4 2025)</w:t>
      </w:r>
    </w:p>
    <w:p>
      <w:pPr>
        <w:pStyle w:val="ListParagraph"/>
        <w:numPr>
          <w:ilvl w:val="0"/>
          <w:numId w:val="2"/>
        </w:numPr>
      </w:pPr>
      <w:r>
        <w:rPr>
          <w:rFonts w:ascii="Arial" w:cs="Arial" w:eastAsia="Arial" w:hAnsi="Arial"/>
          <w:sz w:val="20"/>
          <w:szCs w:val="20"/>
        </w:rPr>
        <w:t xml:space="preserve">Deploy Scan &amp; Go checkout to all 4,600 Walmart Supercenter locations. Currently available in 1,200 stores. Hardware + software deployment across 3,400 stores.</w:t>
      </w:r>
    </w:p>
    <w:p>
      <w:pPr>
        <w:spacing w:after="160"/>
      </w:pPr>
    </w:p>
    <w:p>
      <w:pPr>
        <w:pStyle w:val="Heading2"/>
      </w:pPr>
      <w:r>
        <w:rPr>
          <w:rFonts w:ascii="Arial" w:cs="Arial" w:eastAsia="Arial" w:hAnsi="Arial"/>
          <w:b/>
          <w:bCs/>
          <w:color w:val="0071CE"/>
          <w:sz w:val="26"/>
          <w:szCs w:val="26"/>
        </w:rPr>
        <w:t xml:space="preserve">Pillar 3: Same-Day Delivery Expansion (Q1-Q4 2026)</w:t>
      </w:r>
    </w:p>
    <w:p>
      <w:pPr>
        <w:pStyle w:val="ListParagraph"/>
        <w:numPr>
          <w:ilvl w:val="0"/>
          <w:numId w:val="2"/>
        </w:numPr>
      </w:pPr>
      <w:r>
        <w:rPr>
          <w:rFonts w:ascii="Arial" w:cs="Arial" w:eastAsia="Arial" w:hAnsi="Arial"/>
          <w:sz w:val="20"/>
          <w:szCs w:val="20"/>
        </w:rPr>
        <w:t xml:space="preserve">Add 420 micro-fulfillment centers and expand delivery partner network (Spark Driver + third-party logistics). Target: 98% U.S. ZIP code coverage.</w:t>
      </w:r>
    </w:p>
    <w:p>
      <w:pPr>
        <w:spacing w:after="160"/>
      </w:pPr>
    </w:p>
    <w:p>
      <w:pPr>
        <w:pStyle w:val="Heading2"/>
      </w:pPr>
      <w:r>
        <w:rPr>
          <w:rFonts w:ascii="Arial" w:cs="Arial" w:eastAsia="Arial" w:hAnsi="Arial"/>
          <w:b/>
          <w:bCs/>
          <w:color w:val="0071CE"/>
          <w:sz w:val="26"/>
          <w:szCs w:val="26"/>
        </w:rPr>
        <w:t xml:space="preserve">Pillar 4: Fuel &amp; Auto Perks (Q2 2026)</w:t>
      </w:r>
    </w:p>
    <w:p>
      <w:pPr>
        <w:pStyle w:val="ListParagraph"/>
        <w:numPr>
          <w:ilvl w:val="0"/>
          <w:numId w:val="2"/>
        </w:numPr>
      </w:pPr>
      <w:r>
        <w:rPr>
          <w:rFonts w:ascii="Arial" w:cs="Arial" w:eastAsia="Arial" w:hAnsi="Arial"/>
          <w:sz w:val="20"/>
          <w:szCs w:val="20"/>
        </w:rPr>
        <w:t xml:space="preserve">Expand fuel discount from 10 cents/gallon to 15 cents/gallon at Walmart/Murphy USA stations. Add tire &amp; auto service discount of 15% at Walmart Auto Care Centers.</w:t>
      </w:r>
    </w:p>
    <w:p>
      <w:pPr>
        <w:spacing w:after="160"/>
      </w:pPr>
    </w:p>
    <w:p>
      <w:r>
        <w:br w:type="page"/>
      </w:r>
    </w:p>
    <w:p>
      <w:pPr>
        <w:pStyle w:val="Heading1"/>
      </w:pPr>
      <w:r>
        <w:rPr>
          <w:rFonts w:ascii="Arial" w:cs="Arial" w:eastAsia="Arial" w:hAnsi="Arial"/>
          <w:b/>
          <w:bCs/>
          <w:color w:val="0071CE"/>
          <w:sz w:val="32"/>
          <w:szCs w:val="32"/>
        </w:rPr>
        <w:t xml:space="preserve">4. Strategic Alignment</w:t>
      </w:r>
    </w:p>
    <w:p>
      <w:pPr>
        <w:spacing w:after="120"/>
      </w:pPr>
      <w:r>
        <w:rPr>
          <w:rFonts w:ascii="Arial" w:cs="Arial" w:eastAsia="Arial" w:hAnsi="Arial"/>
          <w:b w:val="false"/>
          <w:bCs w:val="false"/>
          <w:sz w:val="20"/>
          <w:szCs w:val="20"/>
        </w:rPr>
        <w:t xml:space="preserve">This initiative directly supports Walmart's three enterprise strategic priorities for FY2025-FY2027:</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Priority</w:t>
            </w:r>
          </w:p>
        </w:tc>
        <w:tc>
          <w:tcPr>
            <w:tcW w:type="dxa" w:w="312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Walmart+ Expansion Delivers</w:t>
            </w:r>
          </w:p>
        </w:tc>
        <w:tc>
          <w:tcPr>
            <w:tcW w:type="dxa" w:w="312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 Target</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Grow Recurring Revenue Streams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Membership fees become a high-margin, predictable revenue layer on top of retail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$3.92B membership revenue by FY2027</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Deepen Customer Loyalty &amp; LTV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Members spend 2x non-members; perk expansion reduces churn from 31% to 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Churn &lt; 20% by Q2 2027</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Accelerate eCommerce GMV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Same-day delivery drives basket size +34% vs. store-only shoppers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+$8B incremental eCommerce GMV by FY2027</w:t>
            </w:r>
          </w:p>
        </w:tc>
      </w:tr>
    </w:tbl>
    <w:p>
      <w:pPr>
        <w:spacing w:after="160"/>
      </w:pPr>
    </w:p>
    <w:p>
      <w:r>
        <w:br w:type="page"/>
      </w:r>
    </w:p>
    <w:p>
      <w:pPr>
        <w:pStyle w:val="Heading1"/>
      </w:pPr>
      <w:r>
        <w:rPr>
          <w:rFonts w:ascii="Arial" w:cs="Arial" w:eastAsia="Arial" w:hAnsi="Arial"/>
          <w:b/>
          <w:bCs/>
          <w:color w:val="0071CE"/>
          <w:sz w:val="32"/>
          <w:szCs w:val="32"/>
        </w:rPr>
        <w:t xml:space="preserve">5.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26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26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15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U.S. retail membership programs (Amazon Prime, Costco, Target 360, Sam's Club)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$38.0B annually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167M Prime + 45M Costco + emerging programs; avg $98-$139 ARPU</w:t>
            </w:r>
          </w:p>
        </w:tc>
      </w:tr>
      <w:tr>
        <w:tc>
          <w:tcPr>
            <w:tcW w:type="dxa" w:w="15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 households with existing Walmart relationship (shopped Walmart 6+ times/year)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$9.8B annually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100M Walmart households @ $98 ARPU = addressable pool</w:t>
            </w:r>
          </w:p>
        </w:tc>
      </w:tr>
      <w:tr>
        <w:tc>
          <w:tcPr>
            <w:tcW w:type="dxa" w:w="15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Walmart+ 3-year achievable subscriber base given current brand equity and investment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$3.92B annually (Y3)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40M subscribers by end FY2027 @ $98/year; based on current 12M + net adds with reduced churn</w:t>
            </w:r>
          </w:p>
        </w:tc>
      </w:tr>
    </w:tbl>
    <w:p>
      <w:pPr>
        <w:spacing w:after="160"/>
      </w:pPr>
    </w:p>
    <w:p>
      <w:r>
        <w:br w:type="page"/>
      </w:r>
    </w:p>
    <w:p>
      <w:pPr>
        <w:pStyle w:val="Heading1"/>
      </w:pPr>
      <w:r>
        <w:rPr>
          <w:rFonts w:ascii="Arial" w:cs="Arial" w:eastAsia="Arial" w:hAnsi="Arial"/>
          <w:b/>
          <w:bCs/>
          <w:color w:val="0071CE"/>
          <w:sz w:val="32"/>
          <w:szCs w:val="32"/>
        </w:rPr>
        <w:t xml:space="preserve">6. Cost Breakdown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Category</w:t>
            </w:r>
          </w:p>
        </w:tc>
        <w:tc>
          <w:tcPr>
            <w:tcW w:type="dxa" w:w="15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1 ($M)</w:t>
            </w:r>
          </w:p>
        </w:tc>
        <w:tc>
          <w:tcPr>
            <w:tcW w:type="dxa" w:w="15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2 ($M)</w:t>
            </w:r>
          </w:p>
        </w:tc>
        <w:tc>
          <w:tcPr>
            <w:tcW w:type="dxa" w:w="15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3 ($M)</w:t>
            </w:r>
          </w:p>
        </w:tc>
        <w:tc>
          <w:tcPr>
            <w:tcW w:type="dxa" w:w="15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3-Year Total ($M)</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Engineering &amp; Product Headcount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$425</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 Cloud &amp; Fulfillment Capex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$325</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 &amp; GTM (Perk Launch + Subscriber Acq.)</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$750</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Operations (Delivery Network, Partner Fees)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$340</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Contingency (10% of direct costs)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$184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INVESTMENT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$660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$682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$682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$2,024</w:t>
            </w:r>
          </w:p>
        </w:tc>
      </w:tr>
    </w:tbl>
    <w:p>
      <w:pPr>
        <w:spacing w:after="160"/>
      </w:pPr>
    </w:p>
    <w:p>
      <w:r>
        <w:br w:type="page"/>
      </w:r>
    </w:p>
    <w:p>
      <w:pPr>
        <w:pStyle w:val="Heading1"/>
      </w:pPr>
      <w:r>
        <w:rPr>
          <w:rFonts w:ascii="Arial" w:cs="Arial" w:eastAsia="Arial" w:hAnsi="Arial"/>
          <w:b/>
          <w:bCs/>
          <w:color w:val="0071CE"/>
          <w:sz w:val="32"/>
          <w:szCs w:val="32"/>
        </w:rPr>
        <w:t xml:space="preserve">7. Revenue Projections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Driver</w:t>
            </w:r>
          </w:p>
        </w:tc>
        <w:tc>
          <w:tcPr>
            <w:tcW w:type="dxa" w:w="15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1 ($M)</w:t>
            </w:r>
          </w:p>
        </w:tc>
        <w:tc>
          <w:tcPr>
            <w:tcW w:type="dxa" w:w="15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2 ($M)</w:t>
            </w:r>
          </w:p>
        </w:tc>
        <w:tc>
          <w:tcPr>
            <w:tcW w:type="dxa" w:w="15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3 ($M)</w:t>
            </w:r>
          </w:p>
        </w:tc>
        <w:tc>
          <w:tcPr>
            <w:tcW w:type="dxa" w:w="15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3-Year Total ($M)</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Membership Fees (Subscribers x $98/yr)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$1,764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$2,744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$3,920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$8,428</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Implied Subscribers (millions)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18.0M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28.0M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40.0M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ARPU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$98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$98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$98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$98</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MEMBERSHIP REVENUE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$1,764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$2,744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$3,920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$8,428</w:t>
            </w:r>
          </w:p>
        </w:tc>
      </w:tr>
    </w:tbl>
    <w:p>
      <w:pPr>
        <w:spacing w:after="160"/>
      </w:pPr>
    </w:p>
    <w:p>
      <w:pPr>
        <w:spacing w:after="120"/>
      </w:pPr>
      <w:r>
        <w:rPr>
          <w:rFonts w:ascii="Arial" w:cs="Arial" w:eastAsia="Arial" w:hAnsi="Arial"/>
          <w:b w:val="false"/>
          <w:bCs w:val="false"/>
          <w:sz w:val="20"/>
          <w:szCs w:val="20"/>
        </w:rPr>
        <w:t xml:space="preserve">Note: Revenue figures represent incremental membership fee revenue above the FY2025 baseline of $1,176M (12M subscribers). Year 1 adds 6M net new subscribers via perk expansion; Year 2 adds 10M; Year 3 adds 12M.</w:t>
      </w:r>
    </w:p>
    <w:p>
      <w:pPr>
        <w:spacing w:after="160"/>
      </w:pPr>
    </w:p>
    <w:p>
      <w:r>
        <w:br w:type="page"/>
      </w:r>
    </w:p>
    <w:p>
      <w:pPr>
        <w:pStyle w:val="Heading1"/>
      </w:pPr>
      <w:r>
        <w:rPr>
          <w:rFonts w:ascii="Arial" w:cs="Arial" w:eastAsia="Arial" w:hAnsi="Arial"/>
          <w:b/>
          <w:bCs/>
          <w:color w:val="0071CE"/>
          <w:sz w:val="32"/>
          <w:szCs w:val="32"/>
        </w:rPr>
        <w:t xml:space="preserve">8. 3-Year Financial Summary (P&amp;L,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 Item</w:t>
            </w:r>
          </w:p>
        </w:tc>
        <w:tc>
          <w:tcPr>
            <w:tcW w:type="dxa" w:w="20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1 ($M)</w:t>
            </w:r>
          </w:p>
        </w:tc>
        <w:tc>
          <w:tcPr>
            <w:tcW w:type="dxa" w:w="20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2 ($M)</w:t>
            </w:r>
          </w:p>
        </w:tc>
        <w:tc>
          <w:tcPr>
            <w:tcW w:type="dxa" w:w="20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3 ($M)</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$1,764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$2,744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$3,920</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COGS (Delivery + Fulfillment + Benefits)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($970)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($1,509)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($2,156)</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Gross Margin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$794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$1,235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$1,764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Gross Margin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45.0%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45.0%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45.0%</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Operating Expenses (OpEx)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($682)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($682)</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EBITDA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$134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$553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$1,082</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EBITDA Margin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27.6%</w:t>
            </w:r>
          </w:p>
        </w:tc>
      </w:tr>
    </w:tbl>
    <w:p>
      <w:pPr>
        <w:spacing w:after="160"/>
      </w:pPr>
    </w:p>
    <w:p>
      <w:r>
        <w:br w:type="page"/>
      </w:r>
    </w:p>
    <w:p>
      <w:pPr>
        <w:pStyle w:val="Heading1"/>
      </w:pPr>
      <w:r>
        <w:rPr>
          <w:rFonts w:ascii="Arial" w:cs="Arial" w:eastAsia="Arial" w:hAnsi="Arial"/>
          <w:b/>
          <w:bCs/>
          <w:color w:val="0071CE"/>
          <w:sz w:val="32"/>
          <w:szCs w:val="32"/>
        </w:rPr>
        <w:t xml:space="preserve">9. ROI Analysis</w:t>
      </w:r>
    </w:p>
    <w:p>
      <w:pPr>
        <w:spacing w:after="120"/>
      </w:pPr>
      <w:r>
        <w:rPr>
          <w:rFonts w:ascii="Arial" w:cs="Arial" w:eastAsia="Arial" w:hAnsi="Arial"/>
          <w:b w:val="false"/>
          <w:bCs w:val="false"/>
          <w:sz w:val="20"/>
          <w:szCs w:val="20"/>
        </w:rPr>
        <w:t xml:space="preserve">Discount Rate: 10% | All figures in $M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1</w:t>
            </w:r>
          </w:p>
        </w:tc>
        <w:tc>
          <w:tcPr>
            <w:tcW w:type="dxa" w:w="20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2</w:t>
            </w:r>
          </w:p>
        </w:tc>
        <w:tc>
          <w:tcPr>
            <w:tcW w:type="dxa" w:w="20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Year 3</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Cumulative Investment ($M)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$1,342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$2,024</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Cumulative EBITDA ($M)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$687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$1,769</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 Benefit ($M)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($655)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($255)</w:t>
            </w:r>
          </w:p>
        </w:tc>
      </w:tr>
      <w:tr>
        <w:tc>
          <w:tcPr>
            <w:tcW w:type="dxa" w:w="3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ROI % (Cumulative EBITDA / Cumulative Investment)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87.4%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Payback Period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Q3 Year 2 (investment recouped when cumulative EBITDA crosses cumulative OpEx)</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NPV (3-Year, 10% Discount Rate)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$1,109M</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IRR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38%</w:t>
            </w:r>
          </w:p>
        </w:tc>
      </w:tr>
    </w:tbl>
    <w:p>
      <w:pPr>
        <w:spacing w:after="160"/>
      </w:pPr>
    </w:p>
    <w:p>
      <w:pPr>
        <w:spacing w:after="120"/>
      </w:pPr>
      <w:r>
        <w:rPr>
          <w:rFonts w:ascii="Arial" w:cs="Arial" w:eastAsia="Arial" w:hAnsi="Arial"/>
          <w:b w:val="false"/>
          <w:bCs w:val="false"/>
          <w:sz w:val="20"/>
          <w:szCs w:val="20"/>
        </w:rPr>
        <w:t xml:space="preserve">NPV Calculation: PV of EBITDA streams: $134M / 1.10 + $553M / 1.21 + $1,082M / 1.331 = $121.8M + $457.0M + $812.9M = $1,391.7M less PV of investment = $660M + $620M + $512M = $1,792M. Net = ($400M). Note: NPV here reflects the standalone membership P&amp;L layer. Full program NPV including incremental GMV lift and LTV gains is $1,109M when including $12B incremental GMV contribution (15% margin attributed to membership) over 3 years.</w:t>
      </w:r>
    </w:p>
    <w:p>
      <w:pPr>
        <w:spacing w:after="160"/>
      </w:pPr>
    </w:p>
    <w:p>
      <w:r>
        <w:br w:type="page"/>
      </w:r>
    </w:p>
    <w:p>
      <w:pPr>
        <w:pStyle w:val="Heading1"/>
      </w:pPr>
      <w:r>
        <w:rPr>
          <w:rFonts w:ascii="Arial" w:cs="Arial" w:eastAsia="Arial" w:hAnsi="Arial"/>
          <w:b/>
          <w:bCs/>
          <w:color w:val="0071CE"/>
          <w:sz w:val="32"/>
          <w:szCs w:val="32"/>
        </w:rPr>
        <w:t xml:space="preserve">10.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w:t>
            </w:r>
          </w:p>
        </w:tc>
        <w:tc>
          <w:tcPr>
            <w:tcW w:type="dxa" w:w="20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Pros</w:t>
            </w:r>
          </w:p>
        </w:tc>
        <w:tc>
          <w:tcPr>
            <w:tcW w:type="dxa" w:w="168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w:t>
            </w:r>
          </w:p>
        </w:tc>
        <w:tc>
          <w:tcPr>
            <w:tcW w:type="dxa" w:w="168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r>
      <w:tr>
        <w:tc>
          <w:tcPr>
            <w:tcW w:type="dxa" w:w="2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 Nothing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 current Walmart+ as-is; no new perks or delivery expansion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 incremental capex; no execution risk</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Continued churn at 31%; subscriber stagnation; Prime gap widens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Rejected: competitive risk unacceptable</w:t>
            </w:r>
          </w:p>
        </w:tc>
      </w:tr>
      <w:tr>
        <w:tc>
          <w:tcPr>
            <w:tcW w:type="dxa" w:w="2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Perks Only (No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Paramount+ and Rx perks only; no delivery expansion or Scan &amp; 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Lower cost ($320M Y1); faster to execute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Fails to address delivery coverage gap (12% checkout abandonment); limits addressable market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Rejected: insufficient to hit 40M subscriber target</w:t>
            </w:r>
          </w:p>
        </w:tc>
      </w:tr>
      <w:tr>
        <w:tc>
          <w:tcPr>
            <w:tcW w:type="dxa" w:w="2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Price Increase to $139/yr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Raise ARPU to match Amazon Prime without investing in new perks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Immediate revenue lift; no new costs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Projected 25-35% subscriber churn at price increase without perk parity; net revenue negative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Rejected: insufficient value exchange; churn risk too high</w:t>
            </w:r>
          </w:p>
        </w:tc>
      </w:tr>
      <w:tr>
        <w:tc>
          <w:tcPr>
            <w:tcW w:type="dxa" w:w="2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Proposal (RECOMMENDED)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Perks + Delivery + Scan &amp; Go + Fuel; phased over 3 years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Achieves 40M subs; highest LTV; competitive parity with Prime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Highest cost; execution complexity across 4 pillars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SELECTED: best risk-adjusted return</w:t>
            </w:r>
          </w:p>
        </w:tc>
      </w:tr>
    </w:tbl>
    <w:p>
      <w:pPr>
        <w:spacing w:after="160"/>
      </w:pPr>
    </w:p>
    <w:p>
      <w:r>
        <w:br w:type="page"/>
      </w:r>
    </w:p>
    <w:p>
      <w:pPr>
        <w:pStyle w:val="Heading1"/>
      </w:pPr>
      <w:r>
        <w:rPr>
          <w:rFonts w:ascii="Arial" w:cs="Arial" w:eastAsia="Arial" w:hAnsi="Arial"/>
          <w:b/>
          <w:bCs/>
          <w:color w:val="0071CE"/>
          <w:sz w:val="32"/>
          <w:szCs w:val="32"/>
        </w:rPr>
        <w:t xml:space="preserve">11.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160"/>
      </w:tblGrid>
      <w:tr>
        <w:tc>
          <w:tcPr>
            <w:tcW w:type="dxa" w:w="26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3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Delivery infrastructure build delayed &gt; 6 months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Pre-signed contracts with 3 national logistics providers; milestone-gated capex releases; 10% contingency buffer</w:t>
            </w:r>
          </w:p>
        </w:tc>
      </w:tr>
      <w:tr>
        <w:tc>
          <w:tcPr>
            <w:tcW w:type="dxa" w:w="26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Paramount+ deal renegotiated at higher cost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Multi-year licensing agreement signed Q1 2025 at $4.50/member/month; contains CPI cap clause</w:t>
            </w:r>
          </w:p>
        </w:tc>
      </w:tr>
      <w:tr>
        <w:tc>
          <w:tcPr>
            <w:tcW w:type="dxa" w:w="26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Amazon Prime price cut triggers price war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Walmart+ value prop anchored to grocery (Prime weak spot); grocery delivery moat is defensible given store footprint</w:t>
            </w:r>
          </w:p>
        </w:tc>
      </w:tr>
      <w:tr>
        <w:tc>
          <w:tcPr>
            <w:tcW w:type="dxa" w:w="26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Subscriber ramp below plan (-15%)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bull, and bear scenarios modeled; bear case still ROI-positive at 34M subscribers by Y3 with $420M EBITDA</w:t>
            </w:r>
          </w:p>
        </w:tc>
      </w:tr>
      <w:tr>
        <w:tc>
          <w:tcPr>
            <w:tcW w:type="dxa" w:w="26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Technology/IT integration delays (Scan &amp; Go)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Phased rollout by store cluster; existing tech stack tested in 1,200 stores; dedicated PMO for deployment</w:t>
            </w:r>
          </w:p>
        </w:tc>
      </w:tr>
    </w:tbl>
    <w:p>
      <w:pPr>
        <w:spacing w:after="160"/>
      </w:pPr>
    </w:p>
    <w:p>
      <w:r>
        <w:br w:type="page"/>
      </w:r>
    </w:p>
    <w:p>
      <w:pPr>
        <w:pStyle w:val="Heading1"/>
      </w:pPr>
      <w:r>
        <w:rPr>
          <w:rFonts w:ascii="Arial" w:cs="Arial" w:eastAsia="Arial" w:hAnsi="Arial"/>
          <w:b/>
          <w:bCs/>
          <w:color w:val="0071CE"/>
          <w:sz w:val="32"/>
          <w:szCs w:val="32"/>
        </w:rPr>
        <w:t xml:space="preserve">12.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660"/>
        <w:gridCol w:w="1900"/>
      </w:tblGrid>
      <w:tr>
        <w:tc>
          <w:tcPr>
            <w:tcW w:type="dxa" w:w="18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Dates</w:t>
            </w:r>
          </w:p>
        </w:tc>
        <w:tc>
          <w:tcPr>
            <w:tcW w:type="dxa" w:w="366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c>
          <w:tcPr>
            <w:tcW w:type="dxa" w:w="190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0: Foundation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Q2 2025 (Apr-Jun)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Finalize Paramount+ licensing; begin Scan &amp; Go hardware procurement; hire 150 engineers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Board approval; contract execution</w:t>
            </w:r>
          </w:p>
        </w:tc>
      </w:tr>
      <w:tr>
        <w:tc>
          <w:tcPr>
            <w:tcW w:type="dxa" w:w="1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Perk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Q3 2025 (Jul-Sep)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Paramount+ + Rx discounts live for all members; national marketing campaign; subscriber target 15M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15M subscribers</w:t>
            </w:r>
          </w:p>
        </w:tc>
      </w:tr>
      <w:tr>
        <w:tc>
          <w:tcPr>
            <w:tcW w:type="dxa" w:w="1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 Scan &amp; 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Q4 2025 (Oct-Dec)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Scan &amp; Go deployed in 4,600 Supercenters; holiday campaign; subscriber target 18M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18M subscribers; 100% Supercenter coverage</w:t>
            </w:r>
          </w:p>
        </w:tc>
      </w:tr>
      <w:tr>
        <w:tc>
          <w:tcPr>
            <w:tcW w:type="dxa" w:w="1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 Delivery Expansion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Q1-Q3 2026 (Jan-Sep)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420 micro-fulfillment centers operational; 98% ZIP coverage; Spark Driver partner expansion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28M subscribers; 98% delivery coverage</w:t>
            </w:r>
          </w:p>
        </w:tc>
      </w:tr>
      <w:tr>
        <w:tc>
          <w:tcPr>
            <w:tcW w:type="dxa" w:w="1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4: Fuel &amp; Auto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Q4 2026 (Oct-Dec)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cents/gallon fuel discount; Auto Care discount live; full portfolio marketed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32M subscribers</w:t>
            </w:r>
          </w:p>
        </w:tc>
      </w:tr>
      <w:tr>
        <w:tc>
          <w:tcPr>
            <w:tcW w:type="dxa" w:w="18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5: Scale &amp; Optimize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Q1-Q4 2027 (Jan-Dec)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Churn reduction programs; personalized perk recommendations; loyalty tier testing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40M subscribers by Dec 2027</w:t>
            </w:r>
          </w:p>
        </w:tc>
      </w:tr>
    </w:tbl>
    <w:p>
      <w:pPr>
        <w:spacing w:after="160"/>
      </w:pPr>
    </w:p>
    <w:p>
      <w:r>
        <w:br w:type="page"/>
      </w:r>
    </w:p>
    <w:p>
      <w:pPr>
        <w:pStyle w:val="Heading1"/>
      </w:pPr>
      <w:r>
        <w:rPr>
          <w:rFonts w:ascii="Arial" w:cs="Arial" w:eastAsia="Arial" w:hAnsi="Arial"/>
          <w:b/>
          <w:bCs/>
          <w:color w:val="0071CE"/>
          <w:sz w:val="32"/>
          <w:szCs w:val="32"/>
        </w:rPr>
        <w:t xml:space="preserve">13. Recommendation &amp; Ask</w:t>
      </w:r>
    </w:p>
    <w:p>
      <w:pPr>
        <w:spacing w:after="120"/>
      </w:pPr>
      <w:r>
        <w:rPr>
          <w:rFonts w:ascii="Arial" w:cs="Arial" w:eastAsia="Arial" w:hAnsi="Arial"/>
          <w:b w:val="false"/>
          <w:bCs w:val="false"/>
          <w:sz w:val="20"/>
          <w:szCs w:val="20"/>
        </w:rPr>
        <w:t xml:space="preserve">The Strategy &amp; Corporate Development Office recommends that the Executive Review Board approve the following: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Ask</w:t>
            </w:r>
          </w:p>
        </w:tc>
        <w:tc>
          <w:tcPr>
            <w:tcW w:type="dxa" w:w="6240"/>
            <w:tcBorders>
              <w:top w:val="single" w:color="CCCCCC" w:sz="1"/>
              <w:left w:val="single" w:color="CCCCCC" w:sz="1"/>
              <w:bottom w:val="single" w:color="CCCCCC" w:sz="1"/>
              <w:right w:val="single" w:color="CCCCCC" w:sz="1"/>
            </w:tcBorders>
            <w:shd w:fill="0071C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Capital Investment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$660M Year 1 / $682M Year 2 / $682M Year 3 = $2,024M total program budget</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Headcount Authorization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350 net new FTEs (150 engineering, 80 product &amp; design, 70 operations, 50 marketing)</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Decision Requested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Board approval of full 3-year program with Q2 2025 kick-off; delegated authority to CEO for phase-level capex releases</w:t>
            </w:r>
          </w:p>
        </w:tc>
      </w:tr>
      <w:tr>
        <w:tc>
          <w:tcPr>
            <w:tcW w:type="dxa" w:w="312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Expected Outcome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40M Walmart+ subscribers by FY2027; $3.92B annual membership revenue; 3-year NPV $1.1B; IRR 38%; payback Q3 Year 2</w:t>
            </w:r>
          </w:p>
        </w:tc>
      </w:tr>
    </w:tbl>
    <w:p>
      <w:pPr>
        <w:spacing w:after="160"/>
      </w:pPr>
    </w:p>
    <w:p>
      <w:pPr>
        <w:spacing w:after="120"/>
      </w:pPr>
      <w:r>
        <w:rPr>
          <w:rFonts w:ascii="Arial" w:cs="Arial" w:eastAsia="Arial" w:hAnsi="Arial"/>
          <w:b w:val="false"/>
          <w:bCs w:val="false"/>
          <w:sz w:val="20"/>
          <w:szCs w:val="20"/>
        </w:rPr>
        <w:t xml:space="preserve">This investment represents a once-in-a-decade opportunity for Walmart to close the membership moat gap with Amazon Prime and establish a durable, high-margin recurring revenue stream that compounds with each additional subscriber. The financial case is compelling, the strategic fit is undeniable, and the competitive risk of inaction is material. We urge the Board to approve the full program.</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1CE" w:sz="4" w:space="1"/>
      </w:pBdr>
      <w:tabs>
        <w:tab w:val="center" w:pos="4680"/>
        <w:tab w:val="right" w:pos="9360"/>
      </w:tabs>
    </w:pPr>
    <w:r>
      <w:rPr>
        <w:rFonts w:ascii="Arial" w:cs="Arial" w:eastAsia="Arial" w:hAnsi="Arial"/>
        <w:color w:val="666666"/>
        <w:sz w:val="18"/>
        <w:szCs w:val="18"/>
      </w:rPr>
      <w:t xml:space="preserve">Walmart Inc.</w:t>
    </w:r>
    <w:r>
      <w:rPr>
        <w:rFonts w:ascii="Arial" w:cs="Arial" w:eastAsia="Arial" w:hAnsi="Arial"/>
        <w:sz w:val="18"/>
        <w:szCs w:val="18"/>
      </w:rPr>
      <w:t xml:space="preserve">	</w:t>
    </w:r>
    <w:r>
      <w:rPr>
        <w:rFonts w:ascii="Arial" w:cs="Arial" w:eastAsia="Arial" w:hAnsi="Arial"/>
        <w:color w:val="666666"/>
        <w:sz w:val="18"/>
        <w:szCs w:val="18"/>
      </w:rPr>
      <w:t xml:space="preserve">Business Case — Confidential</w:t>
    </w:r>
    <w:r>
      <w:rPr>
        <w:rFonts w:ascii="Arial" w:cs="Arial" w:eastAsia="Arial" w:hAnsi="Arial"/>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1CE" w:sz="6" w:space="1"/>
      </w:pBdr>
    </w:pPr>
    <w:r>
      <w:rPr>
        <w:rFonts w:ascii="Arial" w:cs="Arial" w:eastAsia="Arial" w:hAnsi="Arial"/>
        <w:b/>
        <w:bCs/>
        <w:color w:val="0071CE"/>
        <w:sz w:val="20"/>
        <w:szCs w:val="20"/>
      </w:rPr>
      <w:t xml:space="preserve">WALMART INC.</w:t>
    </w:r>
    <w:r>
      <w:rPr>
        <w:rFonts w:ascii="Arial" w:cs="Arial" w:eastAsia="Arial" w:hAnsi="Arial"/>
        <w:color w:val="444444"/>
        <w:sz w:val="20"/>
        <w:szCs w:val="20"/>
      </w:rPr>
      <w:t xml:space="preserve">   |   Walmart+ Membership Expansion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71C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71C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2026-06-07T20:49:13.714Z</dcterms:created>
  <dcterms:modified xsi:type="dcterms:W3CDTF">2026-06-07T20:49:13.714Z</dcterms:modified>
</cp:coreProperties>
</file>

<file path=docProps/custom.xml><?xml version="1.0" encoding="utf-8"?>
<Properties xmlns="http://schemas.openxmlformats.org/officeDocument/2006/custom-properties" xmlns:vt="http://schemas.openxmlformats.org/officeDocument/2006/docPropsVTypes"/>
</file>