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D1D1F"/>
          <w:sz w:val="52"/>
          <w:szCs w:val="52"/>
        </w:rPr>
        <w:t xml:space="preserve">Apple Health Platform</w:t>
      </w:r>
    </w:p>
    <w:p>
      <w:pPr>
        <w:spacing w:after="60" w:before="0"/>
      </w:pPr>
      <w:r>
        <w:rPr>
          <w:rFonts w:ascii="Arial" w:cs="Arial" w:eastAsia="Arial" w:hAnsi="Arial"/>
          <w:color w:val="6E6E73"/>
          <w:sz w:val="30"/>
          <w:szCs w:val="30"/>
        </w:rPr>
        <w:t xml:space="preserve">FY2025–FY2026 Product Roadmap</w:t>
      </w:r>
    </w:p>
    <w:p>
      <w:pPr>
        <w:spacing w:after="40" w:before="0"/>
      </w:pPr>
      <w:r>
        <w:rPr>
          <w:rFonts w:ascii="Arial" w:cs="Arial" w:eastAsia="Arial" w:hAnsi="Arial"/>
          <w:color w:val="6E6E73"/>
          <w:sz w:val="18"/>
          <w:szCs w:val="18"/>
        </w:rPr>
        <w:t xml:space="preserve">Team: Apple Health Product &amp; Engineering  |  Platforms: iOS, watchOS, visionOS  |  </w:t>
      </w:r>
      <w:r>
        <w:rPr>
          <w:rFonts w:ascii="Arial" w:cs="Arial" w:eastAsia="Arial" w:hAnsi="Arial"/>
          <w:b/>
          <w:bCs/>
          <w:color w:val="6E6E73"/>
          <w:sz w:val="18"/>
          <w:szCs w:val="18"/>
        </w:rPr>
        <w:t xml:space="preserve">June 2025</w:t>
      </w:r>
    </w:p>
    <w:p>
      <w:pPr>
        <w:pBdr>
          <w:bottom w:val="single" w:color="CCCCCC" w:sz="6" w:space="6"/>
        </w:pBdr>
        <w:spacing w:after="0" w:before="0"/>
      </w:pPr>
      <w:r>
        <w:rPr>
          <w:rFonts w:ascii="Arial" w:cs="Arial" w:eastAsia="Arial" w:hAnsi="Arial"/>
          <w:b/>
          <w:bCs/>
          <w:color w:val="CC0000"/>
          <w:sz w:val="16"/>
          <w:szCs w:val="16"/>
        </w:rPr>
        <w:t xml:space="preserve">Classification: APPLE CONFIDENTIAL — INTERNAL USE ONLY — DO NOT DISTRIBUTE EXTERNALLY</w:t>
      </w:r>
    </w:p>
    <w:p>
      <w:pPr>
        <w:spacing w:after="60" w:before="60"/>
      </w:pPr>
      <w:r>
        <w:t xml:space="preserve"/>
      </w:r>
    </w:p>
    <w:p>
      <w:pPr>
        <w:pStyle w:val="Heading1"/>
        <w:pBdr>
          <w:bottom w:val="single" w:color="CCCCCC" w:sz="4" w:space="4"/>
        </w:pBdr>
        <w:spacing w:after="140" w:before="300"/>
      </w:pPr>
      <w:r>
        <w:rPr>
          <w:rFonts w:ascii="Arial" w:cs="Arial" w:eastAsia="Arial" w:hAnsi="Arial"/>
          <w:b/>
          <w:bCs/>
          <w:color w:val="1D1D1F"/>
          <w:sz w:val="28"/>
          <w:szCs w:val="28"/>
        </w:rPr>
        <w:t xml:space="preserve">Vision</w:t>
      </w:r>
    </w:p>
    <w:p>
      <w:pPr>
        <w:spacing w:after="80" w:before="60"/>
      </w:pPr>
      <w:r>
        <w:rPr>
          <w:rFonts w:ascii="Arial" w:cs="Arial" w:eastAsia="Arial" w:hAnsi="Arial"/>
          <w:b/>
          <w:bCs/>
          <w:i/>
          <w:iCs/>
          <w:color w:val="1D1D1F"/>
          <w:sz w:val="24"/>
          <w:szCs w:val="24"/>
        </w:rPr>
        <w:t xml:space="preserve">"Make health deeply personal and clinically meaningful."</w:t>
      </w:r>
    </w:p>
    <w:p>
      <w:pPr>
        <w:spacing w:after="60" w:before="60"/>
      </w:pPr>
      <w:r>
        <w:rPr>
          <w:rFonts w:ascii="Arial" w:cs="Arial" w:eastAsia="Arial" w:hAnsi="Arial"/>
          <w:color w:val="1D1D1F"/>
          <w:sz w:val="20"/>
          <w:szCs w:val="20"/>
        </w:rPr>
        <w:t xml:space="preserve">Apple Health is the most personal health platform in the world. We believe every person deserves a complete, private, and actionable view of their health — grounded in real clinical data and built on the trust of a billion users. Our FY25–FY26 roadmap deepens clinical integration, expands mental health capabilities, brings health to Apple Vision Pro, and creates the richest developer platform for health innovation.</w:t>
      </w:r>
    </w:p>
    <w:p>
      <w:pPr>
        <w:spacing w:after="60" w:before="60"/>
      </w:pPr>
      <w:r>
        <w:t xml:space="preserve"/>
      </w:r>
    </w:p>
    <w:p>
      <w:pPr>
        <w:pStyle w:val="Heading1"/>
        <w:pBdr>
          <w:bottom w:val="single" w:color="CCCCCC" w:sz="4" w:space="4"/>
        </w:pBdr>
        <w:spacing w:after="140" w:before="300"/>
      </w:pPr>
      <w:r>
        <w:rPr>
          <w:rFonts w:ascii="Arial" w:cs="Arial" w:eastAsia="Arial" w:hAnsi="Arial"/>
          <w:b/>
          <w:bCs/>
          <w:color w:val="1D1D1F"/>
          <w:sz w:val="28"/>
          <w:szCs w:val="28"/>
        </w:rPr>
        <w:t xml:space="preserve">1. Current State &amp; Key Metrics</w:t>
      </w:r>
    </w:p>
    <w:p>
      <w:pPr>
        <w:pStyle w:val="Heading2"/>
        <w:spacing w:after="100" w:before="200"/>
      </w:pPr>
      <w:r>
        <w:rPr>
          <w:rFonts w:ascii="Arial" w:cs="Arial" w:eastAsia="Arial" w:hAnsi="Arial"/>
          <w:b/>
          <w:bCs/>
          <w:color w:val="1D1D1F"/>
          <w:sz w:val="22"/>
          <w:szCs w:val="22"/>
        </w:rPr>
        <w:t xml:space="preserve">1.1 Platform Scale (as of Q4 FY24)</w:t>
      </w:r>
    </w:p>
    <w:p>
      <w:pPr>
        <w:pStyle w:val="ListParagraph"/>
        <w:numPr>
          <w:ilvl w:val="0"/>
          <w:numId w:val="2"/>
        </w:numPr>
        <w:spacing w:after="40" w:before="40"/>
      </w:pPr>
      <w:r>
        <w:rPr>
          <w:rFonts w:ascii="Arial" w:cs="Arial" w:eastAsia="Arial" w:hAnsi="Arial"/>
          <w:color w:val="1D1D1F"/>
          <w:sz w:val="20"/>
          <w:szCs w:val="20"/>
        </w:rPr>
        <w:t xml:space="preserve">Health Records adoption: 38% of eligible users with linked EHR accounts (Target: 55% by FY26)</w:t>
      </w:r>
    </w:p>
    <w:p>
      <w:pPr>
        <w:pStyle w:val="ListParagraph"/>
        <w:numPr>
          <w:ilvl w:val="0"/>
          <w:numId w:val="2"/>
        </w:numPr>
        <w:spacing w:after="40" w:before="40"/>
      </w:pPr>
      <w:r>
        <w:rPr>
          <w:rFonts w:ascii="Arial" w:cs="Arial" w:eastAsia="Arial" w:hAnsi="Arial"/>
          <w:color w:val="1D1D1F"/>
          <w:sz w:val="20"/>
          <w:szCs w:val="20"/>
        </w:rPr>
        <w:t xml:space="preserve">HealthKit daily active developers: 7,200 (apps sending/reading health data daily)</w:t>
      </w:r>
    </w:p>
    <w:p>
      <w:pPr>
        <w:pStyle w:val="ListParagraph"/>
        <w:numPr>
          <w:ilvl w:val="0"/>
          <w:numId w:val="2"/>
        </w:numPr>
        <w:spacing w:after="40" w:before="40"/>
      </w:pPr>
      <w:r>
        <w:rPr>
          <w:rFonts w:ascii="Arial" w:cs="Arial" w:eastAsia="Arial" w:hAnsi="Arial"/>
          <w:color w:val="1D1D1F"/>
          <w:sz w:val="20"/>
          <w:szCs w:val="20"/>
        </w:rPr>
        <w:t xml:space="preserve">Daily Health Summary engagement: 41% of users open Health app within 7 days of an alert</w:t>
      </w:r>
    </w:p>
    <w:p>
      <w:pPr>
        <w:pStyle w:val="ListParagraph"/>
        <w:numPr>
          <w:ilvl w:val="0"/>
          <w:numId w:val="2"/>
        </w:numPr>
        <w:spacing w:after="40" w:before="40"/>
      </w:pPr>
      <w:r>
        <w:rPr>
          <w:rFonts w:ascii="Arial" w:cs="Arial" w:eastAsia="Arial" w:hAnsi="Arial"/>
          <w:color w:val="1D1D1F"/>
          <w:sz w:val="20"/>
          <w:szCs w:val="20"/>
        </w:rPr>
        <w:t xml:space="preserve">Health-related apps on App Store: 47,000+ across medical, fitness, and wellness categories</w:t>
      </w:r>
    </w:p>
    <w:p>
      <w:pPr>
        <w:pStyle w:val="ListParagraph"/>
        <w:numPr>
          <w:ilvl w:val="0"/>
          <w:numId w:val="2"/>
        </w:numPr>
        <w:spacing w:after="40" w:before="40"/>
      </w:pPr>
      <w:r>
        <w:rPr>
          <w:rFonts w:ascii="Arial" w:cs="Arial" w:eastAsia="Arial" w:hAnsi="Arial"/>
          <w:color w:val="1D1D1F"/>
          <w:sz w:val="20"/>
          <w:szCs w:val="20"/>
        </w:rPr>
        <w:t xml:space="preserve">Research study participants (Apple Research app): 1.2M enrolled globally</w:t>
      </w:r>
    </w:p>
    <w:p>
      <w:pPr>
        <w:pStyle w:val="ListParagraph"/>
        <w:numPr>
          <w:ilvl w:val="0"/>
          <w:numId w:val="2"/>
        </w:numPr>
        <w:spacing w:after="40" w:before="40"/>
      </w:pPr>
      <w:r>
        <w:rPr>
          <w:rFonts w:ascii="Arial" w:cs="Arial" w:eastAsia="Arial" w:hAnsi="Arial"/>
          <w:color w:val="1D1D1F"/>
          <w:sz w:val="20"/>
          <w:szCs w:val="20"/>
        </w:rPr>
        <w:t xml:space="preserve">watchOS health sensors: Heart rate, ECG, SpO2, skin temperature, crash detection, irregular rhythm notifications</w:t>
      </w:r>
    </w:p>
    <w:p>
      <w:pPr>
        <w:pStyle w:val="ListParagraph"/>
        <w:numPr>
          <w:ilvl w:val="0"/>
          <w:numId w:val="2"/>
        </w:numPr>
        <w:spacing w:after="40" w:before="40"/>
      </w:pPr>
      <w:r>
        <w:rPr>
          <w:rFonts w:ascii="Arial" w:cs="Arial" w:eastAsia="Arial" w:hAnsi="Arial"/>
          <w:color w:val="1D1D1F"/>
          <w:sz w:val="20"/>
          <w:szCs w:val="20"/>
        </w:rPr>
        <w:t xml:space="preserve">Regulatory clearances held: FDA De Novo (Afib, Fall Detection, Crash Detection), CE Mark (EU MDR)</w:t>
      </w:r>
    </w:p>
    <w:p>
      <w:pPr>
        <w:spacing w:after="60" w:before="60"/>
      </w:pPr>
      <w:r>
        <w:t xml:space="preserve"/>
      </w:r>
    </w:p>
    <w:p>
      <w:pPr>
        <w:pStyle w:val="Heading2"/>
        <w:spacing w:after="100" w:before="200"/>
      </w:pPr>
      <w:r>
        <w:rPr>
          <w:rFonts w:ascii="Arial" w:cs="Arial" w:eastAsia="Arial" w:hAnsi="Arial"/>
          <w:b/>
          <w:bCs/>
          <w:color w:val="1D1D1F"/>
          <w:sz w:val="22"/>
          <w:szCs w:val="22"/>
        </w:rPr>
        <w:t xml:space="preserve">1.2 Known Gaps / Strategic Risks</w:t>
      </w:r>
    </w:p>
    <w:p>
      <w:pPr>
        <w:pStyle w:val="ListParagraph"/>
        <w:numPr>
          <w:ilvl w:val="0"/>
          <w:numId w:val="2"/>
        </w:numPr>
        <w:spacing w:after="40" w:before="40"/>
      </w:pPr>
      <w:r>
        <w:rPr>
          <w:rFonts w:ascii="Arial" w:cs="Arial" w:eastAsia="Arial" w:hAnsi="Arial"/>
          <w:color w:val="1D1D1F"/>
          <w:sz w:val="20"/>
          <w:szCs w:val="20"/>
        </w:rPr>
        <w:t xml:space="preserve">EHR integration breadth: Only 73% of US hospital systems support FHIR R4 export to Apple Health — Epic and Cerner cover ~60% but CommonSpirit, HCA, and Tenet have slow rollout</w:t>
      </w:r>
    </w:p>
    <w:p>
      <w:pPr>
        <w:pStyle w:val="ListParagraph"/>
        <w:numPr>
          <w:ilvl w:val="0"/>
          <w:numId w:val="2"/>
        </w:numPr>
        <w:spacing w:after="40" w:before="40"/>
      </w:pPr>
      <w:r>
        <w:rPr>
          <w:rFonts w:ascii="Arial" w:cs="Arial" w:eastAsia="Arial" w:hAnsi="Arial"/>
          <w:color w:val="1D1D1F"/>
          <w:sz w:val="20"/>
          <w:szCs w:val="20"/>
        </w:rPr>
        <w:t xml:space="preserve">Mental health: Health app lacks a coherent mental wellness product surface; Calm, Headspace, and Woebot occupy this space</w:t>
      </w:r>
    </w:p>
    <w:p>
      <w:pPr>
        <w:pStyle w:val="ListParagraph"/>
        <w:numPr>
          <w:ilvl w:val="0"/>
          <w:numId w:val="2"/>
        </w:numPr>
        <w:spacing w:after="40" w:before="40"/>
      </w:pPr>
      <w:r>
        <w:rPr>
          <w:rFonts w:ascii="Arial" w:cs="Arial" w:eastAsia="Arial" w:hAnsi="Arial"/>
          <w:color w:val="1D1D1F"/>
          <w:sz w:val="20"/>
          <w:szCs w:val="20"/>
        </w:rPr>
        <w:t xml:space="preserve">Vision Pro: Health has no spatial presence; core opportunity for FY25 launch window</w:t>
      </w:r>
    </w:p>
    <w:p>
      <w:pPr>
        <w:pStyle w:val="ListParagraph"/>
        <w:numPr>
          <w:ilvl w:val="0"/>
          <w:numId w:val="2"/>
        </w:numPr>
        <w:spacing w:after="40" w:before="40"/>
      </w:pPr>
      <w:r>
        <w:rPr>
          <w:rFonts w:ascii="Arial" w:cs="Arial" w:eastAsia="Arial" w:hAnsi="Arial"/>
          <w:color w:val="1D1D1F"/>
          <w:sz w:val="20"/>
          <w:szCs w:val="20"/>
        </w:rPr>
        <w:t xml:space="preserve">HealthKit API fragmentation: Third-party CGM, insulin pump, and sleep device APIs are inconsistent; developer burden is high</w:t>
      </w:r>
    </w:p>
    <w:p>
      <w:pPr>
        <w:pStyle w:val="ListParagraph"/>
        <w:numPr>
          <w:ilvl w:val="0"/>
          <w:numId w:val="2"/>
        </w:numPr>
        <w:spacing w:after="40" w:before="40"/>
      </w:pPr>
      <w:r>
        <w:rPr>
          <w:rFonts w:ascii="Arial" w:cs="Arial" w:eastAsia="Arial" w:hAnsi="Arial"/>
          <w:color w:val="1D1D1F"/>
          <w:sz w:val="20"/>
          <w:szCs w:val="20"/>
        </w:rPr>
        <w:t xml:space="preserve">Regulatory pipeline: Blood pressure monitoring hardware is pending FDA 510(k); timeline risk if submission delays Watch launch cadence</w:t>
      </w:r>
    </w:p>
    <w:p>
      <w:pPr>
        <w:spacing w:after="60" w:before="60"/>
      </w:pPr>
      <w:r>
        <w:t xml:space="preserve"/>
      </w:r>
    </w:p>
    <w:p>
      <w:r>
        <w:br w:type="page"/>
      </w:r>
    </w:p>
    <w:p>
      <w:pPr>
        <w:pStyle w:val="Heading1"/>
        <w:pBdr>
          <w:bottom w:val="single" w:color="CCCCCC" w:sz="4" w:space="4"/>
        </w:pBdr>
        <w:spacing w:after="140" w:before="300"/>
      </w:pPr>
      <w:r>
        <w:rPr>
          <w:rFonts w:ascii="Arial" w:cs="Arial" w:eastAsia="Arial" w:hAnsi="Arial"/>
          <w:b/>
          <w:bCs/>
          <w:color w:val="1D1D1F"/>
          <w:sz w:val="28"/>
          <w:szCs w:val="28"/>
        </w:rPr>
        <w:t xml:space="preserve">2. Platform x OS Feature Matrix</w:t>
      </w:r>
    </w:p>
    <w:p>
      <w:pPr>
        <w:spacing w:after="60" w:before="60"/>
      </w:pPr>
      <w:r>
        <w:rPr>
          <w:rFonts w:ascii="Arial" w:cs="Arial" w:eastAsia="Arial" w:hAnsi="Arial"/>
          <w:color w:val="1D1D1F"/>
          <w:sz w:val="20"/>
          <w:szCs w:val="20"/>
        </w:rPr>
        <w:t xml:space="preserve">The following table maps planned feature launches to each platform and quarter. Features in Q1–Q2 FY25 are committed; Q3–Q4 FY25 are planned; H1–H2 FY26 are directional and subject to hardware roadmap dependencies.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160"/>
        <w:gridCol w:w="1160"/>
        <w:gridCol w:w="1160"/>
        <w:gridCol w:w="1160"/>
        <w:gridCol w:w="1760"/>
        <w:gridCol w:w="1760"/>
      </w:tblGrid>
      <w:tr>
        <w:trPr>
          <w:tblHeader/>
        </w:trPr>
        <w:tc>
          <w:tcPr>
            <w:tcW w:type="dxa" w:w="1200"/>
            <w:tcBorders>
              <w:top w:val="single" w:color="CCCCCC" w:sz="1"/>
              <w:left w:val="single" w:color="CCCCCC" w:sz="1"/>
              <w:bottom w:val="single" w:color="CCCCCC" w:sz="1"/>
              <w:right w:val="single" w:color="CCCCCC" w:sz="1"/>
            </w:tcBorders>
            <w:shd w:fill="F5F5F7" w:val="clear"/>
            <w:tcMar>
              <w:top w:type="dxa" w:w="80"/>
              <w:left w:type="dxa" w:w="120"/>
              <w:bottom w:type="dxa" w:w="80"/>
              <w:right w:type="dxa" w:w="120"/>
            </w:tcMar>
            <w:vAlign w:val="center"/>
          </w:tcPr>
          <w:p>
            <w:pPr>
              <w:jc w:val="center"/>
            </w:pPr>
            <w:r>
              <w:rPr>
                <w:rFonts w:ascii="Arial" w:cs="Arial" w:eastAsia="Arial" w:hAnsi="Arial"/>
                <w:b/>
                <w:bCs/>
                <w:color w:val="1D1D1F"/>
                <w:sz w:val="18"/>
                <w:szCs w:val="18"/>
              </w:rPr>
              <w:t xml:space="preserve">Platform</w:t>
            </w:r>
          </w:p>
        </w:tc>
        <w:tc>
          <w:tcPr>
            <w:tcW w:type="dxa" w:w="1160"/>
            <w:tcBorders>
              <w:top w:val="single" w:color="CCCCCC" w:sz="1"/>
              <w:left w:val="single" w:color="CCCCCC" w:sz="1"/>
              <w:bottom w:val="single" w:color="CCCCCC" w:sz="1"/>
              <w:right w:val="single" w:color="CCCCCC" w:sz="1"/>
            </w:tcBorders>
            <w:shd w:fill="F5F5F7" w:val="clear"/>
            <w:tcMar>
              <w:top w:type="dxa" w:w="80"/>
              <w:left w:type="dxa" w:w="120"/>
              <w:bottom w:type="dxa" w:w="80"/>
              <w:right w:type="dxa" w:w="120"/>
            </w:tcMar>
            <w:vAlign w:val="center"/>
          </w:tcPr>
          <w:p>
            <w:pPr>
              <w:jc w:val="center"/>
            </w:pPr>
            <w:r>
              <w:rPr>
                <w:rFonts w:ascii="Arial" w:cs="Arial" w:eastAsia="Arial" w:hAnsi="Arial"/>
                <w:b/>
                <w:bCs/>
                <w:color w:val="1D1D1F"/>
                <w:sz w:val="18"/>
                <w:szCs w:val="18"/>
              </w:rPr>
              <w:t xml:space="preserve">Q1 FY25</w:t>
            </w:r>
          </w:p>
        </w:tc>
        <w:tc>
          <w:tcPr>
            <w:tcW w:type="dxa" w:w="1160"/>
            <w:tcBorders>
              <w:top w:val="single" w:color="CCCCCC" w:sz="1"/>
              <w:left w:val="single" w:color="CCCCCC" w:sz="1"/>
              <w:bottom w:val="single" w:color="CCCCCC" w:sz="1"/>
              <w:right w:val="single" w:color="CCCCCC" w:sz="1"/>
            </w:tcBorders>
            <w:shd w:fill="F5F5F7" w:val="clear"/>
            <w:tcMar>
              <w:top w:type="dxa" w:w="80"/>
              <w:left w:type="dxa" w:w="120"/>
              <w:bottom w:type="dxa" w:w="80"/>
              <w:right w:type="dxa" w:w="120"/>
            </w:tcMar>
            <w:vAlign w:val="center"/>
          </w:tcPr>
          <w:p>
            <w:pPr>
              <w:jc w:val="center"/>
            </w:pPr>
            <w:r>
              <w:rPr>
                <w:rFonts w:ascii="Arial" w:cs="Arial" w:eastAsia="Arial" w:hAnsi="Arial"/>
                <w:b/>
                <w:bCs/>
                <w:color w:val="1D1D1F"/>
                <w:sz w:val="18"/>
                <w:szCs w:val="18"/>
              </w:rPr>
              <w:t xml:space="preserve">Q2 FY25</w:t>
            </w:r>
          </w:p>
        </w:tc>
        <w:tc>
          <w:tcPr>
            <w:tcW w:type="dxa" w:w="1160"/>
            <w:tcBorders>
              <w:top w:val="single" w:color="CCCCCC" w:sz="1"/>
              <w:left w:val="single" w:color="CCCCCC" w:sz="1"/>
              <w:bottom w:val="single" w:color="CCCCCC" w:sz="1"/>
              <w:right w:val="single" w:color="CCCCCC" w:sz="1"/>
            </w:tcBorders>
            <w:shd w:fill="F5F5F7" w:val="clear"/>
            <w:tcMar>
              <w:top w:type="dxa" w:w="80"/>
              <w:left w:type="dxa" w:w="120"/>
              <w:bottom w:type="dxa" w:w="80"/>
              <w:right w:type="dxa" w:w="120"/>
            </w:tcMar>
            <w:vAlign w:val="center"/>
          </w:tcPr>
          <w:p>
            <w:pPr>
              <w:jc w:val="center"/>
            </w:pPr>
            <w:r>
              <w:rPr>
                <w:rFonts w:ascii="Arial" w:cs="Arial" w:eastAsia="Arial" w:hAnsi="Arial"/>
                <w:b/>
                <w:bCs/>
                <w:color w:val="1D1D1F"/>
                <w:sz w:val="18"/>
                <w:szCs w:val="18"/>
              </w:rPr>
              <w:t xml:space="preserve">Q3 FY25</w:t>
            </w:r>
          </w:p>
        </w:tc>
        <w:tc>
          <w:tcPr>
            <w:tcW w:type="dxa" w:w="1160"/>
            <w:tcBorders>
              <w:top w:val="single" w:color="CCCCCC" w:sz="1"/>
              <w:left w:val="single" w:color="CCCCCC" w:sz="1"/>
              <w:bottom w:val="single" w:color="CCCCCC" w:sz="1"/>
              <w:right w:val="single" w:color="CCCCCC" w:sz="1"/>
            </w:tcBorders>
            <w:shd w:fill="F5F5F7" w:val="clear"/>
            <w:tcMar>
              <w:top w:type="dxa" w:w="80"/>
              <w:left w:type="dxa" w:w="120"/>
              <w:bottom w:type="dxa" w:w="80"/>
              <w:right w:type="dxa" w:w="120"/>
            </w:tcMar>
            <w:vAlign w:val="center"/>
          </w:tcPr>
          <w:p>
            <w:pPr>
              <w:jc w:val="center"/>
            </w:pPr>
            <w:r>
              <w:rPr>
                <w:rFonts w:ascii="Arial" w:cs="Arial" w:eastAsia="Arial" w:hAnsi="Arial"/>
                <w:b/>
                <w:bCs/>
                <w:color w:val="1D1D1F"/>
                <w:sz w:val="18"/>
                <w:szCs w:val="18"/>
              </w:rPr>
              <w:t xml:space="preserve">Q4 FY25</w:t>
            </w:r>
          </w:p>
        </w:tc>
        <w:tc>
          <w:tcPr>
            <w:tcW w:type="dxa" w:w="1760"/>
            <w:tcBorders>
              <w:top w:val="single" w:color="CCCCCC" w:sz="1"/>
              <w:left w:val="single" w:color="CCCCCC" w:sz="1"/>
              <w:bottom w:val="single" w:color="CCCCCC" w:sz="1"/>
              <w:right w:val="single" w:color="CCCCCC" w:sz="1"/>
            </w:tcBorders>
            <w:shd w:fill="F5F5F7" w:val="clear"/>
            <w:tcMar>
              <w:top w:type="dxa" w:w="80"/>
              <w:left w:type="dxa" w:w="120"/>
              <w:bottom w:type="dxa" w:w="80"/>
              <w:right w:type="dxa" w:w="120"/>
            </w:tcMar>
            <w:vAlign w:val="center"/>
          </w:tcPr>
          <w:p>
            <w:pPr>
              <w:jc w:val="center"/>
            </w:pPr>
            <w:r>
              <w:rPr>
                <w:rFonts w:ascii="Arial" w:cs="Arial" w:eastAsia="Arial" w:hAnsi="Arial"/>
                <w:b/>
                <w:bCs/>
                <w:color w:val="1D1D1F"/>
                <w:sz w:val="18"/>
                <w:szCs w:val="18"/>
              </w:rPr>
              <w:t xml:space="preserve">H1 FY26</w:t>
            </w:r>
          </w:p>
        </w:tc>
        <w:tc>
          <w:tcPr>
            <w:tcW w:type="dxa" w:w="1760"/>
            <w:tcBorders>
              <w:top w:val="single" w:color="CCCCCC" w:sz="1"/>
              <w:left w:val="single" w:color="CCCCCC" w:sz="1"/>
              <w:bottom w:val="single" w:color="CCCCCC" w:sz="1"/>
              <w:right w:val="single" w:color="CCCCCC" w:sz="1"/>
            </w:tcBorders>
            <w:shd w:fill="F5F5F7" w:val="clear"/>
            <w:tcMar>
              <w:top w:type="dxa" w:w="80"/>
              <w:left w:type="dxa" w:w="120"/>
              <w:bottom w:type="dxa" w:w="80"/>
              <w:right w:type="dxa" w:w="120"/>
            </w:tcMar>
            <w:vAlign w:val="center"/>
          </w:tcPr>
          <w:p>
            <w:pPr>
              <w:jc w:val="center"/>
            </w:pPr>
            <w:r>
              <w:rPr>
                <w:rFonts w:ascii="Arial" w:cs="Arial" w:eastAsia="Arial" w:hAnsi="Arial"/>
                <w:b/>
                <w:bCs/>
                <w:color w:val="1D1D1F"/>
                <w:sz w:val="18"/>
                <w:szCs w:val="18"/>
              </w:rPr>
              <w:t xml:space="preserve">H2 FY26</w:t>
            </w:r>
          </w:p>
        </w:tc>
      </w:tr>
      <w:tr>
        <w:tc>
          <w:tcPr>
            <w:tcW w:type="dxa" w:w="1200"/>
            <w:tcBorders>
              <w:top w:val="single" w:color="CCCCCC" w:sz="1"/>
              <w:left w:val="single" w:color="CCCCCC" w:sz="1"/>
              <w:bottom w:val="single" w:color="CCCCCC" w:sz="1"/>
              <w:right w:val="single" w:color="CCCCCC" w:sz="1"/>
            </w:tcBorders>
            <w:shd w:fill="F0F0F5" w:val="clear"/>
            <w:tcMar>
              <w:top w:type="dxa" w:w="80"/>
              <w:left w:type="dxa" w:w="120"/>
              <w:bottom w:type="dxa" w:w="80"/>
              <w:right w:type="dxa" w:w="120"/>
            </w:tcMar>
            <w:vAlign w:val="center"/>
          </w:tcPr>
          <w:p>
            <w:pPr>
              <w:jc w:val="center"/>
            </w:pPr>
            <w:r>
              <w:rPr>
                <w:rFonts w:ascii="Arial" w:cs="Arial" w:eastAsia="Arial" w:hAnsi="Arial"/>
                <w:b/>
                <w:bCs/>
                <w:color w:val="1D1D1F"/>
                <w:sz w:val="18"/>
                <w:szCs w:val="18"/>
              </w:rPr>
              <w:t xml:space="preserve">iOS</w:t>
            </w:r>
          </w:p>
        </w:tc>
        <w:tc>
          <w:tcPr>
            <w:tcW w:type="dxa" w:w="1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D1D1F"/>
                <w:sz w:val="16"/>
                <w:szCs w:val="16"/>
              </w:rPr>
              <w:t xml:space="preserve">EHR import from Epic, Cerner, Athena (HL7 FHIR R4)</w:t>
            </w:r>
          </w:p>
        </w:tc>
        <w:tc>
          <w:tcPr>
            <w:tcW w:type="dxa" w:w="1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D1D1F"/>
                <w:sz w:val="16"/>
                <w:szCs w:val="16"/>
              </w:rPr>
              <w:t xml:space="preserve">Medication Tracking v2 — drug interactions + refill reminders</w:t>
            </w:r>
          </w:p>
        </w:tc>
        <w:tc>
          <w:tcPr>
            <w:tcW w:type="dxa" w:w="1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D1D1F"/>
                <w:sz w:val="16"/>
                <w:szCs w:val="16"/>
              </w:rPr>
              <w:t xml:space="preserve">Mental Health Check-In (PHQ-9 integration, mood journal)</w:t>
            </w:r>
          </w:p>
        </w:tc>
        <w:tc>
          <w:tcPr>
            <w:tcW w:type="dxa" w:w="1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D1D1F"/>
                <w:sz w:val="16"/>
                <w:szCs w:val="16"/>
              </w:rPr>
              <w:t xml:space="preserve">Lab Results Timeline — visual trend graphs</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D1D1F"/>
                <w:sz w:val="16"/>
                <w:szCs w:val="16"/>
              </w:rPr>
              <w:t xml:space="preserve">Health+ Subscription tier — personalized clinical insights</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D1D1F"/>
                <w:sz w:val="16"/>
                <w:szCs w:val="16"/>
              </w:rPr>
              <w:t xml:space="preserve">AI Health Summary — natural language weekly digest</w:t>
            </w:r>
          </w:p>
        </w:tc>
      </w:tr>
      <w:tr>
        <w:tc>
          <w:tcPr>
            <w:tcW w:type="dxa" w:w="1200"/>
            <w:tcBorders>
              <w:top w:val="single" w:color="CCCCCC" w:sz="1"/>
              <w:left w:val="single" w:color="CCCCCC" w:sz="1"/>
              <w:bottom w:val="single" w:color="CCCCCC" w:sz="1"/>
              <w:right w:val="single" w:color="CCCCCC" w:sz="1"/>
            </w:tcBorders>
            <w:shd w:fill="F5F5F7" w:val="clear"/>
            <w:tcMar>
              <w:top w:type="dxa" w:w="80"/>
              <w:left w:type="dxa" w:w="120"/>
              <w:bottom w:type="dxa" w:w="80"/>
              <w:right w:type="dxa" w:w="120"/>
            </w:tcMar>
            <w:vAlign w:val="center"/>
          </w:tcPr>
          <w:p>
            <w:pPr>
              <w:jc w:val="center"/>
            </w:pPr>
            <w:r>
              <w:rPr>
                <w:rFonts w:ascii="Arial" w:cs="Arial" w:eastAsia="Arial" w:hAnsi="Arial"/>
                <w:b/>
                <w:bCs/>
                <w:color w:val="1D1D1F"/>
                <w:sz w:val="18"/>
                <w:szCs w:val="18"/>
              </w:rPr>
              <w:t xml:space="preserve">watchOS</w:t>
            </w:r>
          </w:p>
        </w:tc>
        <w:tc>
          <w:tcPr>
            <w:tcW w:type="dxa" w:w="1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D1D1F"/>
                <w:sz w:val="16"/>
                <w:szCs w:val="16"/>
              </w:rPr>
              <w:t xml:space="preserve">Afib History enhanced export (PDF + HL7 CDA)</w:t>
            </w:r>
          </w:p>
        </w:tc>
        <w:tc>
          <w:tcPr>
            <w:tcW w:type="dxa" w:w="1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D1D1F"/>
                <w:sz w:val="16"/>
                <w:szCs w:val="16"/>
              </w:rPr>
              <w:t xml:space="preserve">Wrist temperature ovulation prediction GA release</w:t>
            </w:r>
          </w:p>
        </w:tc>
        <w:tc>
          <w:tcPr>
            <w:tcW w:type="dxa" w:w="1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D1D1F"/>
                <w:sz w:val="16"/>
                <w:szCs w:val="16"/>
              </w:rPr>
              <w:t xml:space="preserve">Sleep Staging v3 — REM/NREM accuracy +18%</w:t>
            </w:r>
          </w:p>
        </w:tc>
        <w:tc>
          <w:tcPr>
            <w:tcW w:type="dxa" w:w="1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D1D1F"/>
                <w:sz w:val="16"/>
                <w:szCs w:val="16"/>
              </w:rPr>
              <w:t xml:space="preserve">Real-time blood glucose display (CGM partner APIs)</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D1D1F"/>
                <w:sz w:val="16"/>
                <w:szCs w:val="16"/>
              </w:rPr>
              <w:t xml:space="preserve">Crash Detection algorithm v4 — false positive reduction</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D1D1F"/>
                <w:sz w:val="16"/>
                <w:szCs w:val="16"/>
              </w:rPr>
              <w:t xml:space="preserve">Continuous blood pressure monitoring (regulatory pending)</w:t>
            </w:r>
          </w:p>
        </w:tc>
      </w:tr>
      <w:tr>
        <w:tc>
          <w:tcPr>
            <w:tcW w:type="dxa" w:w="1200"/>
            <w:tcBorders>
              <w:top w:val="single" w:color="CCCCCC" w:sz="1"/>
              <w:left w:val="single" w:color="CCCCCC" w:sz="1"/>
              <w:bottom w:val="single" w:color="CCCCCC" w:sz="1"/>
              <w:right w:val="single" w:color="CCCCCC" w:sz="1"/>
            </w:tcBorders>
            <w:shd w:fill="EBEBF0" w:val="clear"/>
            <w:tcMar>
              <w:top w:type="dxa" w:w="80"/>
              <w:left w:type="dxa" w:w="120"/>
              <w:bottom w:type="dxa" w:w="80"/>
              <w:right w:type="dxa" w:w="120"/>
            </w:tcMar>
            <w:vAlign w:val="center"/>
          </w:tcPr>
          <w:p>
            <w:pPr>
              <w:jc w:val="center"/>
            </w:pPr>
            <w:r>
              <w:rPr>
                <w:rFonts w:ascii="Arial" w:cs="Arial" w:eastAsia="Arial" w:hAnsi="Arial"/>
                <w:b/>
                <w:bCs/>
                <w:color w:val="1D1D1F"/>
                <w:sz w:val="18"/>
                <w:szCs w:val="18"/>
              </w:rPr>
              <w:t xml:space="preserve">visionOS</w:t>
            </w:r>
          </w:p>
        </w:tc>
        <w:tc>
          <w:tcPr>
            <w:tcW w:type="dxa" w:w="1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D1D1F"/>
                <w:sz w:val="16"/>
                <w:szCs w:val="16"/>
              </w:rPr>
              <w:t xml:space="preserve">Health app spatial preview — initial launch</w:t>
            </w:r>
          </w:p>
        </w:tc>
        <w:tc>
          <w:tcPr>
            <w:tcW w:type="dxa" w:w="1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D1D1F"/>
                <w:sz w:val="16"/>
                <w:szCs w:val="16"/>
              </w:rPr>
              <w:t xml:space="preserve">3D body composition visualization</w:t>
            </w:r>
          </w:p>
        </w:tc>
        <w:tc>
          <w:tcPr>
            <w:tcW w:type="dxa" w:w="1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D1D1F"/>
                <w:sz w:val="16"/>
                <w:szCs w:val="16"/>
              </w:rPr>
              <w:t xml:space="preserve">Guided mindfulness immersive sessions</w:t>
            </w:r>
          </w:p>
        </w:tc>
        <w:tc>
          <w:tcPr>
            <w:tcW w:type="dxa" w:w="1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D1D1F"/>
                <w:sz w:val="16"/>
                <w:szCs w:val="16"/>
              </w:rPr>
              <w:t xml:space="preserve">Clinical data review spatial layout (for HCP use)</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D1D1F"/>
                <w:sz w:val="16"/>
                <w:szCs w:val="16"/>
              </w:rPr>
              <w:t xml:space="preserve">Fitness+ spatial workouts integration</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D1D1F"/>
                <w:sz w:val="16"/>
                <w:szCs w:val="16"/>
              </w:rPr>
              <w:t xml:space="preserve">Biometric ambient display — resting heart rate, SpO2</w:t>
            </w:r>
          </w:p>
        </w:tc>
      </w:tr>
    </w:tbl>
    <w:p>
      <w:pPr>
        <w:spacing w:after="60" w:before="60"/>
      </w:pPr>
      <w:r>
        <w:t xml:space="preserve"/>
      </w:r>
    </w:p>
    <w:p>
      <w:pPr>
        <w:spacing w:after="60" w:before="60"/>
      </w:pPr>
      <w:r>
        <w:rPr>
          <w:rFonts w:ascii="Arial" w:cs="Arial" w:eastAsia="Arial" w:hAnsi="Arial"/>
          <w:i/>
          <w:iCs/>
          <w:color w:val="6E6E73"/>
          <w:sz w:val="20"/>
          <w:szCs w:val="20"/>
        </w:rPr>
        <w:t xml:space="preserve">Note: visionOS column reflects Apple Vision Pro (AVP) Gen 1 capabilities. Gen 2 hardware capabilities (H2 FY26) are subject to hardware disclosure restrictions and are not enumerated in this document.</w:t>
      </w:r>
    </w:p>
    <w:p>
      <w:pPr>
        <w:spacing w:after="60" w:before="60"/>
      </w:pPr>
      <w:r>
        <w:t xml:space="preserve"/>
      </w:r>
    </w:p>
    <w:p>
      <w:pPr>
        <w:pStyle w:val="Heading1"/>
        <w:pBdr>
          <w:bottom w:val="single" w:color="CCCCCC" w:sz="4" w:space="4"/>
        </w:pBdr>
        <w:spacing w:after="140" w:before="300"/>
      </w:pPr>
      <w:r>
        <w:rPr>
          <w:rFonts w:ascii="Arial" w:cs="Arial" w:eastAsia="Arial" w:hAnsi="Arial"/>
          <w:b/>
          <w:bCs/>
          <w:color w:val="1D1D1F"/>
          <w:sz w:val="28"/>
          <w:szCs w:val="28"/>
        </w:rPr>
        <w:t xml:space="preserve">3. Strategic Theme Deep-Dives</w:t>
      </w:r>
    </w:p>
    <w:p>
      <w:pPr>
        <w:pStyle w:val="Heading2"/>
        <w:spacing w:after="100" w:before="200"/>
      </w:pPr>
      <w:r>
        <w:rPr>
          <w:rFonts w:ascii="Arial" w:cs="Arial" w:eastAsia="Arial" w:hAnsi="Arial"/>
          <w:b/>
          <w:bCs/>
          <w:color w:val="1D1D1F"/>
          <w:sz w:val="22"/>
          <w:szCs w:val="22"/>
        </w:rPr>
        <w:t xml:space="preserve">Theme 1: Clinical Partnerships &amp; EHR Integration</w:t>
      </w:r>
    </w:p>
    <w:p>
      <w:pPr>
        <w:spacing w:after="60" w:before="60"/>
      </w:pPr>
      <w:r>
        <w:rPr>
          <w:rFonts w:ascii="Arial" w:cs="Arial" w:eastAsia="Arial" w:hAnsi="Arial"/>
          <w:color w:val="1D1D1F"/>
          <w:sz w:val="20"/>
          <w:szCs w:val="20"/>
        </w:rPr>
        <w:t xml:space="preserve">Health Records is Apple's most consequential clinical product. The HL7 FHIR R4 standard enables bidirectional data exchange with hospital systems. Our FY25 strategy is to dramatically expand EHR coverage, improve data quality, and introduce the first clinical-grade lab results visualization.</w:t>
      </w:r>
    </w:p>
    <w:p>
      <w:pPr>
        <w:pStyle w:val="ListParagraph"/>
        <w:numPr>
          <w:ilvl w:val="0"/>
          <w:numId w:val="2"/>
        </w:numPr>
        <w:spacing w:after="40" w:before="40"/>
      </w:pPr>
      <w:r>
        <w:rPr>
          <w:rFonts w:ascii="Arial" w:cs="Arial" w:eastAsia="Arial" w:hAnsi="Arial"/>
          <w:color w:val="1D1D1F"/>
          <w:sz w:val="20"/>
          <w:szCs w:val="20"/>
        </w:rPr>
        <w:t xml:space="preserve">Q1 FY25: FHIR R4 connections to Epic, Cerner, and Athenahealth — covering 68% of US hospital beds</w:t>
      </w:r>
    </w:p>
    <w:p>
      <w:pPr>
        <w:pStyle w:val="ListParagraph"/>
        <w:numPr>
          <w:ilvl w:val="0"/>
          <w:numId w:val="2"/>
        </w:numPr>
        <w:spacing w:after="40" w:before="40"/>
      </w:pPr>
      <w:r>
        <w:rPr>
          <w:rFonts w:ascii="Arial" w:cs="Arial" w:eastAsia="Arial" w:hAnsi="Arial"/>
          <w:color w:val="1D1D1F"/>
          <w:sz w:val="20"/>
          <w:szCs w:val="20"/>
        </w:rPr>
        <w:t xml:space="preserve">Q2 FY25: CommonSpirit Health + Kaiser Permanente EHR onboarding (adds 14M eligible patients)</w:t>
      </w:r>
    </w:p>
    <w:p>
      <w:pPr>
        <w:pStyle w:val="ListParagraph"/>
        <w:numPr>
          <w:ilvl w:val="0"/>
          <w:numId w:val="2"/>
        </w:numPr>
        <w:spacing w:after="40" w:before="40"/>
      </w:pPr>
      <w:r>
        <w:rPr>
          <w:rFonts w:ascii="Arial" w:cs="Arial" w:eastAsia="Arial" w:hAnsi="Arial"/>
          <w:color w:val="1D1D1F"/>
          <w:sz w:val="20"/>
          <w:szCs w:val="20"/>
        </w:rPr>
        <w:t xml:space="preserve">Q3 FY25: Lab results timeline with longitudinal trend visualization (glucose, HbA1c, lipid panel, CBC)</w:t>
      </w:r>
    </w:p>
    <w:p>
      <w:pPr>
        <w:pStyle w:val="ListParagraph"/>
        <w:numPr>
          <w:ilvl w:val="0"/>
          <w:numId w:val="2"/>
        </w:numPr>
        <w:spacing w:after="40" w:before="40"/>
      </w:pPr>
      <w:r>
        <w:rPr>
          <w:rFonts w:ascii="Arial" w:cs="Arial" w:eastAsia="Arial" w:hAnsi="Arial"/>
          <w:color w:val="1D1D1F"/>
          <w:sz w:val="20"/>
          <w:szCs w:val="20"/>
        </w:rPr>
        <w:t xml:space="preserve">Q4 FY25: Medication interaction alerts using FDA drug interaction database</w:t>
      </w:r>
    </w:p>
    <w:p>
      <w:pPr>
        <w:pStyle w:val="ListParagraph"/>
        <w:numPr>
          <w:ilvl w:val="0"/>
          <w:numId w:val="2"/>
        </w:numPr>
        <w:spacing w:after="40" w:before="40"/>
      </w:pPr>
      <w:r>
        <w:rPr>
          <w:rFonts w:ascii="Arial" w:cs="Arial" w:eastAsia="Arial" w:hAnsi="Arial"/>
          <w:color w:val="1D1D1F"/>
          <w:sz w:val="20"/>
          <w:szCs w:val="20"/>
        </w:rPr>
        <w:t xml:space="preserve">H1 FY26: Clinical export — standardized CCDA export for sharing records with any provider</w:t>
      </w:r>
    </w:p>
    <w:p>
      <w:pPr>
        <w:pStyle w:val="ListParagraph"/>
        <w:numPr>
          <w:ilvl w:val="0"/>
          <w:numId w:val="2"/>
        </w:numPr>
        <w:spacing w:after="40" w:before="40"/>
      </w:pPr>
      <w:r>
        <w:rPr>
          <w:rFonts w:ascii="Arial" w:cs="Arial" w:eastAsia="Arial" w:hAnsi="Arial"/>
          <w:color w:val="1D1D1F"/>
          <w:sz w:val="20"/>
          <w:szCs w:val="20"/>
        </w:rPr>
        <w:t xml:space="preserve">Metric: EHR linked accounts % of eligible users — Target 55% by FY26 (from 38% baseline)</w:t>
      </w:r>
    </w:p>
    <w:p>
      <w:pPr>
        <w:spacing w:after="60" w:before="60"/>
      </w:pPr>
      <w:r>
        <w:t xml:space="preserve"/>
      </w:r>
    </w:p>
    <w:p>
      <w:pPr>
        <w:pStyle w:val="Heading2"/>
        <w:spacing w:after="100" w:before="200"/>
      </w:pPr>
      <w:r>
        <w:rPr>
          <w:rFonts w:ascii="Arial" w:cs="Arial" w:eastAsia="Arial" w:hAnsi="Arial"/>
          <w:b/>
          <w:bCs/>
          <w:color w:val="1D1D1F"/>
          <w:sz w:val="22"/>
          <w:szCs w:val="22"/>
        </w:rPr>
        <w:t xml:space="preserve">Theme 2: Mental Health &amp; Mindfulness</w:t>
      </w:r>
    </w:p>
    <w:p>
      <w:pPr>
        <w:spacing w:after="60" w:before="60"/>
      </w:pPr>
      <w:r>
        <w:rPr>
          <w:rFonts w:ascii="Arial" w:cs="Arial" w:eastAsia="Arial" w:hAnsi="Arial"/>
          <w:color w:val="1D1D1F"/>
          <w:sz w:val="20"/>
          <w:szCs w:val="20"/>
        </w:rPr>
        <w:t xml:space="preserve">Mental health is the most requested health category from users globally. Apple is uniquely positioned to offer passive mental health signals (mood, sleep, activity, heart rate variability) combined with validated clinical instruments and personalized mindfulness practices.</w:t>
      </w:r>
    </w:p>
    <w:p>
      <w:pPr>
        <w:pStyle w:val="ListParagraph"/>
        <w:numPr>
          <w:ilvl w:val="0"/>
          <w:numId w:val="2"/>
        </w:numPr>
        <w:spacing w:after="40" w:before="40"/>
      </w:pPr>
      <w:r>
        <w:rPr>
          <w:rFonts w:ascii="Arial" w:cs="Arial" w:eastAsia="Arial" w:hAnsi="Arial"/>
          <w:color w:val="1D1D1F"/>
          <w:sz w:val="20"/>
          <w:szCs w:val="20"/>
        </w:rPr>
        <w:t xml:space="preserve">Q2 FY25: State of Mind log — daily/weekly mood tracking with PHQ-9 and GAD-7 instrument integration</w:t>
      </w:r>
    </w:p>
    <w:p>
      <w:pPr>
        <w:pStyle w:val="ListParagraph"/>
        <w:numPr>
          <w:ilvl w:val="0"/>
          <w:numId w:val="2"/>
        </w:numPr>
        <w:spacing w:after="40" w:before="40"/>
      </w:pPr>
      <w:r>
        <w:rPr>
          <w:rFonts w:ascii="Arial" w:cs="Arial" w:eastAsia="Arial" w:hAnsi="Arial"/>
          <w:color w:val="1D1D1F"/>
          <w:sz w:val="20"/>
          <w:szCs w:val="20"/>
        </w:rPr>
        <w:t xml:space="preserve">Q3 FY25: Mental Health Check-In — guided weekly wellbeing assessment with trend alerts</w:t>
      </w:r>
    </w:p>
    <w:p>
      <w:pPr>
        <w:pStyle w:val="ListParagraph"/>
        <w:numPr>
          <w:ilvl w:val="0"/>
          <w:numId w:val="2"/>
        </w:numPr>
        <w:spacing w:after="40" w:before="40"/>
      </w:pPr>
      <w:r>
        <w:rPr>
          <w:rFonts w:ascii="Arial" w:cs="Arial" w:eastAsia="Arial" w:hAnsi="Arial"/>
          <w:color w:val="1D1D1F"/>
          <w:sz w:val="20"/>
          <w:szCs w:val="20"/>
        </w:rPr>
        <w:t xml:space="preserve">Q3 FY25: Sleep + mood correlation insights (joint analysis of sleep staging and mood log data)</w:t>
      </w:r>
    </w:p>
    <w:p>
      <w:pPr>
        <w:pStyle w:val="ListParagraph"/>
        <w:numPr>
          <w:ilvl w:val="0"/>
          <w:numId w:val="2"/>
        </w:numPr>
        <w:spacing w:after="40" w:before="40"/>
      </w:pPr>
      <w:r>
        <w:rPr>
          <w:rFonts w:ascii="Arial" w:cs="Arial" w:eastAsia="Arial" w:hAnsi="Arial"/>
          <w:color w:val="1D1D1F"/>
          <w:sz w:val="20"/>
          <w:szCs w:val="20"/>
        </w:rPr>
        <w:t xml:space="preserve">Q4 FY25: Mindfulness suite expansion — 4-7-8 breathing, body scan, and wind-down sequences</w:t>
      </w:r>
    </w:p>
    <w:p>
      <w:pPr>
        <w:pStyle w:val="ListParagraph"/>
        <w:numPr>
          <w:ilvl w:val="0"/>
          <w:numId w:val="2"/>
        </w:numPr>
        <w:spacing w:after="40" w:before="40"/>
      </w:pPr>
      <w:r>
        <w:rPr>
          <w:rFonts w:ascii="Arial" w:cs="Arial" w:eastAsia="Arial" w:hAnsi="Arial"/>
          <w:color w:val="1D1D1F"/>
          <w:sz w:val="20"/>
          <w:szCs w:val="20"/>
        </w:rPr>
        <w:t xml:space="preserve">H1 FY26: Mental health history export for clinical use (with explicit user consent)</w:t>
      </w:r>
    </w:p>
    <w:p>
      <w:pPr>
        <w:pStyle w:val="ListParagraph"/>
        <w:numPr>
          <w:ilvl w:val="0"/>
          <w:numId w:val="2"/>
        </w:numPr>
        <w:spacing w:after="40" w:before="40"/>
      </w:pPr>
      <w:r>
        <w:rPr>
          <w:rFonts w:ascii="Arial" w:cs="Arial" w:eastAsia="Arial" w:hAnsi="Arial"/>
          <w:color w:val="1D1D1F"/>
          <w:sz w:val="20"/>
          <w:szCs w:val="20"/>
        </w:rPr>
        <w:t xml:space="preserve">Dependency: Clinical review of PHQ-9 UI required with internal Clinical Advisory Board before launch</w:t>
      </w:r>
    </w:p>
    <w:p>
      <w:pPr>
        <w:pStyle w:val="ListParagraph"/>
        <w:numPr>
          <w:ilvl w:val="0"/>
          <w:numId w:val="2"/>
        </w:numPr>
        <w:spacing w:after="40" w:before="40"/>
      </w:pPr>
      <w:r>
        <w:rPr>
          <w:rFonts w:ascii="Arial" w:cs="Arial" w:eastAsia="Arial" w:hAnsi="Arial"/>
          <w:color w:val="1D1D1F"/>
          <w:sz w:val="20"/>
          <w:szCs w:val="20"/>
        </w:rPr>
        <w:t xml:space="preserve">Metric: Mental health feature MAU — Target 120M users engaging monthly by FY26</w:t>
      </w:r>
    </w:p>
    <w:p>
      <w:pPr>
        <w:spacing w:after="60" w:before="60"/>
      </w:pPr>
      <w:r>
        <w:t xml:space="preserve"/>
      </w:r>
    </w:p>
    <w:p>
      <w:r>
        <w:br w:type="page"/>
      </w:r>
    </w:p>
    <w:p>
      <w:pPr>
        <w:pStyle w:val="Heading2"/>
        <w:spacing w:after="100" w:before="200"/>
      </w:pPr>
      <w:r>
        <w:rPr>
          <w:rFonts w:ascii="Arial" w:cs="Arial" w:eastAsia="Arial" w:hAnsi="Arial"/>
          <w:b/>
          <w:bCs/>
          <w:color w:val="1D1D1F"/>
          <w:sz w:val="22"/>
          <w:szCs w:val="22"/>
        </w:rPr>
        <w:t xml:space="preserve">Theme 3: Vision Pro Health Experiences</w:t>
      </w:r>
    </w:p>
    <w:p>
      <w:pPr>
        <w:spacing w:after="60" w:before="60"/>
      </w:pPr>
      <w:r>
        <w:rPr>
          <w:rFonts w:ascii="Arial" w:cs="Arial" w:eastAsia="Arial" w:hAnsi="Arial"/>
          <w:color w:val="1D1D1F"/>
          <w:sz w:val="20"/>
          <w:szCs w:val="20"/>
        </w:rPr>
        <w:t xml:space="preserve">Apple Vision Pro introduces a new health interaction paradigm — spatial, immersive, and biometric-aware. The Health app on visionOS must feel native to the medium: 3D visualization, ambient biometric presence, and guided therapeutic experiences.</w:t>
      </w:r>
    </w:p>
    <w:p>
      <w:pPr>
        <w:pStyle w:val="ListParagraph"/>
        <w:numPr>
          <w:ilvl w:val="0"/>
          <w:numId w:val="2"/>
        </w:numPr>
        <w:spacing w:after="40" w:before="40"/>
      </w:pPr>
      <w:r>
        <w:rPr>
          <w:rFonts w:ascii="Arial" w:cs="Arial" w:eastAsia="Arial" w:hAnsi="Arial"/>
          <w:color w:val="1D1D1F"/>
          <w:sz w:val="20"/>
          <w:szCs w:val="20"/>
        </w:rPr>
        <w:t xml:space="preserve">Q1 FY25: Health app on visionOS — initial launch with summary dashboard (read-only, iOS mirroring architecture)</w:t>
      </w:r>
    </w:p>
    <w:p>
      <w:pPr>
        <w:pStyle w:val="ListParagraph"/>
        <w:numPr>
          <w:ilvl w:val="0"/>
          <w:numId w:val="2"/>
        </w:numPr>
        <w:spacing w:after="40" w:before="40"/>
      </w:pPr>
      <w:r>
        <w:rPr>
          <w:rFonts w:ascii="Arial" w:cs="Arial" w:eastAsia="Arial" w:hAnsi="Arial"/>
          <w:color w:val="1D1D1F"/>
          <w:sz w:val="20"/>
          <w:szCs w:val="20"/>
        </w:rPr>
        <w:t xml:space="preserve">Q2 FY25: 3D body composition visualization — spatial rendering of body fat, muscle mass, bone density trends</w:t>
      </w:r>
    </w:p>
    <w:p>
      <w:pPr>
        <w:pStyle w:val="ListParagraph"/>
        <w:numPr>
          <w:ilvl w:val="0"/>
          <w:numId w:val="2"/>
        </w:numPr>
        <w:spacing w:after="40" w:before="40"/>
      </w:pPr>
      <w:r>
        <w:rPr>
          <w:rFonts w:ascii="Arial" w:cs="Arial" w:eastAsia="Arial" w:hAnsi="Arial"/>
          <w:color w:val="1D1D1F"/>
          <w:sz w:val="20"/>
          <w:szCs w:val="20"/>
        </w:rPr>
        <w:t xml:space="preserve">Q3 FY25: Immersive mindfulness sessions — guided audio/visual relaxation in photorealistic environments</w:t>
      </w:r>
    </w:p>
    <w:p>
      <w:pPr>
        <w:pStyle w:val="ListParagraph"/>
        <w:numPr>
          <w:ilvl w:val="0"/>
          <w:numId w:val="2"/>
        </w:numPr>
        <w:spacing w:after="40" w:before="40"/>
      </w:pPr>
      <w:r>
        <w:rPr>
          <w:rFonts w:ascii="Arial" w:cs="Arial" w:eastAsia="Arial" w:hAnsi="Arial"/>
          <w:color w:val="1D1D1F"/>
          <w:sz w:val="20"/>
          <w:szCs w:val="20"/>
        </w:rPr>
        <w:t xml:space="preserve">Q4 FY25: Clinical data review mode — HCP-oriented spatial layout for reviewing patient Health Records</w:t>
      </w:r>
    </w:p>
    <w:p>
      <w:pPr>
        <w:pStyle w:val="ListParagraph"/>
        <w:numPr>
          <w:ilvl w:val="0"/>
          <w:numId w:val="2"/>
        </w:numPr>
        <w:spacing w:after="40" w:before="40"/>
      </w:pPr>
      <w:r>
        <w:rPr>
          <w:rFonts w:ascii="Arial" w:cs="Arial" w:eastAsia="Arial" w:hAnsi="Arial"/>
          <w:color w:val="1D1D1F"/>
          <w:sz w:val="20"/>
          <w:szCs w:val="20"/>
        </w:rPr>
        <w:t xml:space="preserve">H1 FY26: Fitness+ spatial workouts — heart rate and calorie display overlaid during workouts</w:t>
      </w:r>
    </w:p>
    <w:p>
      <w:pPr>
        <w:pStyle w:val="ListParagraph"/>
        <w:numPr>
          <w:ilvl w:val="0"/>
          <w:numId w:val="2"/>
        </w:numPr>
        <w:spacing w:after="40" w:before="40"/>
      </w:pPr>
      <w:r>
        <w:rPr>
          <w:rFonts w:ascii="Arial" w:cs="Arial" w:eastAsia="Arial" w:hAnsi="Arial"/>
          <w:color w:val="1D1D1F"/>
          <w:sz w:val="20"/>
          <w:szCs w:val="20"/>
        </w:rPr>
        <w:t xml:space="preserve">H2 FY26: Biometric ambient display — persistent resting heart rate, SpO2, and stress level presence</w:t>
      </w:r>
    </w:p>
    <w:p>
      <w:pPr>
        <w:pStyle w:val="ListParagraph"/>
        <w:numPr>
          <w:ilvl w:val="0"/>
          <w:numId w:val="2"/>
        </w:numPr>
        <w:spacing w:after="40" w:before="40"/>
      </w:pPr>
      <w:r>
        <w:rPr>
          <w:rFonts w:ascii="Arial" w:cs="Arial" w:eastAsia="Arial" w:hAnsi="Arial"/>
          <w:color w:val="1D1D1F"/>
          <w:sz w:val="20"/>
          <w:szCs w:val="20"/>
        </w:rPr>
        <w:t xml:space="preserve">Dependency: Vision Pro hardware team (optics, EyeSight APIs, Persona rendering) — 90-day lead required for any biometric sensor access</w:t>
      </w:r>
    </w:p>
    <w:p>
      <w:pPr>
        <w:spacing w:after="60" w:before="60"/>
      </w:pPr>
      <w:r>
        <w:t xml:space="preserve"/>
      </w:r>
    </w:p>
    <w:p>
      <w:pPr>
        <w:pStyle w:val="Heading2"/>
        <w:spacing w:after="100" w:before="200"/>
      </w:pPr>
      <w:r>
        <w:rPr>
          <w:rFonts w:ascii="Arial" w:cs="Arial" w:eastAsia="Arial" w:hAnsi="Arial"/>
          <w:b/>
          <w:bCs/>
          <w:color w:val="1D1D1F"/>
          <w:sz w:val="22"/>
          <w:szCs w:val="22"/>
        </w:rPr>
        <w:t xml:space="preserve">Theme 4: Developer Platform (HealthKit API Expansion)</w:t>
      </w:r>
    </w:p>
    <w:p>
      <w:pPr>
        <w:spacing w:after="60" w:before="60"/>
      </w:pPr>
      <w:r>
        <w:rPr>
          <w:rFonts w:ascii="Arial" w:cs="Arial" w:eastAsia="Arial" w:hAnsi="Arial"/>
          <w:color w:val="1D1D1F"/>
          <w:sz w:val="20"/>
          <w:szCs w:val="20"/>
        </w:rPr>
        <w:t xml:space="preserve">HealthKit is the connective tissue of the Apple health ecosystem. Third-party apps generate 60% of the health data users access in the Health app. Our FY25–FY26 platform work will standardize CGM APIs, introduce a research data framework, and open new sensor modalities.</w:t>
      </w:r>
    </w:p>
    <w:p>
      <w:pPr>
        <w:pStyle w:val="ListParagraph"/>
        <w:numPr>
          <w:ilvl w:val="0"/>
          <w:numId w:val="2"/>
        </w:numPr>
        <w:spacing w:after="40" w:before="40"/>
      </w:pPr>
      <w:r>
        <w:rPr>
          <w:rFonts w:ascii="Arial" w:cs="Arial" w:eastAsia="Arial" w:hAnsi="Arial"/>
          <w:color w:val="1D1D1F"/>
          <w:sz w:val="20"/>
          <w:szCs w:val="20"/>
        </w:rPr>
        <w:t xml:space="preserve">Q1 FY25: HealthKit 2.0 — unified CGM (continuous glucose monitor) display API; compatible with Dexcom G7, Libre 3, Eversense</w:t>
      </w:r>
    </w:p>
    <w:p>
      <w:pPr>
        <w:pStyle w:val="ListParagraph"/>
        <w:numPr>
          <w:ilvl w:val="0"/>
          <w:numId w:val="2"/>
        </w:numPr>
        <w:spacing w:after="40" w:before="40"/>
      </w:pPr>
      <w:r>
        <w:rPr>
          <w:rFonts w:ascii="Arial" w:cs="Arial" w:eastAsia="Arial" w:hAnsi="Arial"/>
          <w:color w:val="1D1D1F"/>
          <w:sz w:val="20"/>
          <w:szCs w:val="20"/>
        </w:rPr>
        <w:t xml:space="preserve">Q2 FY25: HealthKit Research Framework — standardized consent + data contribution for academic studies (IRB-ready)</w:t>
      </w:r>
    </w:p>
    <w:p>
      <w:pPr>
        <w:pStyle w:val="ListParagraph"/>
        <w:numPr>
          <w:ilvl w:val="0"/>
          <w:numId w:val="2"/>
        </w:numPr>
        <w:spacing w:after="40" w:before="40"/>
      </w:pPr>
      <w:r>
        <w:rPr>
          <w:rFonts w:ascii="Arial" w:cs="Arial" w:eastAsia="Arial" w:hAnsi="Arial"/>
          <w:color w:val="1D1D1F"/>
          <w:sz w:val="20"/>
          <w:szCs w:val="20"/>
        </w:rPr>
        <w:t xml:space="preserve">Q3 FY25: Mental health data types — HealthKit schema additions for mood, anxiety score, sleep quality (subjective)</w:t>
      </w:r>
    </w:p>
    <w:p>
      <w:pPr>
        <w:pStyle w:val="ListParagraph"/>
        <w:numPr>
          <w:ilvl w:val="0"/>
          <w:numId w:val="2"/>
        </w:numPr>
        <w:spacing w:after="40" w:before="40"/>
      </w:pPr>
      <w:r>
        <w:rPr>
          <w:rFonts w:ascii="Arial" w:cs="Arial" w:eastAsia="Arial" w:hAnsi="Arial"/>
          <w:color w:val="1D1D1F"/>
          <w:sz w:val="20"/>
          <w:szCs w:val="20"/>
        </w:rPr>
        <w:t xml:space="preserve">Q4 FY25: HealthKit Sync Engine v2 — background sync reliability improvements, conflict resolution for multi-device writes</w:t>
      </w:r>
    </w:p>
    <w:p>
      <w:pPr>
        <w:pStyle w:val="ListParagraph"/>
        <w:numPr>
          <w:ilvl w:val="0"/>
          <w:numId w:val="2"/>
        </w:numPr>
        <w:spacing w:after="40" w:before="40"/>
      </w:pPr>
      <w:r>
        <w:rPr>
          <w:rFonts w:ascii="Arial" w:cs="Arial" w:eastAsia="Arial" w:hAnsi="Arial"/>
          <w:color w:val="1D1D1F"/>
          <w:sz w:val="20"/>
          <w:szCs w:val="20"/>
        </w:rPr>
        <w:t xml:space="preserve">H1 FY26: Insulin pump data API — for closed-loop systems (Omnipod, Medtronic 780G) with display-only permissions</w:t>
      </w:r>
    </w:p>
    <w:p>
      <w:pPr>
        <w:pStyle w:val="ListParagraph"/>
        <w:numPr>
          <w:ilvl w:val="0"/>
          <w:numId w:val="2"/>
        </w:numPr>
        <w:spacing w:after="40" w:before="40"/>
      </w:pPr>
      <w:r>
        <w:rPr>
          <w:rFonts w:ascii="Arial" w:cs="Arial" w:eastAsia="Arial" w:hAnsi="Arial"/>
          <w:color w:val="1D1D1F"/>
          <w:sz w:val="20"/>
          <w:szCs w:val="20"/>
        </w:rPr>
        <w:t xml:space="preserve">H2 FY26: HealthKit ML Kit — on-device trend detection APIs for third-party wellness app developers</w:t>
      </w:r>
    </w:p>
    <w:p>
      <w:pPr>
        <w:pStyle w:val="ListParagraph"/>
        <w:numPr>
          <w:ilvl w:val="0"/>
          <w:numId w:val="2"/>
        </w:numPr>
        <w:spacing w:after="40" w:before="40"/>
      </w:pPr>
      <w:r>
        <w:rPr>
          <w:rFonts w:ascii="Arial" w:cs="Arial" w:eastAsia="Arial" w:hAnsi="Arial"/>
          <w:color w:val="1D1D1F"/>
          <w:sz w:val="20"/>
          <w:szCs w:val="20"/>
        </w:rPr>
        <w:t xml:space="preserve">Metric: HealthKit daily active developers — Target 10,000 by FY26 (from 7,200 baseline)</w:t>
      </w:r>
    </w:p>
    <w:p>
      <w:pPr>
        <w:spacing w:after="60" w:before="60"/>
      </w:pPr>
      <w:r>
        <w:t xml:space="preserve"/>
      </w:r>
    </w:p>
    <w:p>
      <w:pPr>
        <w:pStyle w:val="Heading1"/>
        <w:pBdr>
          <w:bottom w:val="single" w:color="CCCCCC" w:sz="4" w:space="4"/>
        </w:pBdr>
        <w:spacing w:after="140" w:before="300"/>
      </w:pPr>
      <w:r>
        <w:rPr>
          <w:rFonts w:ascii="Arial" w:cs="Arial" w:eastAsia="Arial" w:hAnsi="Arial"/>
          <w:b/>
          <w:bCs/>
          <w:color w:val="1D1D1F"/>
          <w:sz w:val="28"/>
          <w:szCs w:val="28"/>
        </w:rPr>
        <w:t xml:space="preserve">4. Regulatory Milestones</w:t>
      </w:r>
    </w:p>
    <w:p>
      <w:pPr>
        <w:spacing w:after="60" w:before="60"/>
      </w:pPr>
      <w:r>
        <w:rPr>
          <w:rFonts w:ascii="Arial" w:cs="Arial" w:eastAsia="Arial" w:hAnsi="Arial"/>
          <w:color w:val="1D1D1F"/>
          <w:sz w:val="20"/>
          <w:szCs w:val="20"/>
        </w:rPr>
        <w:t xml:space="preserve">Health products require ongoing regulatory coordination. The table below tracks all active FDA, EU MDR, and HIPAA/GDPR milestones. Legal and Regulatory Affairs (LRA) is the DRI for all submissions; product teams are responsible for technical documentation packages.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160"/>
        <w:gridCol w:w="3000"/>
      </w:tblGrid>
      <w:tr>
        <w:trPr>
          <w:tblHeader/>
        </w:trPr>
        <w:tc>
          <w:tcPr>
            <w:tcW w:type="dxa" w:w="1800"/>
            <w:tcBorders>
              <w:top w:val="single" w:color="CCCCCC" w:sz="1"/>
              <w:left w:val="single" w:color="CCCCCC" w:sz="1"/>
              <w:bottom w:val="single" w:color="CCCCCC" w:sz="1"/>
              <w:right w:val="single" w:color="CCCCCC" w:sz="1"/>
            </w:tcBorders>
            <w:shd w:fill="F5F5F7" w:val="clear"/>
            <w:tcMar>
              <w:top w:type="dxa" w:w="80"/>
              <w:left w:type="dxa" w:w="120"/>
              <w:bottom w:type="dxa" w:w="80"/>
              <w:right w:type="dxa" w:w="120"/>
            </w:tcMar>
            <w:vAlign w:val="center"/>
          </w:tcPr>
          <w:p>
            <w:pPr>
              <w:jc w:val="center"/>
            </w:pPr>
            <w:r>
              <w:rPr>
                <w:rFonts w:ascii="Arial" w:cs="Arial" w:eastAsia="Arial" w:hAnsi="Arial"/>
                <w:b/>
                <w:bCs/>
                <w:color w:val="1D1D1F"/>
                <w:sz w:val="18"/>
                <w:szCs w:val="18"/>
              </w:rPr>
              <w:t xml:space="preserve">Milestone</w:t>
            </w:r>
          </w:p>
        </w:tc>
        <w:tc>
          <w:tcPr>
            <w:tcW w:type="dxa" w:w="2400"/>
            <w:tcBorders>
              <w:top w:val="single" w:color="CCCCCC" w:sz="1"/>
              <w:left w:val="single" w:color="CCCCCC" w:sz="1"/>
              <w:bottom w:val="single" w:color="CCCCCC" w:sz="1"/>
              <w:right w:val="single" w:color="CCCCCC" w:sz="1"/>
            </w:tcBorders>
            <w:shd w:fill="F5F5F7" w:val="clear"/>
            <w:tcMar>
              <w:top w:type="dxa" w:w="80"/>
              <w:left w:type="dxa" w:w="120"/>
              <w:bottom w:type="dxa" w:w="80"/>
              <w:right w:type="dxa" w:w="120"/>
            </w:tcMar>
            <w:vAlign w:val="center"/>
          </w:tcPr>
          <w:p>
            <w:pPr>
              <w:jc w:val="center"/>
            </w:pPr>
            <w:r>
              <w:rPr>
                <w:rFonts w:ascii="Arial" w:cs="Arial" w:eastAsia="Arial" w:hAnsi="Arial"/>
                <w:b/>
                <w:bCs/>
                <w:color w:val="1D1D1F"/>
                <w:sz w:val="18"/>
                <w:szCs w:val="18"/>
              </w:rPr>
              <w:t xml:space="preserve">Target Quarter</w:t>
            </w:r>
          </w:p>
        </w:tc>
        <w:tc>
          <w:tcPr>
            <w:tcW w:type="dxa" w:w="2160"/>
            <w:tcBorders>
              <w:top w:val="single" w:color="CCCCCC" w:sz="1"/>
              <w:left w:val="single" w:color="CCCCCC" w:sz="1"/>
              <w:bottom w:val="single" w:color="CCCCCC" w:sz="1"/>
              <w:right w:val="single" w:color="CCCCCC" w:sz="1"/>
            </w:tcBorders>
            <w:shd w:fill="F5F5F7" w:val="clear"/>
            <w:tcMar>
              <w:top w:type="dxa" w:w="80"/>
              <w:left w:type="dxa" w:w="120"/>
              <w:bottom w:type="dxa" w:w="80"/>
              <w:right w:type="dxa" w:w="120"/>
            </w:tcMar>
            <w:vAlign w:val="center"/>
          </w:tcPr>
          <w:p>
            <w:pPr>
              <w:jc w:val="center"/>
            </w:pPr>
            <w:r>
              <w:rPr>
                <w:rFonts w:ascii="Arial" w:cs="Arial" w:eastAsia="Arial" w:hAnsi="Arial"/>
                <w:b/>
                <w:bCs/>
                <w:color w:val="1D1D1F"/>
                <w:sz w:val="18"/>
                <w:szCs w:val="18"/>
              </w:rPr>
              <w:t xml:space="preserve">Regulatory Body</w:t>
            </w:r>
          </w:p>
        </w:tc>
        <w:tc>
          <w:tcPr>
            <w:tcW w:type="dxa" w:w="3000"/>
            <w:tcBorders>
              <w:top w:val="single" w:color="CCCCCC" w:sz="1"/>
              <w:left w:val="single" w:color="CCCCCC" w:sz="1"/>
              <w:bottom w:val="single" w:color="CCCCCC" w:sz="1"/>
              <w:right w:val="single" w:color="CCCCCC" w:sz="1"/>
            </w:tcBorders>
            <w:shd w:fill="F5F5F7" w:val="clear"/>
            <w:tcMar>
              <w:top w:type="dxa" w:w="80"/>
              <w:left w:type="dxa" w:w="120"/>
              <w:bottom w:type="dxa" w:w="80"/>
              <w:right w:type="dxa" w:w="120"/>
            </w:tcMar>
            <w:vAlign w:val="center"/>
          </w:tcPr>
          <w:p>
            <w:pPr>
              <w:jc w:val="center"/>
            </w:pPr>
            <w:r>
              <w:rPr>
                <w:rFonts w:ascii="Arial" w:cs="Arial" w:eastAsia="Arial" w:hAnsi="Arial"/>
                <w:b/>
                <w:bCs/>
                <w:color w:val="1D1D1F"/>
                <w:sz w:val="18"/>
                <w:szCs w:val="18"/>
              </w:rPr>
              <w:t xml:space="preserve">Notes</w:t>
            </w:r>
          </w:p>
        </w:tc>
      </w:tr>
      <w:tr>
        <w:tc>
          <w:tcPr>
            <w:tcW w:type="dxa" w:w="1800"/>
            <w:tcBorders>
              <w:top w:val="single" w:color="CCCCCC" w:sz="1"/>
              <w:left w:val="single" w:color="CCCCCC" w:sz="1"/>
              <w:bottom w:val="single" w:color="CCCCCC" w:sz="1"/>
              <w:right w:val="single" w:color="CCCCCC" w:sz="1"/>
            </w:tcBorders>
            <w:shd w:fill="F5F5F7" w:val="clear"/>
            <w:tcMar>
              <w:top w:type="dxa" w:w="80"/>
              <w:left w:type="dxa" w:w="120"/>
              <w:bottom w:type="dxa" w:w="80"/>
              <w:right w:type="dxa" w:w="120"/>
            </w:tcMar>
          </w:tcPr>
          <w:p>
            <w:r>
              <w:rPr>
                <w:rFonts w:ascii="Arial" w:cs="Arial" w:eastAsia="Arial" w:hAnsi="Arial"/>
                <w:b/>
                <w:bCs/>
                <w:color w:val="1D1D1F"/>
                <w:sz w:val="17"/>
                <w:szCs w:val="17"/>
              </w:rPr>
              <w:t xml:space="preserve">Afib History — EU MDR Certification</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D1D1F"/>
                <w:sz w:val="17"/>
                <w:szCs w:val="17"/>
              </w:rPr>
              <w:t xml:space="preserve">Q2 FY25</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D1D1F"/>
                <w:sz w:val="17"/>
                <w:szCs w:val="17"/>
              </w:rPr>
              <w:t xml:space="preserve">EU MDR / TUV</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D1D1F"/>
                <w:sz w:val="17"/>
                <w:szCs w:val="17"/>
              </w:rPr>
              <w:t xml:space="preserve">Software as Medical Device (SaMD) Class IIa</w:t>
            </w:r>
          </w:p>
        </w:tc>
      </w:tr>
      <w:tr>
        <w:tc>
          <w:tcPr>
            <w:tcW w:type="dxa" w:w="1800"/>
            <w:tcBorders>
              <w:top w:val="single" w:color="CCCCCC" w:sz="1"/>
              <w:left w:val="single" w:color="CCCCCC" w:sz="1"/>
              <w:bottom w:val="single" w:color="CCCCCC" w:sz="1"/>
              <w:right w:val="single" w:color="CCCCCC" w:sz="1"/>
            </w:tcBorders>
            <w:shd w:fill="F5F5F7" w:val="clear"/>
            <w:tcMar>
              <w:top w:type="dxa" w:w="80"/>
              <w:left w:type="dxa" w:w="120"/>
              <w:bottom w:type="dxa" w:w="80"/>
              <w:right w:type="dxa" w:w="120"/>
            </w:tcMar>
          </w:tcPr>
          <w:p>
            <w:r>
              <w:rPr>
                <w:rFonts w:ascii="Arial" w:cs="Arial" w:eastAsia="Arial" w:hAnsi="Arial"/>
                <w:b/>
                <w:bCs/>
                <w:color w:val="1D1D1F"/>
                <w:sz w:val="17"/>
                <w:szCs w:val="17"/>
              </w:rPr>
              <w:t xml:space="preserve">Cycle Tracking — FDA De Novo Clearance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D1D1F"/>
                <w:sz w:val="17"/>
                <w:szCs w:val="17"/>
              </w:rPr>
              <w:t xml:space="preserve">Q3 FY25</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D1D1F"/>
                <w:sz w:val="17"/>
                <w:szCs w:val="17"/>
              </w:rPr>
              <w:t xml:space="preserve">FDA Center for Devices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D1D1F"/>
                <w:sz w:val="17"/>
                <w:szCs w:val="17"/>
              </w:rPr>
              <w:t xml:space="preserve">Retrospective fertility indication expansion</w:t>
            </w:r>
          </w:p>
        </w:tc>
      </w:tr>
      <w:tr>
        <w:tc>
          <w:tcPr>
            <w:tcW w:type="dxa" w:w="1800"/>
            <w:tcBorders>
              <w:top w:val="single" w:color="CCCCCC" w:sz="1"/>
              <w:left w:val="single" w:color="CCCCCC" w:sz="1"/>
              <w:bottom w:val="single" w:color="CCCCCC" w:sz="1"/>
              <w:right w:val="single" w:color="CCCCCC" w:sz="1"/>
            </w:tcBorders>
            <w:shd w:fill="F5F5F7" w:val="clear"/>
            <w:tcMar>
              <w:top w:type="dxa" w:w="80"/>
              <w:left w:type="dxa" w:w="120"/>
              <w:bottom w:type="dxa" w:w="80"/>
              <w:right w:type="dxa" w:w="120"/>
            </w:tcMar>
          </w:tcPr>
          <w:p>
            <w:r>
              <w:rPr>
                <w:rFonts w:ascii="Arial" w:cs="Arial" w:eastAsia="Arial" w:hAnsi="Arial"/>
                <w:b/>
                <w:bCs/>
                <w:color w:val="1D1D1F"/>
                <w:sz w:val="17"/>
                <w:szCs w:val="17"/>
              </w:rPr>
              <w:t xml:space="preserve">Blood Glucose Display — FDA 510(k)</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D1D1F"/>
                <w:sz w:val="17"/>
                <w:szCs w:val="17"/>
              </w:rPr>
              <w:t xml:space="preserve">Q3 FY25</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D1D1F"/>
                <w:sz w:val="17"/>
                <w:szCs w:val="17"/>
              </w:rPr>
              <w:t xml:space="preserve">FDA CDRH</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D1D1F"/>
                <w:sz w:val="17"/>
                <w:szCs w:val="17"/>
              </w:rPr>
              <w:t xml:space="preserve">CGM partner API display; not a diagnostic claim</w:t>
            </w:r>
          </w:p>
        </w:tc>
      </w:tr>
      <w:tr>
        <w:tc>
          <w:tcPr>
            <w:tcW w:type="dxa" w:w="1800"/>
            <w:tcBorders>
              <w:top w:val="single" w:color="CCCCCC" w:sz="1"/>
              <w:left w:val="single" w:color="CCCCCC" w:sz="1"/>
              <w:bottom w:val="single" w:color="CCCCCC" w:sz="1"/>
              <w:right w:val="single" w:color="CCCCCC" w:sz="1"/>
            </w:tcBorders>
            <w:shd w:fill="F5F5F7" w:val="clear"/>
            <w:tcMar>
              <w:top w:type="dxa" w:w="80"/>
              <w:left w:type="dxa" w:w="120"/>
              <w:bottom w:type="dxa" w:w="80"/>
              <w:right w:type="dxa" w:w="120"/>
            </w:tcMar>
          </w:tcPr>
          <w:p>
            <w:r>
              <w:rPr>
                <w:rFonts w:ascii="Arial" w:cs="Arial" w:eastAsia="Arial" w:hAnsi="Arial"/>
                <w:b/>
                <w:bCs/>
                <w:color w:val="1D1D1F"/>
                <w:sz w:val="17"/>
                <w:szCs w:val="17"/>
              </w:rPr>
              <w:t xml:space="preserve">Mental Health PHQ-9 Integration — HIPAA BAA</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D1D1F"/>
                <w:sz w:val="17"/>
                <w:szCs w:val="17"/>
              </w:rPr>
              <w:t xml:space="preserve">Q2 FY25</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D1D1F"/>
                <w:sz w:val="17"/>
                <w:szCs w:val="17"/>
              </w:rPr>
              <w:t xml:space="preserve">Internal Legal / Privacy</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D1D1F"/>
                <w:sz w:val="17"/>
                <w:szCs w:val="17"/>
              </w:rPr>
              <w:t xml:space="preserve">BAA with clinical content partners required</w:t>
            </w:r>
          </w:p>
        </w:tc>
      </w:tr>
      <w:tr>
        <w:tc>
          <w:tcPr>
            <w:tcW w:type="dxa" w:w="1800"/>
            <w:tcBorders>
              <w:top w:val="single" w:color="CCCCCC" w:sz="1"/>
              <w:left w:val="single" w:color="CCCCCC" w:sz="1"/>
              <w:bottom w:val="single" w:color="CCCCCC" w:sz="1"/>
              <w:right w:val="single" w:color="CCCCCC" w:sz="1"/>
            </w:tcBorders>
            <w:shd w:fill="F5F5F7" w:val="clear"/>
            <w:tcMar>
              <w:top w:type="dxa" w:w="80"/>
              <w:left w:type="dxa" w:w="120"/>
              <w:bottom w:type="dxa" w:w="80"/>
              <w:right w:type="dxa" w:w="120"/>
            </w:tcMar>
          </w:tcPr>
          <w:p>
            <w:r>
              <w:rPr>
                <w:rFonts w:ascii="Arial" w:cs="Arial" w:eastAsia="Arial" w:hAnsi="Arial"/>
                <w:b/>
                <w:bCs/>
                <w:color w:val="1D1D1F"/>
                <w:sz w:val="17"/>
                <w:szCs w:val="17"/>
              </w:rPr>
              <w:t xml:space="preserve">Blood Pressure Monitor — FDA 510(k)</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D1D1F"/>
                <w:sz w:val="17"/>
                <w:szCs w:val="17"/>
              </w:rPr>
              <w:t xml:space="preserve">H1 FY26</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D1D1F"/>
                <w:sz w:val="17"/>
                <w:szCs w:val="17"/>
              </w:rPr>
              <w:t xml:space="preserve">FDA CDRH</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D1D1F"/>
                <w:sz w:val="17"/>
                <w:szCs w:val="17"/>
              </w:rPr>
              <w:t xml:space="preserve">Tied to Watch hardware; not in current lineup</w:t>
            </w:r>
          </w:p>
        </w:tc>
      </w:tr>
      <w:tr>
        <w:tc>
          <w:tcPr>
            <w:tcW w:type="dxa" w:w="1800"/>
            <w:tcBorders>
              <w:top w:val="single" w:color="CCCCCC" w:sz="1"/>
              <w:left w:val="single" w:color="CCCCCC" w:sz="1"/>
              <w:bottom w:val="single" w:color="CCCCCC" w:sz="1"/>
              <w:right w:val="single" w:color="CCCCCC" w:sz="1"/>
            </w:tcBorders>
            <w:shd w:fill="F5F5F7" w:val="clear"/>
            <w:tcMar>
              <w:top w:type="dxa" w:w="80"/>
              <w:left w:type="dxa" w:w="120"/>
              <w:bottom w:type="dxa" w:w="80"/>
              <w:right w:type="dxa" w:w="120"/>
            </w:tcMar>
          </w:tcPr>
          <w:p>
            <w:r>
              <w:rPr>
                <w:rFonts w:ascii="Arial" w:cs="Arial" w:eastAsia="Arial" w:hAnsi="Arial"/>
                <w:b/>
                <w:bCs/>
                <w:color w:val="1D1D1F"/>
                <w:sz w:val="17"/>
                <w:szCs w:val="17"/>
              </w:rPr>
              <w:t xml:space="preserve">Health Records EU — GDPR Article 9 Review</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D1D1F"/>
                <w:sz w:val="17"/>
                <w:szCs w:val="17"/>
              </w:rPr>
              <w:t xml:space="preserve">Q1 FY25</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D1D1F"/>
                <w:sz w:val="17"/>
                <w:szCs w:val="17"/>
              </w:rPr>
              <w:t xml:space="preserve">EU DPA (Ireland lead)</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D1D1F"/>
                <w:sz w:val="17"/>
                <w:szCs w:val="17"/>
              </w:rPr>
              <w:t xml:space="preserve">Health data requires explicit consent flow audit</w:t>
            </w:r>
          </w:p>
        </w:tc>
      </w:tr>
      <w:tr>
        <w:tc>
          <w:tcPr>
            <w:tcW w:type="dxa" w:w="1800"/>
            <w:tcBorders>
              <w:top w:val="single" w:color="CCCCCC" w:sz="1"/>
              <w:left w:val="single" w:color="CCCCCC" w:sz="1"/>
              <w:bottom w:val="single" w:color="CCCCCC" w:sz="1"/>
              <w:right w:val="single" w:color="CCCCCC" w:sz="1"/>
            </w:tcBorders>
            <w:shd w:fill="F5F5F7" w:val="clear"/>
            <w:tcMar>
              <w:top w:type="dxa" w:w="80"/>
              <w:left w:type="dxa" w:w="120"/>
              <w:bottom w:type="dxa" w:w="80"/>
              <w:right w:type="dxa" w:w="120"/>
            </w:tcMar>
          </w:tcPr>
          <w:p>
            <w:r>
              <w:rPr>
                <w:rFonts w:ascii="Arial" w:cs="Arial" w:eastAsia="Arial" w:hAnsi="Arial"/>
                <w:b/>
                <w:bCs/>
                <w:color w:val="1D1D1F"/>
                <w:sz w:val="17"/>
                <w:szCs w:val="17"/>
              </w:rPr>
              <w:t xml:space="preserve">HealthKit Research APIs — IRB Framework</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D1D1F"/>
                <w:sz w:val="17"/>
                <w:szCs w:val="17"/>
              </w:rPr>
              <w:t xml:space="preserve">Q4 FY25</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D1D1F"/>
                <w:sz w:val="17"/>
                <w:szCs w:val="17"/>
              </w:rPr>
              <w:t xml:space="preserve">Academic partners + Apple Legal</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D1D1F"/>
                <w:sz w:val="17"/>
                <w:szCs w:val="17"/>
              </w:rPr>
              <w:t xml:space="preserve">Standardized IRB consent for Apple Research app studies</w:t>
            </w:r>
          </w:p>
        </w:tc>
      </w:tr>
    </w:tbl>
    <w:p>
      <w:pPr>
        <w:spacing w:after="60" w:before="60"/>
      </w:pPr>
      <w:r>
        <w:t xml:space="preserve"/>
      </w:r>
    </w:p>
    <w:p>
      <w:pPr>
        <w:pStyle w:val="Heading1"/>
        <w:pBdr>
          <w:bottom w:val="single" w:color="CCCCCC" w:sz="4" w:space="4"/>
        </w:pBdr>
        <w:spacing w:after="140" w:before="300"/>
      </w:pPr>
      <w:r>
        <w:rPr>
          <w:rFonts w:ascii="Arial" w:cs="Arial" w:eastAsia="Arial" w:hAnsi="Arial"/>
          <w:b/>
          <w:bCs/>
          <w:color w:val="1D1D1F"/>
          <w:sz w:val="28"/>
          <w:szCs w:val="28"/>
        </w:rPr>
        <w:t xml:space="preserve">5. Cross-Functional Dependencies</w:t>
      </w:r>
    </w:p>
    <w:p>
      <w:pPr>
        <w:pStyle w:val="Heading2"/>
        <w:spacing w:after="100" w:before="200"/>
      </w:pPr>
      <w:r>
        <w:rPr>
          <w:rFonts w:ascii="Arial" w:cs="Arial" w:eastAsia="Arial" w:hAnsi="Arial"/>
          <w:b/>
          <w:bCs/>
          <w:color w:val="1D1D1F"/>
          <w:sz w:val="22"/>
          <w:szCs w:val="22"/>
        </w:rPr>
        <w:t xml:space="preserve">Hardware</w:t>
      </w:r>
    </w:p>
    <w:p>
      <w:pPr>
        <w:pStyle w:val="ListParagraph"/>
        <w:numPr>
          <w:ilvl w:val="0"/>
          <w:numId w:val="2"/>
        </w:numPr>
        <w:spacing w:after="40" w:before="40"/>
      </w:pPr>
      <w:r>
        <w:rPr>
          <w:rFonts w:ascii="Arial" w:cs="Arial" w:eastAsia="Arial" w:hAnsi="Arial"/>
          <w:color w:val="1D1D1F"/>
          <w:sz w:val="20"/>
          <w:szCs w:val="20"/>
        </w:rPr>
        <w:t xml:space="preserve">Watch Series 11: Blood pressure sensor hardware required for watchOS BP monitoring (H1 FY26 regulatory track)</w:t>
      </w:r>
    </w:p>
    <w:p>
      <w:pPr>
        <w:pStyle w:val="ListParagraph"/>
        <w:numPr>
          <w:ilvl w:val="0"/>
          <w:numId w:val="2"/>
        </w:numPr>
        <w:spacing w:after="40" w:before="40"/>
      </w:pPr>
      <w:r>
        <w:rPr>
          <w:rFonts w:ascii="Arial" w:cs="Arial" w:eastAsia="Arial" w:hAnsi="Arial"/>
          <w:color w:val="1D1D1F"/>
          <w:sz w:val="20"/>
          <w:szCs w:val="20"/>
        </w:rPr>
        <w:t xml:space="preserve">Vision Pro Gen 2: Biometric ambient display requires EyeSight API and always-on processor mode</w:t>
      </w:r>
    </w:p>
    <w:p>
      <w:pPr>
        <w:pStyle w:val="ListParagraph"/>
        <w:numPr>
          <w:ilvl w:val="0"/>
          <w:numId w:val="2"/>
        </w:numPr>
        <w:spacing w:after="40" w:before="40"/>
      </w:pPr>
      <w:r>
        <w:rPr>
          <w:rFonts w:ascii="Arial" w:cs="Arial" w:eastAsia="Arial" w:hAnsi="Arial"/>
          <w:color w:val="1D1D1F"/>
          <w:sz w:val="20"/>
          <w:szCs w:val="20"/>
        </w:rPr>
        <w:t xml:space="preserve">AirPods Pro 3: Hearing health features (audio audiogram) depend on new driver firmware — Q4 FY25</w:t>
      </w:r>
    </w:p>
    <w:p>
      <w:pPr>
        <w:spacing w:after="60" w:before="60"/>
      </w:pPr>
      <w:r>
        <w:t xml:space="preserve"/>
      </w:r>
    </w:p>
    <w:p>
      <w:pPr>
        <w:pStyle w:val="Heading2"/>
        <w:spacing w:after="100" w:before="200"/>
      </w:pPr>
      <w:r>
        <w:rPr>
          <w:rFonts w:ascii="Arial" w:cs="Arial" w:eastAsia="Arial" w:hAnsi="Arial"/>
          <w:b/>
          <w:bCs/>
          <w:color w:val="1D1D1F"/>
          <w:sz w:val="22"/>
          <w:szCs w:val="22"/>
        </w:rPr>
        <w:t xml:space="preserve">Software Platform</w:t>
      </w:r>
    </w:p>
    <w:p>
      <w:pPr>
        <w:pStyle w:val="ListParagraph"/>
        <w:numPr>
          <w:ilvl w:val="0"/>
          <w:numId w:val="2"/>
        </w:numPr>
        <w:spacing w:after="40" w:before="40"/>
      </w:pPr>
      <w:r>
        <w:rPr>
          <w:rFonts w:ascii="Arial" w:cs="Arial" w:eastAsia="Arial" w:hAnsi="Arial"/>
          <w:color w:val="1D1D1F"/>
          <w:sz w:val="20"/>
          <w:szCs w:val="20"/>
        </w:rPr>
        <w:t xml:space="preserve">iOS 19 / watchOS 12: Health app architecture refactor to support HealthKit 2.0 data types</w:t>
      </w:r>
    </w:p>
    <w:p>
      <w:pPr>
        <w:pStyle w:val="ListParagraph"/>
        <w:numPr>
          <w:ilvl w:val="0"/>
          <w:numId w:val="2"/>
        </w:numPr>
        <w:spacing w:after="40" w:before="40"/>
      </w:pPr>
      <w:r>
        <w:rPr>
          <w:rFonts w:ascii="Arial" w:cs="Arial" w:eastAsia="Arial" w:hAnsi="Arial"/>
          <w:color w:val="1D1D1F"/>
          <w:sz w:val="20"/>
          <w:szCs w:val="20"/>
        </w:rPr>
        <w:t xml:space="preserve">Swift Health UI Library: Shared component library for Health, Research, and Fitness apps — owned by Design Systems</w:t>
      </w:r>
    </w:p>
    <w:p>
      <w:pPr>
        <w:pStyle w:val="ListParagraph"/>
        <w:numPr>
          <w:ilvl w:val="0"/>
          <w:numId w:val="2"/>
        </w:numPr>
        <w:spacing w:after="40" w:before="40"/>
      </w:pPr>
      <w:r>
        <w:rPr>
          <w:rFonts w:ascii="Arial" w:cs="Arial" w:eastAsia="Arial" w:hAnsi="Arial"/>
          <w:color w:val="1D1D1F"/>
          <w:sz w:val="20"/>
          <w:szCs w:val="20"/>
        </w:rPr>
        <w:t xml:space="preserve">On-device ML (Core ML): AI Health Summary feature requires on-device LLM inference — coordination with Core ML team</w:t>
      </w:r>
    </w:p>
    <w:p>
      <w:pPr>
        <w:spacing w:after="60" w:before="60"/>
      </w:pPr>
      <w:r>
        <w:t xml:space="preserve"/>
      </w:r>
    </w:p>
    <w:p>
      <w:pPr>
        <w:pStyle w:val="Heading2"/>
        <w:spacing w:after="100" w:before="200"/>
      </w:pPr>
      <w:r>
        <w:rPr>
          <w:rFonts w:ascii="Arial" w:cs="Arial" w:eastAsia="Arial" w:hAnsi="Arial"/>
          <w:b/>
          <w:bCs/>
          <w:color w:val="1D1D1F"/>
          <w:sz w:val="22"/>
          <w:szCs w:val="22"/>
        </w:rPr>
        <w:t xml:space="preserve">Legal &amp; Privacy</w:t>
      </w:r>
    </w:p>
    <w:p>
      <w:pPr>
        <w:pStyle w:val="ListParagraph"/>
        <w:numPr>
          <w:ilvl w:val="0"/>
          <w:numId w:val="2"/>
        </w:numPr>
        <w:spacing w:after="40" w:before="40"/>
      </w:pPr>
      <w:r>
        <w:rPr>
          <w:rFonts w:ascii="Arial" w:cs="Arial" w:eastAsia="Arial" w:hAnsi="Arial"/>
          <w:color w:val="1D1D1F"/>
          <w:sz w:val="20"/>
          <w:szCs w:val="20"/>
        </w:rPr>
        <w:t xml:space="preserve">All EHR integration partners require executed Business Associate Agreements (BAA) under HIPAA</w:t>
      </w:r>
    </w:p>
    <w:p>
      <w:pPr>
        <w:pStyle w:val="ListParagraph"/>
        <w:numPr>
          <w:ilvl w:val="0"/>
          <w:numId w:val="2"/>
        </w:numPr>
        <w:spacing w:after="40" w:before="40"/>
      </w:pPr>
      <w:r>
        <w:rPr>
          <w:rFonts w:ascii="Arial" w:cs="Arial" w:eastAsia="Arial" w:hAnsi="Arial"/>
          <w:color w:val="1D1D1F"/>
          <w:sz w:val="20"/>
          <w:szCs w:val="20"/>
        </w:rPr>
        <w:t xml:space="preserve">visionOS health data — Privacy review required for any biometric data captured by eye-tracking or spatial sensors</w:t>
      </w:r>
    </w:p>
    <w:p>
      <w:pPr>
        <w:pStyle w:val="ListParagraph"/>
        <w:numPr>
          <w:ilvl w:val="0"/>
          <w:numId w:val="2"/>
        </w:numPr>
        <w:spacing w:after="40" w:before="40"/>
      </w:pPr>
      <w:r>
        <w:rPr>
          <w:rFonts w:ascii="Arial" w:cs="Arial" w:eastAsia="Arial" w:hAnsi="Arial"/>
          <w:color w:val="1D1D1F"/>
          <w:sz w:val="20"/>
          <w:szCs w:val="20"/>
        </w:rPr>
        <w:t xml:space="preserve">Mental health data — Special category under GDPR Article 9; EU launch requires dedicated DPA notification</w:t>
      </w:r>
    </w:p>
    <w:p>
      <w:pPr>
        <w:spacing w:after="60" w:before="60"/>
      </w:pPr>
      <w:r>
        <w:t xml:space="preserve"/>
      </w:r>
    </w:p>
    <w:p>
      <w:pPr>
        <w:pStyle w:val="Heading2"/>
        <w:spacing w:after="100" w:before="200"/>
      </w:pPr>
      <w:r>
        <w:rPr>
          <w:rFonts w:ascii="Arial" w:cs="Arial" w:eastAsia="Arial" w:hAnsi="Arial"/>
          <w:b/>
          <w:bCs/>
          <w:color w:val="1D1D1F"/>
          <w:sz w:val="22"/>
          <w:szCs w:val="22"/>
        </w:rPr>
        <w:t xml:space="preserve">Clinical Advisory Board</w:t>
      </w:r>
    </w:p>
    <w:p>
      <w:pPr>
        <w:pStyle w:val="ListParagraph"/>
        <w:numPr>
          <w:ilvl w:val="0"/>
          <w:numId w:val="2"/>
        </w:numPr>
        <w:spacing w:after="40" w:before="40"/>
      </w:pPr>
      <w:r>
        <w:rPr>
          <w:rFonts w:ascii="Arial" w:cs="Arial" w:eastAsia="Arial" w:hAnsi="Arial"/>
          <w:color w:val="1D1D1F"/>
          <w:sz w:val="20"/>
          <w:szCs w:val="20"/>
        </w:rPr>
        <w:t xml:space="preserve">Reviews clinical instrument integrations (PHQ-9, GAD-7, HbA1c trending) prior to launch</w:t>
      </w:r>
    </w:p>
    <w:p>
      <w:pPr>
        <w:pStyle w:val="ListParagraph"/>
        <w:numPr>
          <w:ilvl w:val="0"/>
          <w:numId w:val="2"/>
        </w:numPr>
        <w:spacing w:after="40" w:before="40"/>
      </w:pPr>
      <w:r>
        <w:rPr>
          <w:rFonts w:ascii="Arial" w:cs="Arial" w:eastAsia="Arial" w:hAnsi="Arial"/>
          <w:color w:val="1D1D1F"/>
          <w:sz w:val="20"/>
          <w:szCs w:val="20"/>
        </w:rPr>
        <w:t xml:space="preserve">DRI: VP of Health — meets monthly; emergency review process available for urgent regulatory matters</w:t>
      </w:r>
    </w:p>
    <w:p>
      <w:pPr>
        <w:spacing w:after="60" w:before="60"/>
      </w:pPr>
      <w:r>
        <w:t xml:space="preserve"/>
      </w:r>
    </w:p>
    <w:p>
      <w:pPr>
        <w:pStyle w:val="Heading1"/>
        <w:pBdr>
          <w:bottom w:val="single" w:color="CCCCCC" w:sz="4" w:space="4"/>
        </w:pBdr>
        <w:spacing w:after="140" w:before="300"/>
      </w:pPr>
      <w:r>
        <w:rPr>
          <w:rFonts w:ascii="Arial" w:cs="Arial" w:eastAsia="Arial" w:hAnsi="Arial"/>
          <w:b/>
          <w:bCs/>
          <w:color w:val="1D1D1F"/>
          <w:sz w:val="28"/>
          <w:szCs w:val="28"/>
        </w:rPr>
        <w:t xml:space="preserve">6. Initiative Priority Stack</w:t>
      </w:r>
    </w:p>
    <w:p>
      <w:pPr>
        <w:spacing w:after="60" w:before="60"/>
      </w:pPr>
      <w:r>
        <w:rPr>
          <w:rFonts w:ascii="Arial" w:cs="Arial" w:eastAsia="Arial" w:hAnsi="Arial"/>
          <w:color w:val="1D1D1F"/>
          <w:sz w:val="20"/>
          <w:szCs w:val="20"/>
        </w:rPr>
        <w:t xml:space="preserve">All initiatives are ranked P0 through P3. P0 = launch-critical for FY25; P1 = high-value planned; P2 = planned, lower urgency; P3 = directional / requires further scoping.</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600"/>
        <w:gridCol w:w="1680"/>
        <w:gridCol w:w="1680"/>
        <w:gridCol w:w="1680"/>
        <w:gridCol w:w="1320"/>
      </w:tblGrid>
      <w:tr>
        <w:trPr>
          <w:tblHeader/>
        </w:trPr>
        <w:tc>
          <w:tcPr>
            <w:tcW w:type="dxa" w:w="400"/>
            <w:tcBorders>
              <w:top w:val="single" w:color="CCCCCC" w:sz="1"/>
              <w:left w:val="single" w:color="CCCCCC" w:sz="1"/>
              <w:bottom w:val="single" w:color="CCCCCC" w:sz="1"/>
              <w:right w:val="single" w:color="CCCCCC" w:sz="1"/>
            </w:tcBorders>
            <w:shd w:fill="F5F5F7" w:val="clear"/>
            <w:tcMar>
              <w:top w:type="dxa" w:w="80"/>
              <w:left w:type="dxa" w:w="120"/>
              <w:bottom w:type="dxa" w:w="80"/>
              <w:right w:type="dxa" w:w="120"/>
            </w:tcMar>
            <w:vAlign w:val="center"/>
          </w:tcPr>
          <w:p>
            <w:pPr>
              <w:jc w:val="center"/>
            </w:pPr>
            <w:r>
              <w:rPr>
                <w:rFonts w:ascii="Arial" w:cs="Arial" w:eastAsia="Arial" w:hAnsi="Arial"/>
                <w:b/>
                <w:bCs/>
                <w:color w:val="1D1D1F"/>
                <w:sz w:val="18"/>
                <w:szCs w:val="18"/>
              </w:rPr>
              <w:t xml:space="preserve">#</w:t>
            </w:r>
          </w:p>
        </w:tc>
        <w:tc>
          <w:tcPr>
            <w:tcW w:type="dxa" w:w="2600"/>
            <w:tcBorders>
              <w:top w:val="single" w:color="CCCCCC" w:sz="1"/>
              <w:left w:val="single" w:color="CCCCCC" w:sz="1"/>
              <w:bottom w:val="single" w:color="CCCCCC" w:sz="1"/>
              <w:right w:val="single" w:color="CCCCCC" w:sz="1"/>
            </w:tcBorders>
            <w:shd w:fill="F5F5F7" w:val="clear"/>
            <w:tcMar>
              <w:top w:type="dxa" w:w="80"/>
              <w:left w:type="dxa" w:w="120"/>
              <w:bottom w:type="dxa" w:w="80"/>
              <w:right w:type="dxa" w:w="120"/>
            </w:tcMar>
            <w:vAlign w:val="center"/>
          </w:tcPr>
          <w:p>
            <w:pPr>
              <w:jc w:val="center"/>
            </w:pPr>
            <w:r>
              <w:rPr>
                <w:rFonts w:ascii="Arial" w:cs="Arial" w:eastAsia="Arial" w:hAnsi="Arial"/>
                <w:b/>
                <w:bCs/>
                <w:color w:val="1D1D1F"/>
                <w:sz w:val="18"/>
                <w:szCs w:val="18"/>
              </w:rPr>
              <w:t xml:space="preserve">Initiative</w:t>
            </w:r>
          </w:p>
        </w:tc>
        <w:tc>
          <w:tcPr>
            <w:tcW w:type="dxa" w:w="1680"/>
            <w:tcBorders>
              <w:top w:val="single" w:color="CCCCCC" w:sz="1"/>
              <w:left w:val="single" w:color="CCCCCC" w:sz="1"/>
              <w:bottom w:val="single" w:color="CCCCCC" w:sz="1"/>
              <w:right w:val="single" w:color="CCCCCC" w:sz="1"/>
            </w:tcBorders>
            <w:shd w:fill="F5F5F7" w:val="clear"/>
            <w:tcMar>
              <w:top w:type="dxa" w:w="80"/>
              <w:left w:type="dxa" w:w="120"/>
              <w:bottom w:type="dxa" w:w="80"/>
              <w:right w:type="dxa" w:w="120"/>
            </w:tcMar>
            <w:vAlign w:val="center"/>
          </w:tcPr>
          <w:p>
            <w:pPr>
              <w:jc w:val="center"/>
            </w:pPr>
            <w:r>
              <w:rPr>
                <w:rFonts w:ascii="Arial" w:cs="Arial" w:eastAsia="Arial" w:hAnsi="Arial"/>
                <w:b/>
                <w:bCs/>
                <w:color w:val="1D1D1F"/>
                <w:sz w:val="18"/>
                <w:szCs w:val="18"/>
              </w:rPr>
              <w:t xml:space="preserve">Theme</w:t>
            </w:r>
          </w:p>
        </w:tc>
        <w:tc>
          <w:tcPr>
            <w:tcW w:type="dxa" w:w="1680"/>
            <w:tcBorders>
              <w:top w:val="single" w:color="CCCCCC" w:sz="1"/>
              <w:left w:val="single" w:color="CCCCCC" w:sz="1"/>
              <w:bottom w:val="single" w:color="CCCCCC" w:sz="1"/>
              <w:right w:val="single" w:color="CCCCCC" w:sz="1"/>
            </w:tcBorders>
            <w:shd w:fill="F5F5F7" w:val="clear"/>
            <w:tcMar>
              <w:top w:type="dxa" w:w="80"/>
              <w:left w:type="dxa" w:w="120"/>
              <w:bottom w:type="dxa" w:w="80"/>
              <w:right w:type="dxa" w:w="120"/>
            </w:tcMar>
            <w:vAlign w:val="center"/>
          </w:tcPr>
          <w:p>
            <w:pPr>
              <w:jc w:val="center"/>
            </w:pPr>
            <w:r>
              <w:rPr>
                <w:rFonts w:ascii="Arial" w:cs="Arial" w:eastAsia="Arial" w:hAnsi="Arial"/>
                <w:b/>
                <w:bCs/>
                <w:color w:val="1D1D1F"/>
                <w:sz w:val="18"/>
                <w:szCs w:val="18"/>
              </w:rPr>
              <w:t xml:space="preserve">Platform</w:t>
            </w:r>
          </w:p>
        </w:tc>
        <w:tc>
          <w:tcPr>
            <w:tcW w:type="dxa" w:w="1680"/>
            <w:tcBorders>
              <w:top w:val="single" w:color="CCCCCC" w:sz="1"/>
              <w:left w:val="single" w:color="CCCCCC" w:sz="1"/>
              <w:bottom w:val="single" w:color="CCCCCC" w:sz="1"/>
              <w:right w:val="single" w:color="CCCCCC" w:sz="1"/>
            </w:tcBorders>
            <w:shd w:fill="F5F5F7" w:val="clear"/>
            <w:tcMar>
              <w:top w:type="dxa" w:w="80"/>
              <w:left w:type="dxa" w:w="120"/>
              <w:bottom w:type="dxa" w:w="80"/>
              <w:right w:type="dxa" w:w="120"/>
            </w:tcMar>
            <w:vAlign w:val="center"/>
          </w:tcPr>
          <w:p>
            <w:pPr>
              <w:jc w:val="center"/>
            </w:pPr>
            <w:r>
              <w:rPr>
                <w:rFonts w:ascii="Arial" w:cs="Arial" w:eastAsia="Arial" w:hAnsi="Arial"/>
                <w:b/>
                <w:bCs/>
                <w:color w:val="1D1D1F"/>
                <w:sz w:val="18"/>
                <w:szCs w:val="18"/>
              </w:rPr>
              <w:t xml:space="preserve">Owner</w:t>
            </w:r>
          </w:p>
        </w:tc>
        <w:tc>
          <w:tcPr>
            <w:tcW w:type="dxa" w:w="1320"/>
            <w:tcBorders>
              <w:top w:val="single" w:color="CCCCCC" w:sz="1"/>
              <w:left w:val="single" w:color="CCCCCC" w:sz="1"/>
              <w:bottom w:val="single" w:color="CCCCCC" w:sz="1"/>
              <w:right w:val="single" w:color="CCCCCC" w:sz="1"/>
            </w:tcBorders>
            <w:shd w:fill="F5F5F7" w:val="clear"/>
            <w:tcMar>
              <w:top w:type="dxa" w:w="80"/>
              <w:left w:type="dxa" w:w="120"/>
              <w:bottom w:type="dxa" w:w="80"/>
              <w:right w:type="dxa" w:w="120"/>
            </w:tcMar>
            <w:vAlign w:val="center"/>
          </w:tcPr>
          <w:p>
            <w:pPr>
              <w:jc w:val="center"/>
            </w:pPr>
            <w:r>
              <w:rPr>
                <w:rFonts w:ascii="Arial" w:cs="Arial" w:eastAsia="Arial" w:hAnsi="Arial"/>
                <w:b/>
                <w:bCs/>
                <w:color w:val="1D1D1F"/>
                <w:sz w:val="18"/>
                <w:szCs w:val="18"/>
              </w:rPr>
              <w:t xml:space="preserve">Priority</w:t>
            </w:r>
          </w:p>
        </w:tc>
      </w:tr>
      <w:tr>
        <w:tc>
          <w:tcPr>
            <w:tcW w:type="dxa" w:w="400"/>
            <w:tcBorders>
              <w:top w:val="single" w:color="CCCCCC" w:sz="1"/>
              <w:left w:val="single" w:color="CCCCCC" w:sz="1"/>
              <w:bottom w:val="single" w:color="CCCCCC" w:sz="1"/>
              <w:right w:val="single" w:color="CCCCCC" w:sz="1"/>
            </w:tcBorders>
            <w:shd w:fill="F5F5F7" w:val="clear"/>
            <w:tcMar>
              <w:top w:type="dxa" w:w="80"/>
              <w:left w:type="dxa" w:w="120"/>
              <w:bottom w:type="dxa" w:w="80"/>
              <w:right w:type="dxa" w:w="120"/>
            </w:tcMar>
            <w:vAlign w:val="center"/>
          </w:tcPr>
          <w:p>
            <w:pPr>
              <w:jc w:val="center"/>
            </w:pPr>
            <w:r>
              <w:rPr>
                <w:rFonts w:ascii="Arial" w:cs="Arial" w:eastAsia="Arial" w:hAnsi="Arial"/>
                <w:b w:val="false"/>
                <w:bCs w:val="false"/>
                <w:color w:val="1D1D1F"/>
                <w:sz w:val="17"/>
                <w:szCs w:val="17"/>
              </w:rPr>
              <w:t xml:space="preserve">1</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1D1D1F"/>
                <w:sz w:val="17"/>
                <w:szCs w:val="17"/>
              </w:rPr>
              <w:t xml:space="preserve">EHR Integration (Epic, Cerner, CommonSpirit)</w:t>
            </w:r>
          </w:p>
        </w:tc>
        <w:tc>
          <w:tcPr>
            <w:tcW w:type="dxa" w:w="1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1D1D1F"/>
                <w:sz w:val="17"/>
                <w:szCs w:val="17"/>
              </w:rPr>
              <w:t xml:space="preserve">Clinical Partnerships</w:t>
            </w:r>
          </w:p>
        </w:tc>
        <w:tc>
          <w:tcPr>
            <w:tcW w:type="dxa" w:w="1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1D1D1F"/>
                <w:sz w:val="17"/>
                <w:szCs w:val="17"/>
              </w:rPr>
              <w:t xml:space="preserve">iOS</w:t>
            </w:r>
          </w:p>
        </w:tc>
        <w:tc>
          <w:tcPr>
            <w:tcW w:type="dxa" w:w="1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1D1D1F"/>
                <w:sz w:val="17"/>
                <w:szCs w:val="17"/>
              </w:rPr>
              <w:t xml:space="preserve">Health Platform Eng</w:t>
            </w:r>
          </w:p>
        </w:tc>
        <w:tc>
          <w:tcPr>
            <w:tcW w:type="dxa" w:w="1320"/>
            <w:tcBorders>
              <w:top w:val="single" w:color="CCCCCC" w:sz="1"/>
              <w:left w:val="single" w:color="CCCCCC" w:sz="1"/>
              <w:bottom w:val="single" w:color="CCCCCC" w:sz="1"/>
              <w:right w:val="single" w:color="CCCCCC" w:sz="1"/>
            </w:tcBorders>
            <w:shd w:fill="FFDDDD" w:val="clear"/>
            <w:tcMar>
              <w:top w:type="dxa" w:w="80"/>
              <w:left w:type="dxa" w:w="120"/>
              <w:bottom w:type="dxa" w:w="80"/>
              <w:right w:type="dxa" w:w="120"/>
            </w:tcMar>
            <w:vAlign w:val="center"/>
          </w:tcPr>
          <w:p>
            <w:pPr>
              <w:jc w:val="center"/>
            </w:pPr>
            <w:r>
              <w:rPr>
                <w:rFonts w:ascii="Arial" w:cs="Arial" w:eastAsia="Arial" w:hAnsi="Arial"/>
                <w:b w:val="false"/>
                <w:bCs w:val="false"/>
                <w:color w:val="1D1D1F"/>
                <w:sz w:val="17"/>
                <w:szCs w:val="17"/>
              </w:rPr>
              <w:t xml:space="preserve">P0</w:t>
            </w:r>
          </w:p>
        </w:tc>
      </w:tr>
      <w:tr>
        <w:tc>
          <w:tcPr>
            <w:tcW w:type="dxa" w:w="400"/>
            <w:tcBorders>
              <w:top w:val="single" w:color="CCCCCC" w:sz="1"/>
              <w:left w:val="single" w:color="CCCCCC" w:sz="1"/>
              <w:bottom w:val="single" w:color="CCCCCC" w:sz="1"/>
              <w:right w:val="single" w:color="CCCCCC" w:sz="1"/>
            </w:tcBorders>
            <w:shd w:fill="F5F5F7" w:val="clear"/>
            <w:tcMar>
              <w:top w:type="dxa" w:w="80"/>
              <w:left w:type="dxa" w:w="120"/>
              <w:bottom w:type="dxa" w:w="80"/>
              <w:right w:type="dxa" w:w="120"/>
            </w:tcMar>
            <w:vAlign w:val="center"/>
          </w:tcPr>
          <w:p>
            <w:pPr>
              <w:jc w:val="center"/>
            </w:pPr>
            <w:r>
              <w:rPr>
                <w:rFonts w:ascii="Arial" w:cs="Arial" w:eastAsia="Arial" w:hAnsi="Arial"/>
                <w:b w:val="false"/>
                <w:bCs w:val="false"/>
                <w:color w:val="1D1D1F"/>
                <w:sz w:val="17"/>
                <w:szCs w:val="17"/>
              </w:rPr>
              <w:t xml:space="preserve">2</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1D1D1F"/>
                <w:sz w:val="17"/>
                <w:szCs w:val="17"/>
              </w:rPr>
              <w:t xml:space="preserve">Mental Health Suite — PHQ-9 + Mood Journal</w:t>
            </w:r>
          </w:p>
        </w:tc>
        <w:tc>
          <w:tcPr>
            <w:tcW w:type="dxa" w:w="1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1D1D1F"/>
                <w:sz w:val="17"/>
                <w:szCs w:val="17"/>
              </w:rPr>
              <w:t xml:space="preserve">Mental Health</w:t>
            </w:r>
          </w:p>
        </w:tc>
        <w:tc>
          <w:tcPr>
            <w:tcW w:type="dxa" w:w="1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1D1D1F"/>
                <w:sz w:val="17"/>
                <w:szCs w:val="17"/>
              </w:rPr>
              <w:t xml:space="preserve">iOS + watchOS</w:t>
            </w:r>
          </w:p>
        </w:tc>
        <w:tc>
          <w:tcPr>
            <w:tcW w:type="dxa" w:w="1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1D1D1F"/>
                <w:sz w:val="17"/>
                <w:szCs w:val="17"/>
              </w:rPr>
              <w:t xml:space="preserve">Health Apps</w:t>
            </w:r>
          </w:p>
        </w:tc>
        <w:tc>
          <w:tcPr>
            <w:tcW w:type="dxa" w:w="1320"/>
            <w:tcBorders>
              <w:top w:val="single" w:color="CCCCCC" w:sz="1"/>
              <w:left w:val="single" w:color="CCCCCC" w:sz="1"/>
              <w:bottom w:val="single" w:color="CCCCCC" w:sz="1"/>
              <w:right w:val="single" w:color="CCCCCC" w:sz="1"/>
            </w:tcBorders>
            <w:shd w:fill="FFDDDD" w:val="clear"/>
            <w:tcMar>
              <w:top w:type="dxa" w:w="80"/>
              <w:left w:type="dxa" w:w="120"/>
              <w:bottom w:type="dxa" w:w="80"/>
              <w:right w:type="dxa" w:w="120"/>
            </w:tcMar>
            <w:vAlign w:val="center"/>
          </w:tcPr>
          <w:p>
            <w:pPr>
              <w:jc w:val="center"/>
            </w:pPr>
            <w:r>
              <w:rPr>
                <w:rFonts w:ascii="Arial" w:cs="Arial" w:eastAsia="Arial" w:hAnsi="Arial"/>
                <w:b w:val="false"/>
                <w:bCs w:val="false"/>
                <w:color w:val="1D1D1F"/>
                <w:sz w:val="17"/>
                <w:szCs w:val="17"/>
              </w:rPr>
              <w:t xml:space="preserve">P0</w:t>
            </w:r>
          </w:p>
        </w:tc>
      </w:tr>
      <w:tr>
        <w:tc>
          <w:tcPr>
            <w:tcW w:type="dxa" w:w="400"/>
            <w:tcBorders>
              <w:top w:val="single" w:color="CCCCCC" w:sz="1"/>
              <w:left w:val="single" w:color="CCCCCC" w:sz="1"/>
              <w:bottom w:val="single" w:color="CCCCCC" w:sz="1"/>
              <w:right w:val="single" w:color="CCCCCC" w:sz="1"/>
            </w:tcBorders>
            <w:shd w:fill="F5F5F7" w:val="clear"/>
            <w:tcMar>
              <w:top w:type="dxa" w:w="80"/>
              <w:left w:type="dxa" w:w="120"/>
              <w:bottom w:type="dxa" w:w="80"/>
              <w:right w:type="dxa" w:w="120"/>
            </w:tcMar>
            <w:vAlign w:val="center"/>
          </w:tcPr>
          <w:p>
            <w:pPr>
              <w:jc w:val="center"/>
            </w:pPr>
            <w:r>
              <w:rPr>
                <w:rFonts w:ascii="Arial" w:cs="Arial" w:eastAsia="Arial" w:hAnsi="Arial"/>
                <w:b w:val="false"/>
                <w:bCs w:val="false"/>
                <w:color w:val="1D1D1F"/>
                <w:sz w:val="17"/>
                <w:szCs w:val="17"/>
              </w:rPr>
              <w:t xml:space="preserve">3</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1D1D1F"/>
                <w:sz w:val="17"/>
                <w:szCs w:val="17"/>
              </w:rPr>
              <w:t xml:space="preserve">Blood Glucose CGM Partner APIs</w:t>
            </w:r>
          </w:p>
        </w:tc>
        <w:tc>
          <w:tcPr>
            <w:tcW w:type="dxa" w:w="1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1D1D1F"/>
                <w:sz w:val="17"/>
                <w:szCs w:val="17"/>
              </w:rPr>
              <w:t xml:space="preserve">Clinical Partnerships</w:t>
            </w:r>
          </w:p>
        </w:tc>
        <w:tc>
          <w:tcPr>
            <w:tcW w:type="dxa" w:w="1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1D1D1F"/>
                <w:sz w:val="17"/>
                <w:szCs w:val="17"/>
              </w:rPr>
              <w:t xml:space="preserve">watchOS</w:t>
            </w:r>
          </w:p>
        </w:tc>
        <w:tc>
          <w:tcPr>
            <w:tcW w:type="dxa" w:w="1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1D1D1F"/>
                <w:sz w:val="17"/>
                <w:szCs w:val="17"/>
              </w:rPr>
              <w:t xml:space="preserve">Sensing + Health</w:t>
            </w:r>
          </w:p>
        </w:tc>
        <w:tc>
          <w:tcPr>
            <w:tcW w:type="dxa" w:w="1320"/>
            <w:tcBorders>
              <w:top w:val="single" w:color="CCCCCC" w:sz="1"/>
              <w:left w:val="single" w:color="CCCCCC" w:sz="1"/>
              <w:bottom w:val="single" w:color="CCCCCC" w:sz="1"/>
              <w:right w:val="single" w:color="CCCCCC" w:sz="1"/>
            </w:tcBorders>
            <w:shd w:fill="FFDDDD" w:val="clear"/>
            <w:tcMar>
              <w:top w:type="dxa" w:w="80"/>
              <w:left w:type="dxa" w:w="120"/>
              <w:bottom w:type="dxa" w:w="80"/>
              <w:right w:type="dxa" w:w="120"/>
            </w:tcMar>
            <w:vAlign w:val="center"/>
          </w:tcPr>
          <w:p>
            <w:pPr>
              <w:jc w:val="center"/>
            </w:pPr>
            <w:r>
              <w:rPr>
                <w:rFonts w:ascii="Arial" w:cs="Arial" w:eastAsia="Arial" w:hAnsi="Arial"/>
                <w:b w:val="false"/>
                <w:bCs w:val="false"/>
                <w:color w:val="1D1D1F"/>
                <w:sz w:val="17"/>
                <w:szCs w:val="17"/>
              </w:rPr>
              <w:t xml:space="preserve">P0</w:t>
            </w:r>
          </w:p>
        </w:tc>
      </w:tr>
      <w:tr>
        <w:tc>
          <w:tcPr>
            <w:tcW w:type="dxa" w:w="400"/>
            <w:tcBorders>
              <w:top w:val="single" w:color="CCCCCC" w:sz="1"/>
              <w:left w:val="single" w:color="CCCCCC" w:sz="1"/>
              <w:bottom w:val="single" w:color="CCCCCC" w:sz="1"/>
              <w:right w:val="single" w:color="CCCCCC" w:sz="1"/>
            </w:tcBorders>
            <w:shd w:fill="F5F5F7" w:val="clear"/>
            <w:tcMar>
              <w:top w:type="dxa" w:w="80"/>
              <w:left w:type="dxa" w:w="120"/>
              <w:bottom w:type="dxa" w:w="80"/>
              <w:right w:type="dxa" w:w="120"/>
            </w:tcMar>
            <w:vAlign w:val="center"/>
          </w:tcPr>
          <w:p>
            <w:pPr>
              <w:jc w:val="center"/>
            </w:pPr>
            <w:r>
              <w:rPr>
                <w:rFonts w:ascii="Arial" w:cs="Arial" w:eastAsia="Arial" w:hAnsi="Arial"/>
                <w:b w:val="false"/>
                <w:bCs w:val="false"/>
                <w:color w:val="1D1D1F"/>
                <w:sz w:val="17"/>
                <w:szCs w:val="17"/>
              </w:rPr>
              <w:t xml:space="preserve">4</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1D1D1F"/>
                <w:sz w:val="17"/>
                <w:szCs w:val="17"/>
              </w:rPr>
              <w:t xml:space="preserve">Health visionOS App Launch</w:t>
            </w:r>
          </w:p>
        </w:tc>
        <w:tc>
          <w:tcPr>
            <w:tcW w:type="dxa" w:w="1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1D1D1F"/>
                <w:sz w:val="17"/>
                <w:szCs w:val="17"/>
              </w:rPr>
              <w:t xml:space="preserve">Vision Pro</w:t>
            </w:r>
          </w:p>
        </w:tc>
        <w:tc>
          <w:tcPr>
            <w:tcW w:type="dxa" w:w="1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1D1D1F"/>
                <w:sz w:val="17"/>
                <w:szCs w:val="17"/>
              </w:rPr>
              <w:t xml:space="preserve">visionOS</w:t>
            </w:r>
          </w:p>
        </w:tc>
        <w:tc>
          <w:tcPr>
            <w:tcW w:type="dxa" w:w="1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1D1D1F"/>
                <w:sz w:val="17"/>
                <w:szCs w:val="17"/>
              </w:rPr>
              <w:t xml:space="preserve">Health UX + Vision</w:t>
            </w:r>
          </w:p>
        </w:tc>
        <w:tc>
          <w:tcPr>
            <w:tcW w:type="dxa" w:w="132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vAlign w:val="center"/>
          </w:tcPr>
          <w:p>
            <w:pPr>
              <w:jc w:val="center"/>
            </w:pPr>
            <w:r>
              <w:rPr>
                <w:rFonts w:ascii="Arial" w:cs="Arial" w:eastAsia="Arial" w:hAnsi="Arial"/>
                <w:b w:val="false"/>
                <w:bCs w:val="false"/>
                <w:color w:val="1D1D1F"/>
                <w:sz w:val="17"/>
                <w:szCs w:val="17"/>
              </w:rPr>
              <w:t xml:space="preserve">P1</w:t>
            </w:r>
          </w:p>
        </w:tc>
      </w:tr>
      <w:tr>
        <w:tc>
          <w:tcPr>
            <w:tcW w:type="dxa" w:w="400"/>
            <w:tcBorders>
              <w:top w:val="single" w:color="CCCCCC" w:sz="1"/>
              <w:left w:val="single" w:color="CCCCCC" w:sz="1"/>
              <w:bottom w:val="single" w:color="CCCCCC" w:sz="1"/>
              <w:right w:val="single" w:color="CCCCCC" w:sz="1"/>
            </w:tcBorders>
            <w:shd w:fill="F5F5F7" w:val="clear"/>
            <w:tcMar>
              <w:top w:type="dxa" w:w="80"/>
              <w:left w:type="dxa" w:w="120"/>
              <w:bottom w:type="dxa" w:w="80"/>
              <w:right w:type="dxa" w:w="120"/>
            </w:tcMar>
            <w:vAlign w:val="center"/>
          </w:tcPr>
          <w:p>
            <w:pPr>
              <w:jc w:val="center"/>
            </w:pPr>
            <w:r>
              <w:rPr>
                <w:rFonts w:ascii="Arial" w:cs="Arial" w:eastAsia="Arial" w:hAnsi="Arial"/>
                <w:b w:val="false"/>
                <w:bCs w:val="false"/>
                <w:color w:val="1D1D1F"/>
                <w:sz w:val="17"/>
                <w:szCs w:val="17"/>
              </w:rPr>
              <w:t xml:space="preserve">5</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1D1D1F"/>
                <w:sz w:val="17"/>
                <w:szCs w:val="17"/>
              </w:rPr>
              <w:t xml:space="preserve">Sleep Staging v3 Accuracy Improvements</w:t>
            </w:r>
          </w:p>
        </w:tc>
        <w:tc>
          <w:tcPr>
            <w:tcW w:type="dxa" w:w="1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1D1D1F"/>
                <w:sz w:val="17"/>
                <w:szCs w:val="17"/>
              </w:rPr>
              <w:t xml:space="preserve">Clinical Partnerships</w:t>
            </w:r>
          </w:p>
        </w:tc>
        <w:tc>
          <w:tcPr>
            <w:tcW w:type="dxa" w:w="1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1D1D1F"/>
                <w:sz w:val="17"/>
                <w:szCs w:val="17"/>
              </w:rPr>
              <w:t xml:space="preserve">watchOS</w:t>
            </w:r>
          </w:p>
        </w:tc>
        <w:tc>
          <w:tcPr>
            <w:tcW w:type="dxa" w:w="1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1D1D1F"/>
                <w:sz w:val="17"/>
                <w:szCs w:val="17"/>
              </w:rPr>
              <w:t xml:space="preserve">Sensing Algorithms</w:t>
            </w:r>
          </w:p>
        </w:tc>
        <w:tc>
          <w:tcPr>
            <w:tcW w:type="dxa" w:w="132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vAlign w:val="center"/>
          </w:tcPr>
          <w:p>
            <w:pPr>
              <w:jc w:val="center"/>
            </w:pPr>
            <w:r>
              <w:rPr>
                <w:rFonts w:ascii="Arial" w:cs="Arial" w:eastAsia="Arial" w:hAnsi="Arial"/>
                <w:b w:val="false"/>
                <w:bCs w:val="false"/>
                <w:color w:val="1D1D1F"/>
                <w:sz w:val="17"/>
                <w:szCs w:val="17"/>
              </w:rPr>
              <w:t xml:space="preserve">P1</w:t>
            </w:r>
          </w:p>
        </w:tc>
      </w:tr>
      <w:tr>
        <w:tc>
          <w:tcPr>
            <w:tcW w:type="dxa" w:w="400"/>
            <w:tcBorders>
              <w:top w:val="single" w:color="CCCCCC" w:sz="1"/>
              <w:left w:val="single" w:color="CCCCCC" w:sz="1"/>
              <w:bottom w:val="single" w:color="CCCCCC" w:sz="1"/>
              <w:right w:val="single" w:color="CCCCCC" w:sz="1"/>
            </w:tcBorders>
            <w:shd w:fill="F5F5F7" w:val="clear"/>
            <w:tcMar>
              <w:top w:type="dxa" w:w="80"/>
              <w:left w:type="dxa" w:w="120"/>
              <w:bottom w:type="dxa" w:w="80"/>
              <w:right w:type="dxa" w:w="120"/>
            </w:tcMar>
            <w:vAlign w:val="center"/>
          </w:tcPr>
          <w:p>
            <w:pPr>
              <w:jc w:val="center"/>
            </w:pPr>
            <w:r>
              <w:rPr>
                <w:rFonts w:ascii="Arial" w:cs="Arial" w:eastAsia="Arial" w:hAnsi="Arial"/>
                <w:b w:val="false"/>
                <w:bCs w:val="false"/>
                <w:color w:val="1D1D1F"/>
                <w:sz w:val="17"/>
                <w:szCs w:val="17"/>
              </w:rPr>
              <w:t xml:space="preserve">6</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1D1D1F"/>
                <w:sz w:val="17"/>
                <w:szCs w:val="17"/>
              </w:rPr>
              <w:t xml:space="preserve">HealthKit Research API Framework</w:t>
            </w:r>
          </w:p>
        </w:tc>
        <w:tc>
          <w:tcPr>
            <w:tcW w:type="dxa" w:w="1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1D1D1F"/>
                <w:sz w:val="17"/>
                <w:szCs w:val="17"/>
              </w:rPr>
              <w:t xml:space="preserve">Developer Platform</w:t>
            </w:r>
          </w:p>
        </w:tc>
        <w:tc>
          <w:tcPr>
            <w:tcW w:type="dxa" w:w="1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1D1D1F"/>
                <w:sz w:val="17"/>
                <w:szCs w:val="17"/>
              </w:rPr>
              <w:t xml:space="preserve">iOS + watchOS</w:t>
            </w:r>
          </w:p>
        </w:tc>
        <w:tc>
          <w:tcPr>
            <w:tcW w:type="dxa" w:w="1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1D1D1F"/>
                <w:sz w:val="17"/>
                <w:szCs w:val="17"/>
              </w:rPr>
              <w:t xml:space="preserve">HealthKit Eng</w:t>
            </w:r>
          </w:p>
        </w:tc>
        <w:tc>
          <w:tcPr>
            <w:tcW w:type="dxa" w:w="132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vAlign w:val="center"/>
          </w:tcPr>
          <w:p>
            <w:pPr>
              <w:jc w:val="center"/>
            </w:pPr>
            <w:r>
              <w:rPr>
                <w:rFonts w:ascii="Arial" w:cs="Arial" w:eastAsia="Arial" w:hAnsi="Arial"/>
                <w:b w:val="false"/>
                <w:bCs w:val="false"/>
                <w:color w:val="1D1D1F"/>
                <w:sz w:val="17"/>
                <w:szCs w:val="17"/>
              </w:rPr>
              <w:t xml:space="preserve">P1</w:t>
            </w:r>
          </w:p>
        </w:tc>
      </w:tr>
      <w:tr>
        <w:tc>
          <w:tcPr>
            <w:tcW w:type="dxa" w:w="400"/>
            <w:tcBorders>
              <w:top w:val="single" w:color="CCCCCC" w:sz="1"/>
              <w:left w:val="single" w:color="CCCCCC" w:sz="1"/>
              <w:bottom w:val="single" w:color="CCCCCC" w:sz="1"/>
              <w:right w:val="single" w:color="CCCCCC" w:sz="1"/>
            </w:tcBorders>
            <w:shd w:fill="F5F5F7" w:val="clear"/>
            <w:tcMar>
              <w:top w:type="dxa" w:w="80"/>
              <w:left w:type="dxa" w:w="120"/>
              <w:bottom w:type="dxa" w:w="80"/>
              <w:right w:type="dxa" w:w="120"/>
            </w:tcMar>
            <w:vAlign w:val="center"/>
          </w:tcPr>
          <w:p>
            <w:pPr>
              <w:jc w:val="center"/>
            </w:pPr>
            <w:r>
              <w:rPr>
                <w:rFonts w:ascii="Arial" w:cs="Arial" w:eastAsia="Arial" w:hAnsi="Arial"/>
                <w:b w:val="false"/>
                <w:bCs w:val="false"/>
                <w:color w:val="1D1D1F"/>
                <w:sz w:val="17"/>
                <w:szCs w:val="17"/>
              </w:rPr>
              <w:t xml:space="preserve">7</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1D1D1F"/>
                <w:sz w:val="17"/>
                <w:szCs w:val="17"/>
              </w:rPr>
              <w:t xml:space="preserve">3D Body Composition Visualization</w:t>
            </w:r>
          </w:p>
        </w:tc>
        <w:tc>
          <w:tcPr>
            <w:tcW w:type="dxa" w:w="1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1D1D1F"/>
                <w:sz w:val="17"/>
                <w:szCs w:val="17"/>
              </w:rPr>
              <w:t xml:space="preserve">Vision Pro</w:t>
            </w:r>
          </w:p>
        </w:tc>
        <w:tc>
          <w:tcPr>
            <w:tcW w:type="dxa" w:w="1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1D1D1F"/>
                <w:sz w:val="17"/>
                <w:szCs w:val="17"/>
              </w:rPr>
              <w:t xml:space="preserve">visionOS</w:t>
            </w:r>
          </w:p>
        </w:tc>
        <w:tc>
          <w:tcPr>
            <w:tcW w:type="dxa" w:w="1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1D1D1F"/>
                <w:sz w:val="17"/>
                <w:szCs w:val="17"/>
              </w:rPr>
              <w:t xml:space="preserve">Health UX</w:t>
            </w:r>
          </w:p>
        </w:tc>
        <w:tc>
          <w:tcPr>
            <w:tcW w:type="dxa" w:w="132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vAlign w:val="center"/>
          </w:tcPr>
          <w:p>
            <w:pPr>
              <w:jc w:val="center"/>
            </w:pPr>
            <w:r>
              <w:rPr>
                <w:rFonts w:ascii="Arial" w:cs="Arial" w:eastAsia="Arial" w:hAnsi="Arial"/>
                <w:b w:val="false"/>
                <w:bCs w:val="false"/>
                <w:color w:val="1D1D1F"/>
                <w:sz w:val="17"/>
                <w:szCs w:val="17"/>
              </w:rPr>
              <w:t xml:space="preserve">P2</w:t>
            </w:r>
          </w:p>
        </w:tc>
      </w:tr>
      <w:tr>
        <w:tc>
          <w:tcPr>
            <w:tcW w:type="dxa" w:w="400"/>
            <w:tcBorders>
              <w:top w:val="single" w:color="CCCCCC" w:sz="1"/>
              <w:left w:val="single" w:color="CCCCCC" w:sz="1"/>
              <w:bottom w:val="single" w:color="CCCCCC" w:sz="1"/>
              <w:right w:val="single" w:color="CCCCCC" w:sz="1"/>
            </w:tcBorders>
            <w:shd w:fill="F5F5F7" w:val="clear"/>
            <w:tcMar>
              <w:top w:type="dxa" w:w="80"/>
              <w:left w:type="dxa" w:w="120"/>
              <w:bottom w:type="dxa" w:w="80"/>
              <w:right w:type="dxa" w:w="120"/>
            </w:tcMar>
            <w:vAlign w:val="center"/>
          </w:tcPr>
          <w:p>
            <w:pPr>
              <w:jc w:val="center"/>
            </w:pPr>
            <w:r>
              <w:rPr>
                <w:rFonts w:ascii="Arial" w:cs="Arial" w:eastAsia="Arial" w:hAnsi="Arial"/>
                <w:b w:val="false"/>
                <w:bCs w:val="false"/>
                <w:color w:val="1D1D1F"/>
                <w:sz w:val="17"/>
                <w:szCs w:val="17"/>
              </w:rPr>
              <w:t xml:space="preserve">8</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1D1D1F"/>
                <w:sz w:val="17"/>
                <w:szCs w:val="17"/>
              </w:rPr>
              <w:t xml:space="preserve">AI Health Summary (LLM-based digest)</w:t>
            </w:r>
          </w:p>
        </w:tc>
        <w:tc>
          <w:tcPr>
            <w:tcW w:type="dxa" w:w="1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1D1D1F"/>
                <w:sz w:val="17"/>
                <w:szCs w:val="17"/>
              </w:rPr>
              <w:t xml:space="preserve">Mental Health</w:t>
            </w:r>
          </w:p>
        </w:tc>
        <w:tc>
          <w:tcPr>
            <w:tcW w:type="dxa" w:w="1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1D1D1F"/>
                <w:sz w:val="17"/>
                <w:szCs w:val="17"/>
              </w:rPr>
              <w:t xml:space="preserve">iOS</w:t>
            </w:r>
          </w:p>
        </w:tc>
        <w:tc>
          <w:tcPr>
            <w:tcW w:type="dxa" w:w="1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1D1D1F"/>
                <w:sz w:val="17"/>
                <w:szCs w:val="17"/>
              </w:rPr>
              <w:t xml:space="preserve">Health AI + Privacy</w:t>
            </w:r>
          </w:p>
        </w:tc>
        <w:tc>
          <w:tcPr>
            <w:tcW w:type="dxa" w:w="132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vAlign w:val="center"/>
          </w:tcPr>
          <w:p>
            <w:pPr>
              <w:jc w:val="center"/>
            </w:pPr>
            <w:r>
              <w:rPr>
                <w:rFonts w:ascii="Arial" w:cs="Arial" w:eastAsia="Arial" w:hAnsi="Arial"/>
                <w:b w:val="false"/>
                <w:bCs w:val="false"/>
                <w:color w:val="1D1D1F"/>
                <w:sz w:val="17"/>
                <w:szCs w:val="17"/>
              </w:rPr>
              <w:t xml:space="preserve">P2</w:t>
            </w:r>
          </w:p>
        </w:tc>
      </w:tr>
      <w:tr>
        <w:tc>
          <w:tcPr>
            <w:tcW w:type="dxa" w:w="400"/>
            <w:tcBorders>
              <w:top w:val="single" w:color="CCCCCC" w:sz="1"/>
              <w:left w:val="single" w:color="CCCCCC" w:sz="1"/>
              <w:bottom w:val="single" w:color="CCCCCC" w:sz="1"/>
              <w:right w:val="single" w:color="CCCCCC" w:sz="1"/>
            </w:tcBorders>
            <w:shd w:fill="F5F5F7" w:val="clear"/>
            <w:tcMar>
              <w:top w:type="dxa" w:w="80"/>
              <w:left w:type="dxa" w:w="120"/>
              <w:bottom w:type="dxa" w:w="80"/>
              <w:right w:type="dxa" w:w="120"/>
            </w:tcMar>
            <w:vAlign w:val="center"/>
          </w:tcPr>
          <w:p>
            <w:pPr>
              <w:jc w:val="center"/>
            </w:pPr>
            <w:r>
              <w:rPr>
                <w:rFonts w:ascii="Arial" w:cs="Arial" w:eastAsia="Arial" w:hAnsi="Arial"/>
                <w:b w:val="false"/>
                <w:bCs w:val="false"/>
                <w:color w:val="1D1D1F"/>
                <w:sz w:val="17"/>
                <w:szCs w:val="17"/>
              </w:rPr>
              <w:t xml:space="preserve">9</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1D1D1F"/>
                <w:sz w:val="17"/>
                <w:szCs w:val="17"/>
              </w:rPr>
              <w:t xml:space="preserve">Health+ Subscription Tier</w:t>
            </w:r>
          </w:p>
        </w:tc>
        <w:tc>
          <w:tcPr>
            <w:tcW w:type="dxa" w:w="1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1D1D1F"/>
                <w:sz w:val="17"/>
                <w:szCs w:val="17"/>
              </w:rPr>
              <w:t xml:space="preserve">Developer Platform</w:t>
            </w:r>
          </w:p>
        </w:tc>
        <w:tc>
          <w:tcPr>
            <w:tcW w:type="dxa" w:w="1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1D1D1F"/>
                <w:sz w:val="17"/>
                <w:szCs w:val="17"/>
              </w:rPr>
              <w:t xml:space="preserve">iOS</w:t>
            </w:r>
          </w:p>
        </w:tc>
        <w:tc>
          <w:tcPr>
            <w:tcW w:type="dxa" w:w="1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1D1D1F"/>
                <w:sz w:val="17"/>
                <w:szCs w:val="17"/>
              </w:rPr>
              <w:t xml:space="preserve">Business Dev + Eng</w:t>
            </w:r>
          </w:p>
        </w:tc>
        <w:tc>
          <w:tcPr>
            <w:tcW w:type="dxa" w:w="132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vAlign w:val="center"/>
          </w:tcPr>
          <w:p>
            <w:pPr>
              <w:jc w:val="center"/>
            </w:pPr>
            <w:r>
              <w:rPr>
                <w:rFonts w:ascii="Arial" w:cs="Arial" w:eastAsia="Arial" w:hAnsi="Arial"/>
                <w:b w:val="false"/>
                <w:bCs w:val="false"/>
                <w:color w:val="1D1D1F"/>
                <w:sz w:val="17"/>
                <w:szCs w:val="17"/>
              </w:rPr>
              <w:t xml:space="preserve">P2</w:t>
            </w:r>
          </w:p>
        </w:tc>
      </w:tr>
      <w:tr>
        <w:tc>
          <w:tcPr>
            <w:tcW w:type="dxa" w:w="400"/>
            <w:tcBorders>
              <w:top w:val="single" w:color="CCCCCC" w:sz="1"/>
              <w:left w:val="single" w:color="CCCCCC" w:sz="1"/>
              <w:bottom w:val="single" w:color="CCCCCC" w:sz="1"/>
              <w:right w:val="single" w:color="CCCCCC" w:sz="1"/>
            </w:tcBorders>
            <w:shd w:fill="F5F5F7" w:val="clear"/>
            <w:tcMar>
              <w:top w:type="dxa" w:w="80"/>
              <w:left w:type="dxa" w:w="120"/>
              <w:bottom w:type="dxa" w:w="80"/>
              <w:right w:type="dxa" w:w="120"/>
            </w:tcMar>
            <w:vAlign w:val="center"/>
          </w:tcPr>
          <w:p>
            <w:pPr>
              <w:jc w:val="center"/>
            </w:pPr>
            <w:r>
              <w:rPr>
                <w:rFonts w:ascii="Arial" w:cs="Arial" w:eastAsia="Arial" w:hAnsi="Arial"/>
                <w:b w:val="false"/>
                <w:bCs w:val="false"/>
                <w:color w:val="1D1D1F"/>
                <w:sz w:val="17"/>
                <w:szCs w:val="17"/>
              </w:rPr>
              <w:t xml:space="preserve">10</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1D1D1F"/>
                <w:sz w:val="17"/>
                <w:szCs w:val="17"/>
              </w:rPr>
              <w:t xml:space="preserve">Continuous Blood Pressure Monitor</w:t>
            </w:r>
          </w:p>
        </w:tc>
        <w:tc>
          <w:tcPr>
            <w:tcW w:type="dxa" w:w="1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1D1D1F"/>
                <w:sz w:val="17"/>
                <w:szCs w:val="17"/>
              </w:rPr>
              <w:t xml:space="preserve">Clinical Partnerships</w:t>
            </w:r>
          </w:p>
        </w:tc>
        <w:tc>
          <w:tcPr>
            <w:tcW w:type="dxa" w:w="1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1D1D1F"/>
                <w:sz w:val="17"/>
                <w:szCs w:val="17"/>
              </w:rPr>
              <w:t xml:space="preserve">watchOS</w:t>
            </w:r>
          </w:p>
        </w:tc>
        <w:tc>
          <w:tcPr>
            <w:tcW w:type="dxa" w:w="1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1D1D1F"/>
                <w:sz w:val="17"/>
                <w:szCs w:val="17"/>
              </w:rPr>
              <w:t xml:space="preserve">Sensing + Regulatory</w:t>
            </w:r>
          </w:p>
        </w:tc>
        <w:tc>
          <w:tcPr>
            <w:tcW w:type="dxa" w:w="1320"/>
            <w:tcBorders>
              <w:top w:val="single" w:color="CCCCCC" w:sz="1"/>
              <w:left w:val="single" w:color="CCCCCC" w:sz="1"/>
              <w:bottom w:val="single" w:color="CCCCCC" w:sz="1"/>
              <w:right w:val="single" w:color="CCCCCC" w:sz="1"/>
            </w:tcBorders>
            <w:shd w:fill="E2E3E5" w:val="clear"/>
            <w:tcMar>
              <w:top w:type="dxa" w:w="80"/>
              <w:left w:type="dxa" w:w="120"/>
              <w:bottom w:type="dxa" w:w="80"/>
              <w:right w:type="dxa" w:w="120"/>
            </w:tcMar>
            <w:vAlign w:val="center"/>
          </w:tcPr>
          <w:p>
            <w:pPr>
              <w:jc w:val="center"/>
            </w:pPr>
            <w:r>
              <w:rPr>
                <w:rFonts w:ascii="Arial" w:cs="Arial" w:eastAsia="Arial" w:hAnsi="Arial"/>
                <w:b w:val="false"/>
                <w:bCs w:val="false"/>
                <w:color w:val="1D1D1F"/>
                <w:sz w:val="17"/>
                <w:szCs w:val="17"/>
              </w:rPr>
              <w:t xml:space="preserve">P3</w:t>
            </w:r>
          </w:p>
        </w:tc>
      </w:tr>
    </w:tbl>
    <w:p>
      <w:pPr>
        <w:spacing w:after="60" w:before="60"/>
      </w:pPr>
      <w:r>
        <w:t xml:space="preserve"/>
      </w:r>
    </w:p>
    <w:p>
      <w:pPr>
        <w:pStyle w:val="Heading1"/>
        <w:pBdr>
          <w:bottom w:val="single" w:color="CCCCCC" w:sz="4" w:space="4"/>
        </w:pBdr>
        <w:spacing w:after="140" w:before="300"/>
      </w:pPr>
      <w:r>
        <w:rPr>
          <w:rFonts w:ascii="Arial" w:cs="Arial" w:eastAsia="Arial" w:hAnsi="Arial"/>
          <w:b/>
          <w:bCs/>
          <w:color w:val="1D1D1F"/>
          <w:sz w:val="28"/>
          <w:szCs w:val="28"/>
        </w:rPr>
        <w:t xml:space="preserve">7. Success Metrics</w:t>
      </w:r>
    </w:p>
    <w:p>
      <w:pPr>
        <w:pStyle w:val="ListParagraph"/>
        <w:numPr>
          <w:ilvl w:val="0"/>
          <w:numId w:val="2"/>
        </w:numPr>
        <w:spacing w:after="40" w:before="40"/>
      </w:pPr>
      <w:r>
        <w:rPr>
          <w:rFonts w:ascii="Arial" w:cs="Arial" w:eastAsia="Arial" w:hAnsi="Arial"/>
          <w:color w:val="1D1D1F"/>
          <w:sz w:val="20"/>
          <w:szCs w:val="20"/>
        </w:rPr>
        <w:t xml:space="preserve">Health Records linked accounts: 55% of eligible users by FY26 (from 38%)</w:t>
      </w:r>
    </w:p>
    <w:p>
      <w:pPr>
        <w:pStyle w:val="ListParagraph"/>
        <w:numPr>
          <w:ilvl w:val="0"/>
          <w:numId w:val="2"/>
        </w:numPr>
        <w:spacing w:after="40" w:before="40"/>
      </w:pPr>
      <w:r>
        <w:rPr>
          <w:rFonts w:ascii="Arial" w:cs="Arial" w:eastAsia="Arial" w:hAnsi="Arial"/>
          <w:color w:val="1D1D1F"/>
          <w:sz w:val="20"/>
          <w:szCs w:val="20"/>
        </w:rPr>
        <w:t xml:space="preserve">HealthKit daily active developers: 10,000 by FY26 (from 7,200)</w:t>
      </w:r>
    </w:p>
    <w:p>
      <w:pPr>
        <w:pStyle w:val="ListParagraph"/>
        <w:numPr>
          <w:ilvl w:val="0"/>
          <w:numId w:val="2"/>
        </w:numPr>
        <w:spacing w:after="40" w:before="40"/>
      </w:pPr>
      <w:r>
        <w:rPr>
          <w:rFonts w:ascii="Arial" w:cs="Arial" w:eastAsia="Arial" w:hAnsi="Arial"/>
          <w:color w:val="1D1D1F"/>
          <w:sz w:val="20"/>
          <w:szCs w:val="20"/>
        </w:rPr>
        <w:t xml:space="preserve">Daily Health Summary engagement (7-day open rate after alert): 55% by FY26 (from 41%)</w:t>
      </w:r>
    </w:p>
    <w:p>
      <w:pPr>
        <w:pStyle w:val="ListParagraph"/>
        <w:numPr>
          <w:ilvl w:val="0"/>
          <w:numId w:val="2"/>
        </w:numPr>
        <w:spacing w:after="40" w:before="40"/>
      </w:pPr>
      <w:r>
        <w:rPr>
          <w:rFonts w:ascii="Arial" w:cs="Arial" w:eastAsia="Arial" w:hAnsi="Arial"/>
          <w:color w:val="1D1D1F"/>
          <w:sz w:val="20"/>
          <w:szCs w:val="20"/>
        </w:rPr>
        <w:t xml:space="preserve">FDA clearances shipped: 2 new De Novo or 510(k) clearances in FY25</w:t>
      </w:r>
    </w:p>
    <w:p>
      <w:pPr>
        <w:pStyle w:val="ListParagraph"/>
        <w:numPr>
          <w:ilvl w:val="0"/>
          <w:numId w:val="2"/>
        </w:numPr>
        <w:spacing w:after="40" w:before="40"/>
      </w:pPr>
      <w:r>
        <w:rPr>
          <w:rFonts w:ascii="Arial" w:cs="Arial" w:eastAsia="Arial" w:hAnsi="Arial"/>
          <w:color w:val="1D1D1F"/>
          <w:sz w:val="20"/>
          <w:szCs w:val="20"/>
        </w:rPr>
        <w:t xml:space="preserve">Mental health MAU: 120M users engaging with mood or mindfulness monthly by FY26</w:t>
      </w:r>
    </w:p>
    <w:p>
      <w:pPr>
        <w:pStyle w:val="ListParagraph"/>
        <w:numPr>
          <w:ilvl w:val="0"/>
          <w:numId w:val="2"/>
        </w:numPr>
        <w:spacing w:after="40" w:before="40"/>
      </w:pPr>
      <w:r>
        <w:rPr>
          <w:rFonts w:ascii="Arial" w:cs="Arial" w:eastAsia="Arial" w:hAnsi="Arial"/>
          <w:color w:val="1D1D1F"/>
          <w:sz w:val="20"/>
          <w:szCs w:val="20"/>
        </w:rPr>
        <w:t xml:space="preserve">visionOS Health App rating: &gt;4.5 stars within 90 days of launch</w:t>
      </w:r>
    </w:p>
    <w:p>
      <w:pPr>
        <w:spacing w:after="60" w:before="60"/>
      </w:pPr>
      <w:r>
        <w:t xml:space="preserve"/>
      </w:r>
    </w:p>
    <w:p>
      <w:pPr>
        <w:spacing w:after="60" w:before="60"/>
      </w:pPr>
      <w:r>
        <w:rPr>
          <w:rFonts w:ascii="Arial" w:cs="Arial" w:eastAsia="Arial" w:hAnsi="Arial"/>
          <w:i/>
          <w:iCs/>
          <w:color w:val="6E6E73"/>
          <w:sz w:val="20"/>
          <w:szCs w:val="20"/>
        </w:rPr>
        <w:t xml:space="preserve">Questions or review requests: health-product@apple.com | Roadmap updated monthly. Next review: September 2025 QPR.</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spacing w:before="80"/>
    </w:pPr>
    <w:r>
      <w:rPr>
        <w:rFonts w:ascii="Arial" w:cs="Arial" w:eastAsia="Arial" w:hAnsi="Arial"/>
        <w:color w:val="6E6E73"/>
        <w:sz w:val="16"/>
        <w:szCs w:val="16"/>
      </w:rPr>
      <w:t xml:space="preserve">Apple Inc.</w:t>
    </w:r>
    <w:r>
      <w:rPr>
        <w:rFonts w:ascii="Arial" w:cs="Arial" w:eastAsia="Arial" w:hAnsi="Arial"/>
        <w:color w:val="6E6E73"/>
        <w:sz w:val="16"/>
        <w:szCs w:val="16"/>
      </w:rPr>
      <w:t xml:space="preserve">          Product Roadmap — Internal          </w:t>
    </w:r>
    <w:r>
      <w:rPr>
        <w:rFonts w:ascii="Arial" w:cs="Arial" w:eastAsia="Arial" w:hAnsi="Arial"/>
        <w:color w:val="6E6E73"/>
        <w:sz w:val="16"/>
        <w:szCs w:val="16"/>
      </w:rPr>
      <w:t xml:space="preserve">Page </w:t>
    </w:r>
    <w:r>
      <w:rPr>
        <w:rFonts w:ascii="Arial" w:cs="Arial" w:eastAsia="Arial" w:hAnsi="Arial"/>
        <w:color w:val="6E6E73"/>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spacing w:after="120" w:before="0"/>
    </w:pPr>
    <w:r>
      <w:rPr>
        <w:rFonts w:ascii="Arial" w:cs="Arial" w:eastAsia="Arial" w:hAnsi="Arial"/>
        <w:b/>
        <w:bCs/>
        <w:color w:val="1D1D1F"/>
        <w:sz w:val="20"/>
        <w:szCs w:val="20"/>
      </w:rPr>
      <w:t xml:space="preserve">Apple Health — Product &amp; Engineering</w:t>
    </w:r>
    <w:r>
      <w:rPr>
        <w:rFonts w:ascii="Arial" w:cs="Arial" w:eastAsia="Arial" w:hAnsi="Arial"/>
        <w:color w:val="6E6E73"/>
        <w:sz w:val="18"/>
        <w:szCs w:val="18"/>
      </w:rPr>
      <w:t xml:space="preserve">        Internal — Confidential — Need to Know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00"/>
      <w:outlineLvl w:val="0"/>
    </w:pPr>
    <w:rPr>
      <w:rFonts w:ascii="Arial" w:cs="Arial" w:eastAsia="Arial" w:hAnsi="Arial"/>
      <w:b/>
      <w:bCs/>
      <w:color w:val="1D1D1F"/>
      <w:sz w:val="28"/>
      <w:szCs w:val="28"/>
    </w:rPr>
  </w:style>
  <w:style w:type="paragraph" w:styleId="Heading2">
    <w:name w:val="Heading 2"/>
    <w:basedOn w:val="Normal"/>
    <w:next w:val="Normal"/>
    <w:qFormat/>
    <w:pPr>
      <w:spacing w:after="100" w:before="200"/>
      <w:outlineLvl w:val="1"/>
    </w:pPr>
    <w:rPr>
      <w:rFonts w:ascii="Arial" w:cs="Arial" w:eastAsia="Arial" w:hAnsi="Arial"/>
      <w:b/>
      <w:bCs/>
      <w:color w:val="1D1D1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2026-06-07T20:27:48.834Z</dcterms:created>
  <dcterms:modified xsi:type="dcterms:W3CDTF">2026-06-07T20:27:48.834Z</dcterms:modified>
</cp:coreProperties>
</file>

<file path=docProps/custom.xml><?xml version="1.0" encoding="utf-8"?>
<Properties xmlns="http://schemas.openxmlformats.org/officeDocument/2006/custom-properties" xmlns:vt="http://schemas.openxmlformats.org/officeDocument/2006/docPropsVTypes"/>
</file>