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00A8E0"/>
          <w:sz w:val="48"/>
          <w:szCs w:val="48"/>
        </w:rPr>
        <w:t xml:space="preserve">AT&amp;T Internet Air</w:t>
      </w:r>
    </w:p>
    <w:p>
      <w:pPr>
        <w:spacing w:after="60" w:before="0"/>
      </w:pPr>
      <w:r>
        <w:rPr>
          <w:rFonts w:ascii="Arial" w:cs="Arial" w:eastAsia="Arial" w:hAnsi="Arial"/>
          <w:color w:val="333333"/>
          <w:sz w:val="30"/>
          <w:szCs w:val="30"/>
        </w:rPr>
        <w:t xml:space="preserve">5G Fixed Wireless Home Internet — Product Roadmap</w:t>
      </w:r>
    </w:p>
    <w:p>
      <w:pPr>
        <w:spacing w:after="40" w:before="0"/>
      </w:pPr>
      <w:r>
        <w:rPr>
          <w:rFonts w:ascii="Arial" w:cs="Arial" w:eastAsia="Arial" w:hAnsi="Arial"/>
          <w:color w:val="555555"/>
          <w:sz w:val="18"/>
          <w:szCs w:val="18"/>
        </w:rPr>
        <w:t xml:space="preserve">Period: Q1 2025 – Q4 2026  |  Prepared by: Consumer Broadband Product Division  |  </w:t>
      </w:r>
      <w:r>
        <w:rPr>
          <w:rFonts w:ascii="Arial" w:cs="Arial" w:eastAsia="Arial" w:hAnsi="Arial"/>
          <w:b/>
          <w:bCs/>
          <w:color w:val="555555"/>
          <w:sz w:val="18"/>
          <w:szCs w:val="18"/>
        </w:rPr>
        <w:t xml:space="preserve">June 2025</w:t>
      </w:r>
    </w:p>
    <w:p>
      <w:pPr>
        <w:pBdr>
          <w:bottom w:val="single" w:color="00A8E0" w:sz="12" w:space="6"/>
        </w:pBdr>
        <w:spacing w:after="0" w:before="0"/>
      </w:pPr>
      <w:r>
        <w:rPr>
          <w:rFonts w:ascii="Arial" w:cs="Arial" w:eastAsia="Arial" w:hAnsi="Arial"/>
          <w:b/>
          <w:bCs/>
          <w:color w:val="CC0000"/>
          <w:sz w:val="18"/>
          <w:szCs w:val="18"/>
        </w:rPr>
        <w:t xml:space="preserve">Classification: INTERNAL — CONFIDENTIAL — Do Not Distribute</w:t>
      </w:r>
    </w:p>
    <w:p>
      <w:pPr>
        <w:spacing w:after="80" w:before="80"/>
      </w:pPr>
      <w:r>
        <w:t xml:space="preserve"/>
      </w:r>
    </w:p>
    <w:p>
      <w:pPr>
        <w:pStyle w:val="Heading1"/>
        <w:pBdr>
          <w:bottom w:val="single" w:color="00A8E0" w:sz="6" w:space="4"/>
        </w:pBdr>
        <w:spacing w:after="140" w:before="280"/>
      </w:pPr>
      <w:r>
        <w:rPr>
          <w:rFonts w:ascii="Arial" w:cs="Arial" w:eastAsia="Arial" w:hAnsi="Arial"/>
          <w:b/>
          <w:bCs/>
          <w:color w:val="1A1A1A"/>
          <w:sz w:val="28"/>
          <w:szCs w:val="28"/>
        </w:rPr>
        <w:t xml:space="preserve">1. Executive Summary</w:t>
      </w:r>
    </w:p>
    <w:p>
      <w:pPr>
        <w:spacing w:after="60" w:before="60"/>
      </w:pPr>
      <w:r>
        <w:rPr>
          <w:rFonts w:ascii="Arial" w:cs="Arial" w:eastAsia="Arial" w:hAnsi="Arial"/>
          <w:sz w:val="20"/>
          <w:szCs w:val="20"/>
        </w:rPr>
        <w:t xml:space="preserve">AT&amp;T Internet Air is AT&amp;T's fixed wireless access (FWA) broadband product powered by its nationwide 5G network. Launched in 2022, Internet Air has grown rapidly as an alternative to cable broadband in underserved and suburban markets. This roadmap covers 8 quarters of planned investment across coverage expansion, network performance, customer experience, and competitive differentiation.</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1.1 Current State (June 2025)</w:t>
      </w:r>
    </w:p>
    <w:p>
      <w:pPr>
        <w:pStyle w:val="ListParagraph"/>
        <w:numPr>
          <w:ilvl w:val="0"/>
          <w:numId w:val="2"/>
        </w:numPr>
        <w:spacing w:after="40" w:before="40"/>
      </w:pPr>
      <w:r>
        <w:rPr>
          <w:rFonts w:ascii="Arial" w:cs="Arial" w:eastAsia="Arial" w:hAnsi="Arial"/>
          <w:sz w:val="20"/>
          <w:szCs w:val="20"/>
        </w:rPr>
        <w:t xml:space="preserve">Active Subscribers: 2.1 million (as of Q1 2025 close)</w:t>
      </w:r>
    </w:p>
    <w:p>
      <w:pPr>
        <w:pStyle w:val="ListParagraph"/>
        <w:numPr>
          <w:ilvl w:val="0"/>
          <w:numId w:val="2"/>
        </w:numPr>
        <w:spacing w:after="40" w:before="40"/>
      </w:pPr>
      <w:r>
        <w:rPr>
          <w:rFonts w:ascii="Arial" w:cs="Arial" w:eastAsia="Arial" w:hAnsi="Arial"/>
          <w:sz w:val="20"/>
          <w:szCs w:val="20"/>
        </w:rPr>
        <w:t xml:space="preserve">Geographic Coverage: 37% of US households (primarily suburban and exurban markets)</w:t>
      </w:r>
    </w:p>
    <w:p>
      <w:pPr>
        <w:pStyle w:val="ListParagraph"/>
        <w:numPr>
          <w:ilvl w:val="0"/>
          <w:numId w:val="2"/>
        </w:numPr>
        <w:spacing w:after="40" w:before="40"/>
      </w:pPr>
      <w:r>
        <w:rPr>
          <w:rFonts w:ascii="Arial" w:cs="Arial" w:eastAsia="Arial" w:hAnsi="Arial"/>
          <w:sz w:val="20"/>
          <w:szCs w:val="20"/>
        </w:rPr>
        <w:t xml:space="preserve">Average Download Speed: 78 Mbps (peak: 320 Mbps in mmWave zones)</w:t>
      </w:r>
    </w:p>
    <w:p>
      <w:pPr>
        <w:pStyle w:val="ListParagraph"/>
        <w:numPr>
          <w:ilvl w:val="0"/>
          <w:numId w:val="2"/>
        </w:numPr>
        <w:spacing w:after="40" w:before="40"/>
      </w:pPr>
      <w:r>
        <w:rPr>
          <w:rFonts w:ascii="Arial" w:cs="Arial" w:eastAsia="Arial" w:hAnsi="Arial"/>
          <w:sz w:val="20"/>
          <w:szCs w:val="20"/>
        </w:rPr>
        <w:t xml:space="preserve">Net Promoter Score: 27 (industry avg: 32 for FWA segment)</w:t>
      </w:r>
    </w:p>
    <w:p>
      <w:pPr>
        <w:pStyle w:val="ListParagraph"/>
        <w:numPr>
          <w:ilvl w:val="0"/>
          <w:numId w:val="2"/>
        </w:numPr>
        <w:spacing w:after="40" w:before="40"/>
      </w:pPr>
      <w:r>
        <w:rPr>
          <w:rFonts w:ascii="Arial" w:cs="Arial" w:eastAsia="Arial" w:hAnsi="Arial"/>
          <w:sz w:val="20"/>
          <w:szCs w:val="20"/>
        </w:rPr>
        <w:t xml:space="preserve">Monthly Churn: 3.9% (above target of 3.2%)</w:t>
      </w:r>
    </w:p>
    <w:p>
      <w:pPr>
        <w:pStyle w:val="ListParagraph"/>
        <w:numPr>
          <w:ilvl w:val="0"/>
          <w:numId w:val="2"/>
        </w:numPr>
        <w:spacing w:after="40" w:before="40"/>
      </w:pPr>
      <w:r>
        <w:rPr>
          <w:rFonts w:ascii="Arial" w:cs="Arial" w:eastAsia="Arial" w:hAnsi="Arial"/>
          <w:sz w:val="20"/>
          <w:szCs w:val="20"/>
        </w:rPr>
        <w:t xml:space="preserve">Self-Install Rate: 70% (target: 85% by EOY 2025)</w:t>
      </w:r>
    </w:p>
    <w:p>
      <w:pPr>
        <w:pStyle w:val="ListParagraph"/>
        <w:numPr>
          <w:ilvl w:val="0"/>
          <w:numId w:val="2"/>
        </w:numPr>
        <w:spacing w:after="40" w:before="40"/>
      </w:pPr>
      <w:r>
        <w:rPr>
          <w:rFonts w:ascii="Arial" w:cs="Arial" w:eastAsia="Arial" w:hAnsi="Arial"/>
          <w:sz w:val="20"/>
          <w:szCs w:val="20"/>
        </w:rPr>
        <w:t xml:space="preserve">Primary Network Technology: C-Band + low-band 5G; mmWave in 14 dense urban markets</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1.2 Strategic Goal</w:t>
      </w:r>
    </w:p>
    <w:p>
      <w:pPr>
        <w:spacing w:after="60" w:before="60"/>
      </w:pPr>
      <w:r>
        <w:rPr>
          <w:rFonts w:ascii="Arial" w:cs="Arial" w:eastAsia="Arial" w:hAnsi="Arial"/>
          <w:sz w:val="20"/>
          <w:szCs w:val="20"/>
        </w:rPr>
        <w:t xml:space="preserve">Reach 5 million subscribers by EOY 2026 with a minimum NPS of 45 and monthly churn below 2.4%. Achieve 62% household coverage and establish Internet Air as the #2 FWA provider by subscriber count nationally, surpassing Comcast xFi Mobile and positioning within 2M subscribers of T-Mobile Home Internet.</w:t>
      </w:r>
    </w:p>
    <w:p>
      <w:pPr>
        <w:spacing w:after="80" w:before="80"/>
      </w:pPr>
      <w:r>
        <w:t xml:space="preserve"/>
      </w:r>
    </w:p>
    <w:p>
      <w:pPr>
        <w:pStyle w:val="Heading1"/>
        <w:pBdr>
          <w:bottom w:val="single" w:color="00A8E0" w:sz="6" w:space="4"/>
        </w:pBdr>
        <w:spacing w:after="140" w:before="280"/>
      </w:pPr>
      <w:r>
        <w:rPr>
          <w:rFonts w:ascii="Arial" w:cs="Arial" w:eastAsia="Arial" w:hAnsi="Arial"/>
          <w:b/>
          <w:bCs/>
          <w:color w:val="1A1A1A"/>
          <w:sz w:val="28"/>
          <w:szCs w:val="28"/>
        </w:rPr>
        <w:t xml:space="preserve">2. 8-Quarter Milestone Plan</w:t>
      </w:r>
    </w:p>
    <w:p>
      <w:pPr>
        <w:spacing w:after="60" w:before="60"/>
      </w:pPr>
      <w:r>
        <w:rPr>
          <w:rFonts w:ascii="Arial" w:cs="Arial" w:eastAsia="Arial" w:hAnsi="Arial"/>
          <w:sz w:val="20"/>
          <w:szCs w:val="20"/>
        </w:rPr>
        <w:t xml:space="preserve">The table below captures key metric targets across all eight quarters. Green zones (Q4 2025 onwards) represent milestones that require successful execution of network buildout and customer experience initiatives in H1 2025.</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45"/>
        <w:gridCol w:w="945"/>
        <w:gridCol w:w="945"/>
        <w:gridCol w:w="945"/>
        <w:gridCol w:w="945"/>
        <w:gridCol w:w="945"/>
        <w:gridCol w:w="945"/>
        <w:gridCol w:w="945"/>
      </w:tblGrid>
      <w:tr>
        <w:trPr>
          <w:tblHeader/>
        </w:trPr>
        <w:tc>
          <w:tcPr>
            <w:tcW w:type="dxa" w:w="18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Initiative</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Q1 2025</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Q2 2025</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Q3 2025</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Q4 2025</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Q1 2026</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Q2 2026</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Q3 2026</w:t>
            </w:r>
          </w:p>
        </w:tc>
        <w:tc>
          <w:tcPr>
            <w:tcW w:type="dxa" w:w="94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Q4 2026</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Subscriber Target (M)</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2.6</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3.5</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3.9</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4.3</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4.7</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5.0</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Coverage (% US HHs)</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41%</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44%</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47%</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51%</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55%</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58%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62%</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Avg DL Speed (Mbps)</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80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90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100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110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125</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140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155</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175</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NPS Score</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31</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33</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36</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45</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Churn Rate (%)</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3.6%</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3.4%</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3.0%</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2.6%</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2.4%</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5G mmWave Markets</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14</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18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27</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33</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38</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44</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50</w:t>
            </w:r>
          </w:p>
        </w:tc>
      </w:tr>
      <w:tr>
        <w:trPr>
          <w:tblHeader w:val="false"/>
        </w:trPr>
        <w:tc>
          <w:tcPr>
            <w:tcW w:type="dxa" w:w="1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Self-Install Rate (%)</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72%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76%</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79%</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82%</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85%</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87%</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89%</w:t>
            </w:r>
          </w:p>
        </w:tc>
        <w:tc>
          <w:tcPr>
            <w:tcW w:type="dxa" w:w="9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91%</w:t>
            </w:r>
          </w:p>
        </w:tc>
      </w:tr>
    </w:tbl>
    <w:p>
      <w:pPr>
        <w:spacing w:after="80" w:before="80"/>
      </w:pPr>
      <w:r>
        <w:t xml:space="preserve"/>
      </w:r>
    </w:p>
    <w:p>
      <w:r>
        <w:br w:type="page"/>
      </w:r>
    </w:p>
    <w:p>
      <w:pPr>
        <w:pStyle w:val="Heading1"/>
        <w:pBdr>
          <w:bottom w:val="single" w:color="00A8E0" w:sz="6" w:space="4"/>
        </w:pBdr>
        <w:spacing w:after="140" w:before="280"/>
      </w:pPr>
      <w:r>
        <w:rPr>
          <w:rFonts w:ascii="Arial" w:cs="Arial" w:eastAsia="Arial" w:hAnsi="Arial"/>
          <w:b/>
          <w:bCs/>
          <w:color w:val="1A1A1A"/>
          <w:sz w:val="28"/>
          <w:szCs w:val="28"/>
        </w:rPr>
        <w:t xml:space="preserve">3. Strategic Themes</w:t>
      </w:r>
    </w:p>
    <w:p>
      <w:pPr>
        <w:pStyle w:val="Heading2"/>
        <w:spacing w:after="100" w:before="200"/>
      </w:pPr>
      <w:r>
        <w:rPr>
          <w:rFonts w:ascii="Arial" w:cs="Arial" w:eastAsia="Arial" w:hAnsi="Arial"/>
          <w:b/>
          <w:bCs/>
          <w:color w:val="1A1A1A"/>
          <w:sz w:val="22"/>
          <w:szCs w:val="22"/>
        </w:rPr>
        <w:t xml:space="preserve">Theme 1: Coverage Expansion</w:t>
      </w:r>
    </w:p>
    <w:p>
      <w:pPr>
        <w:spacing w:after="60" w:before="60"/>
      </w:pPr>
      <w:r>
        <w:rPr>
          <w:rFonts w:ascii="Arial" w:cs="Arial" w:eastAsia="Arial" w:hAnsi="Arial"/>
          <w:sz w:val="20"/>
          <w:szCs w:val="20"/>
        </w:rPr>
        <w:t xml:space="preserve">Coverage is the primary growth driver. AT&amp;T's mid-band 5G spectrum (C-Band, Band 14 FirstNet, 3.45 GHz) provides the foundational layer. mmWave densification in urban markets unlocks higher speeds and capacity.</w:t>
      </w:r>
    </w:p>
    <w:p>
      <w:pPr>
        <w:pStyle w:val="ListParagraph"/>
        <w:numPr>
          <w:ilvl w:val="0"/>
          <w:numId w:val="2"/>
        </w:numPr>
        <w:spacing w:after="40" w:before="40"/>
      </w:pPr>
      <w:r>
        <w:rPr>
          <w:rFonts w:ascii="Arial" w:cs="Arial" w:eastAsia="Arial" w:hAnsi="Arial"/>
          <w:sz w:val="20"/>
          <w:szCs w:val="20"/>
        </w:rPr>
        <w:t xml:space="preserve">Q1–Q2 2025: Deploy 2,400 additional 5G small cells in top 25 metro areas</w:t>
      </w:r>
    </w:p>
    <w:p>
      <w:pPr>
        <w:pStyle w:val="ListParagraph"/>
        <w:numPr>
          <w:ilvl w:val="0"/>
          <w:numId w:val="2"/>
        </w:numPr>
        <w:spacing w:after="40" w:before="40"/>
      </w:pPr>
      <w:r>
        <w:rPr>
          <w:rFonts w:ascii="Arial" w:cs="Arial" w:eastAsia="Arial" w:hAnsi="Arial"/>
          <w:sz w:val="20"/>
          <w:szCs w:val="20"/>
        </w:rPr>
        <w:t xml:space="preserve">Q2–Q3 2025: Rural Mid-Band expansion covering 4.2M additional HHs in Southeast and Midwest</w:t>
      </w:r>
    </w:p>
    <w:p>
      <w:pPr>
        <w:pStyle w:val="ListParagraph"/>
        <w:numPr>
          <w:ilvl w:val="0"/>
          <w:numId w:val="2"/>
        </w:numPr>
        <w:spacing w:after="40" w:before="40"/>
      </w:pPr>
      <w:r>
        <w:rPr>
          <w:rFonts w:ascii="Arial" w:cs="Arial" w:eastAsia="Arial" w:hAnsi="Arial"/>
          <w:sz w:val="20"/>
          <w:szCs w:val="20"/>
        </w:rPr>
        <w:t xml:space="preserve">Q4 2025: Nationwide Band 14 (FirstNet spectrum) refarming for FWA use cases</w:t>
      </w:r>
    </w:p>
    <w:p>
      <w:pPr>
        <w:pStyle w:val="ListParagraph"/>
        <w:numPr>
          <w:ilvl w:val="0"/>
          <w:numId w:val="2"/>
        </w:numPr>
        <w:spacing w:after="40" w:before="40"/>
      </w:pPr>
      <w:r>
        <w:rPr>
          <w:rFonts w:ascii="Arial" w:cs="Arial" w:eastAsia="Arial" w:hAnsi="Arial"/>
          <w:sz w:val="20"/>
          <w:szCs w:val="20"/>
        </w:rPr>
        <w:t xml:space="preserve">2026: Target 62% HH coverage through aggressive mid-band densification and spectrum sharing</w:t>
      </w:r>
    </w:p>
    <w:p>
      <w:pPr>
        <w:pStyle w:val="ListParagraph"/>
        <w:numPr>
          <w:ilvl w:val="0"/>
          <w:numId w:val="2"/>
        </w:numPr>
        <w:spacing w:after="40" w:before="40"/>
      </w:pPr>
      <w:r>
        <w:rPr>
          <w:rFonts w:ascii="Arial" w:cs="Arial" w:eastAsia="Arial" w:hAnsi="Arial"/>
          <w:sz w:val="20"/>
          <w:szCs w:val="20"/>
        </w:rPr>
        <w:t xml:space="preserve">Dependency: FCC spectrum auction outcome (3 GHz band) — potential 12% coverage upside if acquired</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Theme 2: Speed &amp; Reliability</w:t>
      </w:r>
    </w:p>
    <w:p>
      <w:pPr>
        <w:spacing w:after="60" w:before="60"/>
      </w:pPr>
      <w:r>
        <w:rPr>
          <w:rFonts w:ascii="Arial" w:cs="Arial" w:eastAsia="Arial" w:hAnsi="Arial"/>
          <w:sz w:val="20"/>
          <w:szCs w:val="20"/>
        </w:rPr>
        <w:t xml:space="preserve">Competitive parity on speed requires carrier aggregation and advanced antenna technologies. Latency reduction is critical to compete with cable broadband for gaming and video conferencing use cases.</w:t>
      </w:r>
    </w:p>
    <w:p>
      <w:pPr>
        <w:pStyle w:val="ListParagraph"/>
        <w:numPr>
          <w:ilvl w:val="0"/>
          <w:numId w:val="2"/>
        </w:numPr>
        <w:spacing w:after="40" w:before="40"/>
      </w:pPr>
      <w:r>
        <w:rPr>
          <w:rFonts w:ascii="Arial" w:cs="Arial" w:eastAsia="Arial" w:hAnsi="Arial"/>
          <w:sz w:val="20"/>
          <w:szCs w:val="20"/>
        </w:rPr>
        <w:t xml:space="preserve">Q1 2025 (Launched): 3-carrier aggregation (3CC) on C-Band — increases peak speeds to 400+ Mbps</w:t>
      </w:r>
    </w:p>
    <w:p>
      <w:pPr>
        <w:pStyle w:val="ListParagraph"/>
        <w:numPr>
          <w:ilvl w:val="0"/>
          <w:numId w:val="2"/>
        </w:numPr>
        <w:spacing w:after="40" w:before="40"/>
      </w:pPr>
      <w:r>
        <w:rPr>
          <w:rFonts w:ascii="Arial" w:cs="Arial" w:eastAsia="Arial" w:hAnsi="Arial"/>
          <w:sz w:val="20"/>
          <w:szCs w:val="20"/>
        </w:rPr>
        <w:t xml:space="preserve">Q3 2025: Massive MIMO upgrade rollout across top 50 markets — 30% capacity improvement</w:t>
      </w:r>
    </w:p>
    <w:p>
      <w:pPr>
        <w:pStyle w:val="ListParagraph"/>
        <w:numPr>
          <w:ilvl w:val="0"/>
          <w:numId w:val="2"/>
        </w:numPr>
        <w:spacing w:after="40" w:before="40"/>
      </w:pPr>
      <w:r>
        <w:rPr>
          <w:rFonts w:ascii="Arial" w:cs="Arial" w:eastAsia="Arial" w:hAnsi="Arial"/>
          <w:sz w:val="20"/>
          <w:szCs w:val="20"/>
        </w:rPr>
        <w:t xml:space="preserve">Q4 2025: 99.9% Uptime SLA introduction (first FWA provider to offer SLA)</w:t>
      </w:r>
    </w:p>
    <w:p>
      <w:pPr>
        <w:pStyle w:val="ListParagraph"/>
        <w:numPr>
          <w:ilvl w:val="0"/>
          <w:numId w:val="2"/>
        </w:numPr>
        <w:spacing w:after="40" w:before="40"/>
      </w:pPr>
      <w:r>
        <w:rPr>
          <w:rFonts w:ascii="Arial" w:cs="Arial" w:eastAsia="Arial" w:hAnsi="Arial"/>
          <w:sz w:val="20"/>
          <w:szCs w:val="20"/>
        </w:rPr>
        <w:t xml:space="preserve">2026: Sub-20ms latency in mmWave markets; nationwide latency target &lt;45ms</w:t>
      </w:r>
    </w:p>
    <w:p>
      <w:pPr>
        <w:pStyle w:val="ListParagraph"/>
        <w:numPr>
          <w:ilvl w:val="0"/>
          <w:numId w:val="2"/>
        </w:numPr>
        <w:spacing w:after="40" w:before="40"/>
      </w:pPr>
      <w:r>
        <w:rPr>
          <w:rFonts w:ascii="Arial" w:cs="Arial" w:eastAsia="Arial" w:hAnsi="Arial"/>
          <w:sz w:val="20"/>
          <w:szCs w:val="20"/>
        </w:rPr>
        <w:t xml:space="preserve">2026: AI-driven traffic steering between 5G bands to optimize customer experience</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Theme 3: Customer Experience</w:t>
      </w:r>
    </w:p>
    <w:p>
      <w:pPr>
        <w:spacing w:after="60" w:before="60"/>
      </w:pPr>
      <w:r>
        <w:rPr>
          <w:rFonts w:ascii="Arial" w:cs="Arial" w:eastAsia="Arial" w:hAnsi="Arial"/>
          <w:sz w:val="20"/>
          <w:szCs w:val="20"/>
        </w:rPr>
        <w:t xml:space="preserve">Internet Air lags cable competitors in NPS due to self-install complexity and reactive support. CX transformation is a top H2 2025 priority.</w:t>
      </w:r>
    </w:p>
    <w:p>
      <w:pPr>
        <w:pStyle w:val="ListParagraph"/>
        <w:numPr>
          <w:ilvl w:val="0"/>
          <w:numId w:val="2"/>
        </w:numPr>
        <w:spacing w:after="40" w:before="40"/>
      </w:pPr>
      <w:r>
        <w:rPr>
          <w:rFonts w:ascii="Arial" w:cs="Arial" w:eastAsia="Arial" w:hAnsi="Arial"/>
          <w:sz w:val="20"/>
          <w:szCs w:val="20"/>
        </w:rPr>
        <w:t xml:space="preserve">Q2 2025: Internet Air App v2.0 — real-time speed diagnostics, Wi-Fi optimization, billing, network health dashboard</w:t>
      </w:r>
    </w:p>
    <w:p>
      <w:pPr>
        <w:pStyle w:val="ListParagraph"/>
        <w:numPr>
          <w:ilvl w:val="0"/>
          <w:numId w:val="2"/>
        </w:numPr>
        <w:spacing w:after="40" w:before="40"/>
      </w:pPr>
      <w:r>
        <w:rPr>
          <w:rFonts w:ascii="Arial" w:cs="Arial" w:eastAsia="Arial" w:hAnsi="Arial"/>
          <w:sz w:val="20"/>
          <w:szCs w:val="20"/>
        </w:rPr>
        <w:t xml:space="preserve">Q3 2025: AI-powered troubleshooting chatbot (reducing Tier-1 calls by 35%)</w:t>
      </w:r>
    </w:p>
    <w:p>
      <w:pPr>
        <w:pStyle w:val="ListParagraph"/>
        <w:numPr>
          <w:ilvl w:val="0"/>
          <w:numId w:val="2"/>
        </w:numPr>
        <w:spacing w:after="40" w:before="40"/>
      </w:pPr>
      <w:r>
        <w:rPr>
          <w:rFonts w:ascii="Arial" w:cs="Arial" w:eastAsia="Arial" w:hAnsi="Arial"/>
          <w:sz w:val="20"/>
          <w:szCs w:val="20"/>
        </w:rPr>
        <w:t xml:space="preserve">Q4 2025: Augmented reality (AR) self-install guide — reduces truck rolls by 20%</w:t>
      </w:r>
    </w:p>
    <w:p>
      <w:pPr>
        <w:pStyle w:val="ListParagraph"/>
        <w:numPr>
          <w:ilvl w:val="0"/>
          <w:numId w:val="2"/>
        </w:numPr>
        <w:spacing w:after="40" w:before="40"/>
      </w:pPr>
      <w:r>
        <w:rPr>
          <w:rFonts w:ascii="Arial" w:cs="Arial" w:eastAsia="Arial" w:hAnsi="Arial"/>
          <w:sz w:val="20"/>
          <w:szCs w:val="20"/>
        </w:rPr>
        <w:t xml:space="preserve">2026: Proactive outage alerts and automated credit issuance for SLA breaches</w:t>
      </w:r>
    </w:p>
    <w:p>
      <w:pPr>
        <w:pStyle w:val="ListParagraph"/>
        <w:numPr>
          <w:ilvl w:val="0"/>
          <w:numId w:val="2"/>
        </w:numPr>
        <w:spacing w:after="40" w:before="40"/>
      </w:pPr>
      <w:r>
        <w:rPr>
          <w:rFonts w:ascii="Arial" w:cs="Arial" w:eastAsia="Arial" w:hAnsi="Arial"/>
          <w:sz w:val="20"/>
          <w:szCs w:val="20"/>
        </w:rPr>
        <w:t xml:space="preserve">2026: Smart Wi-Fi extender ecosystem integration (AT&amp;T All-Fi mesh networking)</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Theme 4: Competitive Positioning</w:t>
      </w:r>
    </w:p>
    <w:p>
      <w:pPr>
        <w:spacing w:after="60" w:before="60"/>
      </w:pPr>
      <w:r>
        <w:rPr>
          <w:rFonts w:ascii="Arial" w:cs="Arial" w:eastAsia="Arial" w:hAnsi="Arial"/>
          <w:sz w:val="20"/>
          <w:szCs w:val="20"/>
        </w:rPr>
        <w:t xml:space="preserve">T-Mobile Home Internet leads with 52% HH coverage and competitive pricing. Starlink dominates rural markets. AT&amp;T's differentiators are bundling, brand trust, and customer service infrastructure.</w:t>
      </w:r>
    </w:p>
    <w:p>
      <w:pPr>
        <w:pStyle w:val="ListParagraph"/>
        <w:numPr>
          <w:ilvl w:val="0"/>
          <w:numId w:val="2"/>
        </w:numPr>
        <w:spacing w:after="40" w:before="40"/>
      </w:pPr>
      <w:r>
        <w:rPr>
          <w:rFonts w:ascii="Arial" w:cs="Arial" w:eastAsia="Arial" w:hAnsi="Arial"/>
          <w:sz w:val="20"/>
          <w:szCs w:val="20"/>
        </w:rPr>
        <w:t xml:space="preserve">Q2 2025: Unlimited Elite tier ($65/mo) — unlimited data with speed guarantee and streaming add-ons</w:t>
      </w:r>
    </w:p>
    <w:p>
      <w:pPr>
        <w:pStyle w:val="ListParagraph"/>
        <w:numPr>
          <w:ilvl w:val="0"/>
          <w:numId w:val="2"/>
        </w:numPr>
        <w:spacing w:after="40" w:before="40"/>
      </w:pPr>
      <w:r>
        <w:rPr>
          <w:rFonts w:ascii="Arial" w:cs="Arial" w:eastAsia="Arial" w:hAnsi="Arial"/>
          <w:sz w:val="20"/>
          <w:szCs w:val="20"/>
        </w:rPr>
        <w:t xml:space="preserve">Q3 2025: AT&amp;T + DIRECTV bundle SKU — $120/mo combined (Internet Air + DIRECTV Stream base package)</w:t>
      </w:r>
    </w:p>
    <w:p>
      <w:pPr>
        <w:pStyle w:val="ListParagraph"/>
        <w:numPr>
          <w:ilvl w:val="0"/>
          <w:numId w:val="2"/>
        </w:numPr>
        <w:spacing w:after="40" w:before="40"/>
      </w:pPr>
      <w:r>
        <w:rPr>
          <w:rFonts w:ascii="Arial" w:cs="Arial" w:eastAsia="Arial" w:hAnsi="Arial"/>
          <w:sz w:val="20"/>
          <w:szCs w:val="20"/>
        </w:rPr>
        <w:t xml:space="preserve">Q4 2025: Multi-device Wi-Fi 6E router upgrade program for existing subscribers</w:t>
      </w:r>
    </w:p>
    <w:p>
      <w:pPr>
        <w:pStyle w:val="ListParagraph"/>
        <w:numPr>
          <w:ilvl w:val="0"/>
          <w:numId w:val="2"/>
        </w:numPr>
        <w:spacing w:after="40" w:before="40"/>
      </w:pPr>
      <w:r>
        <w:rPr>
          <w:rFonts w:ascii="Arial" w:cs="Arial" w:eastAsia="Arial" w:hAnsi="Arial"/>
          <w:sz w:val="20"/>
          <w:szCs w:val="20"/>
        </w:rPr>
        <w:t xml:space="preserve">2026: Wireless + Home Internet loyalty bundle with reciprocal discounts</w:t>
      </w:r>
    </w:p>
    <w:p>
      <w:pPr>
        <w:pStyle w:val="ListParagraph"/>
        <w:numPr>
          <w:ilvl w:val="0"/>
          <w:numId w:val="2"/>
        </w:numPr>
        <w:spacing w:after="40" w:before="40"/>
      </w:pPr>
      <w:r>
        <w:rPr>
          <w:rFonts w:ascii="Arial" w:cs="Arial" w:eastAsia="Arial" w:hAnsi="Arial"/>
          <w:sz w:val="20"/>
          <w:szCs w:val="20"/>
        </w:rPr>
        <w:t xml:space="preserve">2026: SMB (Small Business) Internet Air tier with static IP and priority QoS</w:t>
      </w:r>
    </w:p>
    <w:p>
      <w:pPr>
        <w:spacing w:after="80" w:before="80"/>
      </w:pPr>
      <w:r>
        <w:t xml:space="preserve"/>
      </w:r>
    </w:p>
    <w:p>
      <w:r>
        <w:br w:type="page"/>
      </w:r>
    </w:p>
    <w:p>
      <w:pPr>
        <w:pStyle w:val="Heading1"/>
        <w:pBdr>
          <w:bottom w:val="single" w:color="00A8E0" w:sz="6" w:space="4"/>
        </w:pBdr>
        <w:spacing w:after="140" w:before="280"/>
      </w:pPr>
      <w:r>
        <w:rPr>
          <w:rFonts w:ascii="Arial" w:cs="Arial" w:eastAsia="Arial" w:hAnsi="Arial"/>
          <w:b/>
          <w:bCs/>
          <w:color w:val="1A1A1A"/>
          <w:sz w:val="28"/>
          <w:szCs w:val="28"/>
        </w:rPr>
        <w:t xml:space="preserve">4. Competitive Gap Analysis</w:t>
      </w:r>
    </w:p>
    <w:p>
      <w:pPr>
        <w:spacing w:after="60" w:before="60"/>
      </w:pPr>
      <w:r>
        <w:rPr>
          <w:rFonts w:ascii="Arial" w:cs="Arial" w:eastAsia="Arial" w:hAnsi="Arial"/>
          <w:sz w:val="20"/>
          <w:szCs w:val="20"/>
        </w:rPr>
        <w:t xml:space="preserve">The following table benchmarks AT&amp;T Internet Air against its three primary competitors as of Q1 2025. Red cells indicate areas where AT&amp;T is at a disadvantage; green cells indicate AT&amp;T leads.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815"/>
        <w:gridCol w:w="1815"/>
        <w:gridCol w:w="1815"/>
        <w:gridCol w:w="1815"/>
      </w:tblGrid>
      <w:tr>
        <w:trPr>
          <w:tblHeader/>
        </w:trPr>
        <w:tc>
          <w:tcPr>
            <w:tcW w:type="dxa" w:w="21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Capability</w:t>
            </w:r>
          </w:p>
        </w:tc>
        <w:tc>
          <w:tcPr>
            <w:tcW w:type="dxa" w:w="181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AT&amp;T Internet Air</w:t>
            </w:r>
          </w:p>
        </w:tc>
        <w:tc>
          <w:tcPr>
            <w:tcW w:type="dxa" w:w="181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T-Mobile Home Internet</w:t>
            </w:r>
          </w:p>
        </w:tc>
        <w:tc>
          <w:tcPr>
            <w:tcW w:type="dxa" w:w="181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Starlink</w:t>
            </w:r>
          </w:p>
        </w:tc>
        <w:tc>
          <w:tcPr>
            <w:tcW w:type="dxa" w:w="1815"/>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Comcast Xfinity</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Avg Download Speed</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80–175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72–245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100–220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400–1200 Mbps</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Avg Upload Speed</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20–40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15–35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10–20 Mbps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20–35 Mbps</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Latency (ms)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35–60 ms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45–70 ms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25–60 ms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10–15 ms</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Monthly Price (standalone)</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$55</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$50</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$120</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$80–$110</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Contract Required</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No</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No</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No</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Yes (promo)</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Coverage (% US HHs)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38% (2025)</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52%</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99% (satellite)</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~55%</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Self-Install Available</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Yes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Yes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Yes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Yes</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Bundling Options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AT&amp;T Wireless, DIRECTV</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T-Mobile Wireless</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None</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Xfinity Mobile, cable TV</w:t>
            </w:r>
          </w:p>
        </w:tc>
      </w:tr>
      <w:tr>
        <w:trPr>
          <w:tblHeader w:val="false"/>
        </w:trPr>
        <w:tc>
          <w:tcPr>
            <w:tcW w:type="dxa" w:w="21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r>
              <w:rPr>
                <w:rFonts w:ascii="Arial" w:cs="Arial" w:eastAsia="Arial" w:hAnsi="Arial"/>
                <w:b/>
                <w:bCs/>
                <w:sz w:val="18"/>
                <w:szCs w:val="18"/>
              </w:rPr>
              <w:t xml:space="preserve">Equipment Fee</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$0 (included)</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$0 (included)</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$599 upfront</w:t>
            </w:r>
          </w:p>
        </w:tc>
        <w:tc>
          <w:tcPr>
            <w:tcW w:type="dxa" w:w="1815"/>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8"/>
                <w:szCs w:val="18"/>
              </w:rPr>
              <w:t xml:space="preserve">$15/mo lease</w:t>
            </w:r>
          </w:p>
        </w:tc>
      </w:tr>
    </w:tbl>
    <w:p>
      <w:pPr>
        <w:spacing w:after="80" w:before="80"/>
      </w:pPr>
      <w:r>
        <w:t xml:space="preserve"/>
      </w:r>
    </w:p>
    <w:p>
      <w:pPr>
        <w:spacing w:after="60" w:before="60"/>
      </w:pPr>
      <w:r>
        <w:rPr>
          <w:rFonts w:ascii="Arial" w:cs="Arial" w:eastAsia="Arial" w:hAnsi="Arial"/>
          <w:sz w:val="20"/>
          <w:szCs w:val="20"/>
        </w:rPr>
        <w:t xml:space="preserve">Key Insight: AT&amp;T's primary competitive gap is coverage (38% vs T-Mobile's 52%). Speed and price are broadly competitive. The bundle advantage with AT&amp;T Wireless and DIRECTV is a significant differentiator not captured in the comparison above — approximately 28% of Internet Air subscribers also hold AT&amp;T Wireless accounts, providing meaningful churn insulation.</w:t>
      </w:r>
    </w:p>
    <w:p>
      <w:pPr>
        <w:spacing w:after="80" w:before="80"/>
      </w:pPr>
      <w:r>
        <w:t xml:space="preserve"/>
      </w:r>
    </w:p>
    <w:p>
      <w:pPr>
        <w:pStyle w:val="Heading1"/>
        <w:pBdr>
          <w:bottom w:val="single" w:color="00A8E0" w:sz="6" w:space="4"/>
        </w:pBdr>
        <w:spacing w:after="140" w:before="280"/>
      </w:pPr>
      <w:r>
        <w:rPr>
          <w:rFonts w:ascii="Arial" w:cs="Arial" w:eastAsia="Arial" w:hAnsi="Arial"/>
          <w:b/>
          <w:bCs/>
          <w:color w:val="1A1A1A"/>
          <w:sz w:val="28"/>
          <w:szCs w:val="28"/>
        </w:rPr>
        <w:t xml:space="preserve">5. Initiative Registry &amp; Ownership</w:t>
      </w:r>
    </w:p>
    <w:p>
      <w:pPr>
        <w:spacing w:after="60" w:before="60"/>
      </w:pPr>
      <w:r>
        <w:rPr>
          <w:rFonts w:ascii="Arial" w:cs="Arial" w:eastAsia="Arial" w:hAnsi="Arial"/>
          <w:sz w:val="20"/>
          <w:szCs w:val="20"/>
        </w:rPr>
        <w:t xml:space="preserve">All roadmap initiatives are tracked in AT&amp;T's internal planning system (OPSRA). The table below summarizes active and planned initiatives with functional ownership and current status.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1500"/>
        <w:gridCol w:w="1660"/>
      </w:tblGrid>
      <w:tr>
        <w:trPr>
          <w:tblHeader/>
        </w:trPr>
        <w:tc>
          <w:tcPr>
            <w:tcW w:type="dxa" w:w="28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Initiative</w:t>
            </w:r>
          </w:p>
        </w:tc>
        <w:tc>
          <w:tcPr>
            <w:tcW w:type="dxa" w:w="17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Theme</w:t>
            </w:r>
          </w:p>
        </w:tc>
        <w:tc>
          <w:tcPr>
            <w:tcW w:type="dxa" w:w="17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c>
          <w:tcPr>
            <w:tcW w:type="dxa" w:w="150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ETA</w:t>
            </w:r>
          </w:p>
        </w:tc>
        <w:tc>
          <w:tcPr>
            <w:tcW w:type="dxa" w:w="1660"/>
            <w:tcBorders>
              <w:top w:val="single" w:color="CCCCCC" w:sz="1"/>
              <w:left w:val="single" w:color="CCCCCC" w:sz="1"/>
              <w:bottom w:val="single" w:color="CCCCCC" w:sz="1"/>
              <w:right w:val="single" w:color="CCCCCC" w:sz="1"/>
            </w:tcBorders>
            <w:shd w:fill="00A8E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Status</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mmWave Dense Urban Buildout</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Coverage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Network Engineering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Q2 2025</w:t>
            </w:r>
          </w:p>
        </w:tc>
        <w:tc>
          <w:tcPr>
            <w:tcW w:type="dxa" w:w="16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In Progress</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Rural Mid-Band Expansion (Band 14)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Coverage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Spectrum &amp; Deployment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Q3 2025</w:t>
            </w:r>
          </w:p>
        </w:tc>
        <w:tc>
          <w:tcPr>
            <w:tcW w:type="dxa" w:w="1660"/>
            <w:tcBorders>
              <w:top w:val="single" w:color="CCCCCC" w:sz="1"/>
              <w:left w:val="single" w:color="CCCCCC" w:sz="1"/>
              <w:bottom w:val="single" w:color="CCCCCC" w:sz="1"/>
              <w:right w:val="single" w:color="CCCCCC" w:sz="1"/>
            </w:tcBorders>
            <w:shd w:fill="D1ECF1"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Planning</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Sub-6GHz Carrier Aggregation (3CC)</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Speed &amp; Reliability</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Radio Engineering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Q1 2025</w:t>
            </w:r>
          </w:p>
        </w:tc>
        <w:tc>
          <w:tcPr>
            <w:tcW w:type="dxa" w:w="166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Launched</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99.9% Uptime SLA Launch</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Speed &amp; Reliability</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Network Ops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Q3 2025</w:t>
            </w:r>
          </w:p>
        </w:tc>
        <w:tc>
          <w:tcPr>
            <w:tcW w:type="dxa" w:w="166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Design</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Internet Air App v2.0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Customer Experience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Consumer Digital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Q2 2025</w:t>
            </w:r>
          </w:p>
        </w:tc>
        <w:tc>
          <w:tcPr>
            <w:tcW w:type="dxa" w:w="16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In Progress</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AI-Powered Troubleshooting Bot</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Customer Experience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Care Ops &amp; AI</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Q3 2025</w:t>
            </w:r>
          </w:p>
        </w:tc>
        <w:tc>
          <w:tcPr>
            <w:tcW w:type="dxa" w:w="1660"/>
            <w:tcBorders>
              <w:top w:val="single" w:color="CCCCCC" w:sz="1"/>
              <w:left w:val="single" w:color="CCCCCC" w:sz="1"/>
              <w:bottom w:val="single" w:color="CCCCCC" w:sz="1"/>
              <w:right w:val="single" w:color="CCCCCC" w:sz="1"/>
            </w:tcBorders>
            <w:shd w:fill="F8D7DA"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Design</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Guided Self-Install (AR overlay)</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Customer Experience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UX &amp; HW Partnerships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Q4 2025</w:t>
            </w:r>
          </w:p>
        </w:tc>
        <w:tc>
          <w:tcPr>
            <w:tcW w:type="dxa" w:w="1660"/>
            <w:tcBorders>
              <w:top w:val="single" w:color="CCCCCC" w:sz="1"/>
              <w:left w:val="single" w:color="CCCCCC" w:sz="1"/>
              <w:bottom w:val="single" w:color="CCCCCC" w:sz="1"/>
              <w:right w:val="single" w:color="CCCCCC" w:sz="1"/>
            </w:tcBorders>
            <w:shd w:fill="E2D9F3"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Concept</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Unlimited Elite Tier Launch</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Competitive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Consumer Marketing</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Q2 2025</w:t>
            </w:r>
          </w:p>
        </w:tc>
        <w:tc>
          <w:tcPr>
            <w:tcW w:type="dxa" w:w="16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In Progress</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AT&amp;T + DIRECTV Bundle SKU</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Competitive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Consumer Offer Mgmt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Q3 2025</w:t>
            </w:r>
          </w:p>
        </w:tc>
        <w:tc>
          <w:tcPr>
            <w:tcW w:type="dxa" w:w="1660"/>
            <w:tcBorders>
              <w:top w:val="single" w:color="CCCCCC" w:sz="1"/>
              <w:left w:val="single" w:color="CCCCCC" w:sz="1"/>
              <w:bottom w:val="single" w:color="CCCCCC" w:sz="1"/>
              <w:right w:val="single" w:color="CCCCCC" w:sz="1"/>
            </w:tcBorders>
            <w:shd w:fill="D1ECF1"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Planning</w:t>
            </w:r>
          </w:p>
        </w:tc>
      </w:tr>
      <w:tr>
        <w:trPr>
          <w:tblHeader w:val="false"/>
        </w:trPr>
        <w:tc>
          <w:tcPr>
            <w:tcW w:type="dxa" w:w="2800"/>
            <w:tcBorders>
              <w:top w:val="single" w:color="CCCCCC" w:sz="1"/>
              <w:left w:val="single" w:color="CCCCCC" w:sz="1"/>
              <w:bottom w:val="single" w:color="CCCCCC" w:sz="1"/>
              <w:right w:val="single" w:color="CCCCCC" w:sz="1"/>
            </w:tcBorders>
            <w:shd w:fill="E6F6FD" w:val="clear"/>
            <w:tcMar>
              <w:top w:type="dxa" w:w="80"/>
              <w:left w:type="dxa" w:w="120"/>
              <w:bottom w:type="dxa" w:w="80"/>
              <w:right w:type="dxa" w:w="120"/>
            </w:tcMar>
          </w:tcPr>
          <w:p>
            <w:pPr>
              <w:jc w:val="left"/>
            </w:pPr>
            <w:r>
              <w:rPr>
                <w:rFonts w:ascii="Arial" w:cs="Arial" w:eastAsia="Arial" w:hAnsi="Arial"/>
                <w:b/>
                <w:bCs/>
                <w:sz w:val="18"/>
                <w:szCs w:val="18"/>
              </w:rPr>
              <w:t xml:space="preserve">Low-Income Broadband ACP Successor</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18"/>
                <w:szCs w:val="18"/>
              </w:rPr>
              <w:t xml:space="preserve">Coverage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Policy &amp; Regulatory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18"/>
                <w:szCs w:val="18"/>
              </w:rPr>
              <w:t xml:space="preserve">Q1 2026</w:t>
            </w:r>
          </w:p>
        </w:tc>
        <w:tc>
          <w:tcPr>
            <w:tcW w:type="dxa" w:w="1660"/>
            <w:tcBorders>
              <w:top w:val="single" w:color="CCCCCC" w:sz="1"/>
              <w:left w:val="single" w:color="CCCCCC" w:sz="1"/>
              <w:bottom w:val="single" w:color="CCCCCC" w:sz="1"/>
              <w:right w:val="single" w:color="CCCCCC" w:sz="1"/>
            </w:tcBorders>
            <w:shd w:fill="D1ECF1" w:val="clear"/>
            <w:tcMar>
              <w:top w:type="dxa" w:w="80"/>
              <w:left w:type="dxa" w:w="120"/>
              <w:bottom w:type="dxa" w:w="80"/>
              <w:right w:type="dxa" w:w="120"/>
            </w:tcMar>
          </w:tcPr>
          <w:p>
            <w:pPr>
              <w:jc w:val="center"/>
            </w:pPr>
            <w:r>
              <w:rPr>
                <w:rFonts w:ascii="Arial" w:cs="Arial" w:eastAsia="Arial" w:hAnsi="Arial"/>
                <w:b w:val="false"/>
                <w:bCs w:val="false"/>
                <w:sz w:val="18"/>
                <w:szCs w:val="18"/>
              </w:rPr>
              <w:t xml:space="preserve">Planning</w:t>
            </w:r>
          </w:p>
        </w:tc>
      </w:tr>
    </w:tbl>
    <w:p>
      <w:pPr>
        <w:spacing w:after="80" w:before="80"/>
      </w:pPr>
      <w:r>
        <w:t xml:space="preserve"/>
      </w:r>
    </w:p>
    <w:p>
      <w:pPr>
        <w:spacing w:after="60" w:before="60"/>
      </w:pPr>
      <w:r>
        <w:rPr>
          <w:rFonts w:ascii="Arial" w:cs="Arial" w:eastAsia="Arial" w:hAnsi="Arial"/>
          <w:sz w:val="20"/>
          <w:szCs w:val="20"/>
        </w:rPr>
        <w:t xml:space="preserve">Status Legend: Launched = Live in production | In Progress = Active development | Design = In design/architecture phase | Planning = Scoped, not yet resourced | Concept = Exploratory</w:t>
      </w:r>
    </w:p>
    <w:p>
      <w:pPr>
        <w:spacing w:after="80" w:before="80"/>
      </w:pPr>
      <w:r>
        <w:t xml:space="preserve"/>
      </w:r>
    </w:p>
    <w:p>
      <w:pPr>
        <w:pStyle w:val="Heading1"/>
        <w:pBdr>
          <w:bottom w:val="single" w:color="00A8E0" w:sz="6" w:space="4"/>
        </w:pBdr>
        <w:spacing w:after="140" w:before="280"/>
      </w:pPr>
      <w:r>
        <w:rPr>
          <w:rFonts w:ascii="Arial" w:cs="Arial" w:eastAsia="Arial" w:hAnsi="Arial"/>
          <w:b/>
          <w:bCs/>
          <w:color w:val="1A1A1A"/>
          <w:sz w:val="28"/>
          <w:szCs w:val="28"/>
        </w:rPr>
        <w:t xml:space="preserve">6. Risks &amp; Dependencies</w:t>
      </w:r>
    </w:p>
    <w:p>
      <w:pPr>
        <w:pStyle w:val="Heading2"/>
        <w:spacing w:after="100" w:before="200"/>
      </w:pPr>
      <w:r>
        <w:rPr>
          <w:rFonts w:ascii="Arial" w:cs="Arial" w:eastAsia="Arial" w:hAnsi="Arial"/>
          <w:b/>
          <w:bCs/>
          <w:color w:val="1A1A1A"/>
          <w:sz w:val="22"/>
          <w:szCs w:val="22"/>
        </w:rPr>
        <w:t xml:space="preserve">6.1 Key Risks</w:t>
      </w:r>
    </w:p>
    <w:p>
      <w:pPr>
        <w:pStyle w:val="ListParagraph"/>
        <w:numPr>
          <w:ilvl w:val="0"/>
          <w:numId w:val="2"/>
        </w:numPr>
        <w:spacing w:after="40" w:before="40"/>
      </w:pPr>
      <w:r>
        <w:rPr>
          <w:rFonts w:ascii="Arial" w:cs="Arial" w:eastAsia="Arial" w:hAnsi="Arial"/>
          <w:sz w:val="20"/>
          <w:szCs w:val="20"/>
        </w:rPr>
        <w:t xml:space="preserve">T-Mobile coverage expansion acceleration: T-Mobile has announced intent to reach 60% HH coverage by EOY 2025, which would further pressure AT&amp;T's market share gap</w:t>
      </w:r>
    </w:p>
    <w:p>
      <w:pPr>
        <w:pStyle w:val="ListParagraph"/>
        <w:numPr>
          <w:ilvl w:val="0"/>
          <w:numId w:val="2"/>
        </w:numPr>
        <w:spacing w:after="40" w:before="40"/>
      </w:pPr>
      <w:r>
        <w:rPr>
          <w:rFonts w:ascii="Arial" w:cs="Arial" w:eastAsia="Arial" w:hAnsi="Arial"/>
          <w:sz w:val="20"/>
          <w:szCs w:val="20"/>
        </w:rPr>
        <w:t xml:space="preserve">Spectrum availability: The planned 3 GHz band auction outcome may delay rural expansion by 2–4 quarters if AT&amp;T does not secure sufficient spectrum</w:t>
      </w:r>
    </w:p>
    <w:p>
      <w:pPr>
        <w:pStyle w:val="ListParagraph"/>
        <w:numPr>
          <w:ilvl w:val="0"/>
          <w:numId w:val="2"/>
        </w:numPr>
        <w:spacing w:after="40" w:before="40"/>
      </w:pPr>
      <w:r>
        <w:rPr>
          <w:rFonts w:ascii="Arial" w:cs="Arial" w:eastAsia="Arial" w:hAnsi="Arial"/>
          <w:sz w:val="20"/>
          <w:szCs w:val="20"/>
        </w:rPr>
        <w:t xml:space="preserve">FWA network capacity constraints: Rapid subscriber growth in mmWave markets may strain capacity, requiring accelerated capex spend</w:t>
      </w:r>
    </w:p>
    <w:p>
      <w:pPr>
        <w:pStyle w:val="ListParagraph"/>
        <w:numPr>
          <w:ilvl w:val="0"/>
          <w:numId w:val="2"/>
        </w:numPr>
        <w:spacing w:after="40" w:before="40"/>
      </w:pPr>
      <w:r>
        <w:rPr>
          <w:rFonts w:ascii="Arial" w:cs="Arial" w:eastAsia="Arial" w:hAnsi="Arial"/>
          <w:sz w:val="20"/>
          <w:szCs w:val="20"/>
        </w:rPr>
        <w:t xml:space="preserve">Churn in legacy DSL displacement markets: Converting DSL subscribers to Internet Air may expose AT&amp;T to churn if expectations on speed are not met</w:t>
      </w:r>
    </w:p>
    <w:p>
      <w:pPr>
        <w:spacing w:after="80" w:before="80"/>
      </w:pPr>
      <w:r>
        <w:t xml:space="preserve"/>
      </w:r>
    </w:p>
    <w:p>
      <w:pPr>
        <w:pStyle w:val="Heading2"/>
        <w:spacing w:after="100" w:before="200"/>
      </w:pPr>
      <w:r>
        <w:rPr>
          <w:rFonts w:ascii="Arial" w:cs="Arial" w:eastAsia="Arial" w:hAnsi="Arial"/>
          <w:b/>
          <w:bCs/>
          <w:color w:val="1A1A1A"/>
          <w:sz w:val="22"/>
          <w:szCs w:val="22"/>
        </w:rPr>
        <w:t xml:space="preserve">6.2 Cross-Functional Dependencies</w:t>
      </w:r>
    </w:p>
    <w:p>
      <w:pPr>
        <w:pStyle w:val="ListParagraph"/>
        <w:numPr>
          <w:ilvl w:val="0"/>
          <w:numId w:val="2"/>
        </w:numPr>
        <w:spacing w:after="40" w:before="40"/>
      </w:pPr>
      <w:r>
        <w:rPr>
          <w:rFonts w:ascii="Arial" w:cs="Arial" w:eastAsia="Arial" w:hAnsi="Arial"/>
          <w:sz w:val="20"/>
          <w:szCs w:val="20"/>
        </w:rPr>
        <w:t xml:space="preserve">Network Engineering: All coverage, speed, and reliability initiatives depend on timely delivery of capital program milestones</w:t>
      </w:r>
    </w:p>
    <w:p>
      <w:pPr>
        <w:pStyle w:val="ListParagraph"/>
        <w:numPr>
          <w:ilvl w:val="0"/>
          <w:numId w:val="2"/>
        </w:numPr>
        <w:spacing w:after="40" w:before="40"/>
      </w:pPr>
      <w:r>
        <w:rPr>
          <w:rFonts w:ascii="Arial" w:cs="Arial" w:eastAsia="Arial" w:hAnsi="Arial"/>
          <w:sz w:val="20"/>
          <w:szCs w:val="20"/>
        </w:rPr>
        <w:t xml:space="preserve">Regulatory/Policy: ACP program expiration has impacted low-income subscriber growth; policy team monitoring successor programs</w:t>
      </w:r>
    </w:p>
    <w:p>
      <w:pPr>
        <w:pStyle w:val="ListParagraph"/>
        <w:numPr>
          <w:ilvl w:val="0"/>
          <w:numId w:val="2"/>
        </w:numPr>
        <w:spacing w:after="40" w:before="40"/>
      </w:pPr>
      <w:r>
        <w:rPr>
          <w:rFonts w:ascii="Arial" w:cs="Arial" w:eastAsia="Arial" w:hAnsi="Arial"/>
          <w:sz w:val="20"/>
          <w:szCs w:val="20"/>
        </w:rPr>
        <w:t xml:space="preserve">Device Supply Chain: AR self-install hardware depends on supply chain for new Wi-Fi 6E gateway model (Vendor: Arris/CommScope)</w:t>
      </w:r>
    </w:p>
    <w:p>
      <w:pPr>
        <w:pStyle w:val="ListParagraph"/>
        <w:numPr>
          <w:ilvl w:val="0"/>
          <w:numId w:val="2"/>
        </w:numPr>
        <w:spacing w:after="40" w:before="40"/>
      </w:pPr>
      <w:r>
        <w:rPr>
          <w:rFonts w:ascii="Arial" w:cs="Arial" w:eastAsia="Arial" w:hAnsi="Arial"/>
          <w:sz w:val="20"/>
          <w:szCs w:val="20"/>
        </w:rPr>
        <w:t xml:space="preserve">AT&amp;T Wireless: Bundle SKU pricing must be coordinated with Wireless product team; joint offer launch requires 90-day lead time</w:t>
      </w:r>
    </w:p>
    <w:p>
      <w:pPr>
        <w:spacing w:after="80" w:before="80"/>
      </w:pPr>
      <w:r>
        <w:t xml:space="preserve"/>
      </w:r>
    </w:p>
    <w:p>
      <w:pPr>
        <w:pStyle w:val="Heading1"/>
        <w:pBdr>
          <w:bottom w:val="single" w:color="00A8E0" w:sz="6" w:space="4"/>
        </w:pBdr>
        <w:spacing w:after="140" w:before="280"/>
      </w:pPr>
      <w:r>
        <w:rPr>
          <w:rFonts w:ascii="Arial" w:cs="Arial" w:eastAsia="Arial" w:hAnsi="Arial"/>
          <w:b/>
          <w:bCs/>
          <w:color w:val="1A1A1A"/>
          <w:sz w:val="28"/>
          <w:szCs w:val="28"/>
        </w:rPr>
        <w:t xml:space="preserve">7. Success Metrics Summary</w:t>
      </w:r>
    </w:p>
    <w:p>
      <w:pPr>
        <w:pStyle w:val="ListParagraph"/>
        <w:numPr>
          <w:ilvl w:val="0"/>
          <w:numId w:val="2"/>
        </w:numPr>
        <w:spacing w:after="40" w:before="40"/>
      </w:pPr>
      <w:r>
        <w:rPr>
          <w:rFonts w:ascii="Arial" w:cs="Arial" w:eastAsia="Arial" w:hAnsi="Arial"/>
          <w:sz w:val="20"/>
          <w:szCs w:val="20"/>
        </w:rPr>
        <w:t xml:space="preserve">Subscriber Count: 5.0M by Q4 2026 (from 2.1M baseline in Q1 2025)</w:t>
      </w:r>
    </w:p>
    <w:p>
      <w:pPr>
        <w:pStyle w:val="ListParagraph"/>
        <w:numPr>
          <w:ilvl w:val="0"/>
          <w:numId w:val="2"/>
        </w:numPr>
        <w:spacing w:after="40" w:before="40"/>
      </w:pPr>
      <w:r>
        <w:rPr>
          <w:rFonts w:ascii="Arial" w:cs="Arial" w:eastAsia="Arial" w:hAnsi="Arial"/>
          <w:sz w:val="20"/>
          <w:szCs w:val="20"/>
        </w:rPr>
        <w:t xml:space="preserve">HH Coverage: 62% by Q4 2026 (from 37% baseline)</w:t>
      </w:r>
    </w:p>
    <w:p>
      <w:pPr>
        <w:pStyle w:val="ListParagraph"/>
        <w:numPr>
          <w:ilvl w:val="0"/>
          <w:numId w:val="2"/>
        </w:numPr>
        <w:spacing w:after="40" w:before="40"/>
      </w:pPr>
      <w:r>
        <w:rPr>
          <w:rFonts w:ascii="Arial" w:cs="Arial" w:eastAsia="Arial" w:hAnsi="Arial"/>
          <w:sz w:val="20"/>
          <w:szCs w:val="20"/>
        </w:rPr>
        <w:t xml:space="preserve">Average Download Speed: 175 Mbps by Q4 2026 (from 78 Mbps baseline)</w:t>
      </w:r>
    </w:p>
    <w:p>
      <w:pPr>
        <w:pStyle w:val="ListParagraph"/>
        <w:numPr>
          <w:ilvl w:val="0"/>
          <w:numId w:val="2"/>
        </w:numPr>
        <w:spacing w:after="40" w:before="40"/>
      </w:pPr>
      <w:r>
        <w:rPr>
          <w:rFonts w:ascii="Arial" w:cs="Arial" w:eastAsia="Arial" w:hAnsi="Arial"/>
          <w:sz w:val="20"/>
          <w:szCs w:val="20"/>
        </w:rPr>
        <w:t xml:space="preserve">NPS: 45 by Q4 2026 (from 27 baseline)</w:t>
      </w:r>
    </w:p>
    <w:p>
      <w:pPr>
        <w:pStyle w:val="ListParagraph"/>
        <w:numPr>
          <w:ilvl w:val="0"/>
          <w:numId w:val="2"/>
        </w:numPr>
        <w:spacing w:after="40" w:before="40"/>
      </w:pPr>
      <w:r>
        <w:rPr>
          <w:rFonts w:ascii="Arial" w:cs="Arial" w:eastAsia="Arial" w:hAnsi="Arial"/>
          <w:sz w:val="20"/>
          <w:szCs w:val="20"/>
        </w:rPr>
        <w:t xml:space="preserve">Monthly Churn: &lt;2.4% by Q4 2026 (from 3.9% baseline)</w:t>
      </w:r>
    </w:p>
    <w:p>
      <w:pPr>
        <w:pStyle w:val="ListParagraph"/>
        <w:numPr>
          <w:ilvl w:val="0"/>
          <w:numId w:val="2"/>
        </w:numPr>
        <w:spacing w:after="40" w:before="40"/>
      </w:pPr>
      <w:r>
        <w:rPr>
          <w:rFonts w:ascii="Arial" w:cs="Arial" w:eastAsia="Arial" w:hAnsi="Arial"/>
          <w:sz w:val="20"/>
          <w:szCs w:val="20"/>
        </w:rPr>
        <w:t xml:space="preserve">Self-Install Rate: &gt;91% by Q4 2026 (from 70% baseline)</w:t>
      </w:r>
    </w:p>
    <w:p>
      <w:pPr>
        <w:pStyle w:val="ListParagraph"/>
        <w:numPr>
          <w:ilvl w:val="0"/>
          <w:numId w:val="2"/>
        </w:numPr>
        <w:spacing w:after="40" w:before="40"/>
      </w:pPr>
      <w:r>
        <w:rPr>
          <w:rFonts w:ascii="Arial" w:cs="Arial" w:eastAsia="Arial" w:hAnsi="Arial"/>
          <w:sz w:val="20"/>
          <w:szCs w:val="20"/>
        </w:rPr>
        <w:t xml:space="preserve">Revenue per Subscriber (ARPU): $58.50 by Q4 2026 (from $52.00 baseline)</w:t>
      </w:r>
    </w:p>
    <w:p>
      <w:pPr>
        <w:spacing w:after="80" w:before="80"/>
      </w:pPr>
      <w:r>
        <w:t xml:space="preserve"/>
      </w:r>
    </w:p>
    <w:p>
      <w:pPr>
        <w:spacing w:after="60" w:before="60"/>
      </w:pPr>
      <w:r>
        <w:rPr>
          <w:rFonts w:ascii="Arial" w:cs="Arial" w:eastAsia="Arial" w:hAnsi="Arial"/>
          <w:i/>
          <w:iCs/>
          <w:color w:val="888888"/>
          <w:sz w:val="20"/>
          <w:szCs w:val="20"/>
        </w:rPr>
        <w:t xml:space="preserve">This roadmap is reviewed quarterly by the Consumer Broadband Leadership Team. Updates are submitted to the AT&amp;T Investor Relations planning cycle 45 days prior to each earnings quarter. Questions: product-broadband@att.com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pPr>
    <w:r>
      <w:rPr>
        <w:rFonts w:ascii="Arial" w:cs="Arial" w:eastAsia="Arial" w:hAnsi="Arial"/>
        <w:color w:val="666666"/>
        <w:sz w:val="16"/>
        <w:szCs w:val="16"/>
      </w:rPr>
      <w:t xml:space="preserve">AT&amp;T Inc.</w:t>
    </w:r>
    <w:r>
      <w:rPr>
        <w:rFonts w:ascii="Arial" w:cs="Arial" w:eastAsia="Arial" w:hAnsi="Arial"/>
        <w:color w:val="666666"/>
        <w:sz w:val="16"/>
        <w:szCs w:val="16"/>
      </w:rPr>
      <w:t xml:space="preserve">          Product Roadmap — Internal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E0" w:sz="8" w:space="4"/>
      </w:pBdr>
      <w:spacing w:after="120" w:before="0"/>
    </w:pPr>
    <w:r>
      <w:rPr>
        <w:rFonts w:ascii="Arial" w:cs="Arial" w:eastAsia="Arial" w:hAnsi="Arial"/>
        <w:b/>
        <w:bCs/>
        <w:color w:val="00A8E0"/>
        <w:sz w:val="22"/>
        <w:szCs w:val="22"/>
      </w:rPr>
      <w:t xml:space="preserve">AT&amp;T Consumer Broadband Product Division</w:t>
    </w:r>
    <w:r>
      <w:rPr>
        <w:rFonts w:ascii="Arial" w:cs="Arial" w:eastAsia="Arial" w:hAnsi="Arial"/>
        <w:color w:val="666666"/>
        <w:sz w:val="18"/>
        <w:szCs w:val="18"/>
      </w:rPr>
      <w:t xml:space="preserve">   |   INTERNAL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A1A1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2026-06-07T20:20:31.228Z</dcterms:created>
  <dcterms:modified xsi:type="dcterms:W3CDTF">2026-06-07T20:20:31.228Z</dcterms:modified>
</cp:coreProperties>
</file>

<file path=docProps/custom.xml><?xml version="1.0" encoding="utf-8"?>
<Properties xmlns="http://schemas.openxmlformats.org/officeDocument/2006/custom-properties" xmlns:vt="http://schemas.openxmlformats.org/officeDocument/2006/docPropsVTypes"/>
</file>