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9E0B"/>
          <w:sz w:val="44"/>
        </w:rPr>
        <w:t>STRATAGENT</w:t>
      </w:r>
    </w:p>
    <w:p>
      <w:pPr>
        <w:jc w:val="center"/>
      </w:pPr>
      <w:r>
        <w:rPr>
          <w:color w:val="1A1A2E"/>
          <w:sz w:val="22"/>
        </w:rPr>
        <w:t>Monday Intelligence Brief -- Monday 08 June 2026</w:t>
      </w:r>
    </w:p>
    <w:p>
      <w:pPr>
        <w:jc w:val="center"/>
      </w:pPr>
      <w:r>
        <w:rPr>
          <w:b/>
          <w:sz w:val="22"/>
        </w:rPr>
        <w:t>Pipeline Score: 75/100</w:t>
      </w:r>
    </w:p>
    <w:p/>
    <w:p>
      <w:pPr>
        <w:pStyle w:val="Heading1"/>
      </w:pPr>
      <w:r>
        <w:rPr>
          <w:b/>
          <w:color w:val="F59E0B"/>
        </w:rPr>
        <w:t>This Week</w:t>
      </w:r>
    </w:p>
    <w:p>
      <w:pPr>
        <w:spacing w:after="80"/>
      </w:pPr>
      <w:r>
        <w:rPr>
          <w:sz w:val="20"/>
        </w:rPr>
        <w:t>Capitalize on immediate high-CI opportunities while strengthening critical supplier KBs and leveraging new market signals.</w:t>
      </w:r>
    </w:p>
    <w:p>
      <w:pPr>
        <w:pStyle w:val="Heading2"/>
      </w:pPr>
      <w:r>
        <w:rPr>
          <w:b/>
          <w:color w:val="F59E0B"/>
        </w:rPr>
        <w:t>Pipeline Health</w:t>
      </w:r>
    </w:p>
    <w:p>
      <w:pPr>
        <w:spacing w:after="80"/>
      </w:pPr>
      <w:r>
        <w:rPr>
          <w:sz w:val="20"/>
        </w:rPr>
        <w:t>A strong cluster of high-CI prospects (15 above 85 CI) indicates significant immediate potential, but several associated supplier Knowledge Bases (e.g., EIM Group, Kanaiya Metal Products, Beuhi Inc.) remain below optimal depth, limiting full pipeline conversion.</w:t>
      </w:r>
    </w:p>
    <w:p>
      <w:pPr>
        <w:pStyle w:val="Heading2"/>
      </w:pPr>
      <w:r>
        <w:rPr>
          <w:b/>
          <w:color w:val="F59E0B"/>
        </w:rPr>
        <w:t>Top 3 Actions</w:t>
      </w:r>
    </w:p>
    <w:p>
      <w:pPr>
        <w:pStyle w:val="ListNumber"/>
      </w:pPr>
      <w:r>
        <w:rPr>
          <w:b/>
          <w:sz w:val="20"/>
        </w:rPr>
        <w:t>Initiate STRATALINK outreach to Novo Nordisk's Kalundborg expansion project team, specifically targeting procurement for industrial insulation, leveraging the ISODE KB.</w:t>
      </w:r>
    </w:p>
    <w:p>
      <w:pPr>
        <w:ind w:left="360"/>
      </w:pPr>
      <w:r>
        <w:t>Why: Novo Nordisk's DKK 42 billion investment in Kalundborg is a massive CAPEX signal directly relevant to ISODE's product, offering an immediate, high-value opportunity.  |  Module: STRATALINK  |  Effort: 1hr</w:t>
      </w:r>
    </w:p>
    <w:p>
      <w:pPr>
        <w:pStyle w:val="ListNumber"/>
      </w:pPr>
      <w:r>
        <w:rPr>
          <w:b/>
          <w:sz w:val="20"/>
        </w:rPr>
        <w:t>Run STRATALYST deep scan on Kanaiya Metal Products to push depth from 48.8 to 70+, focusing on their brass hardware for electrical charging stations and specialty gas fittings.</w:t>
      </w:r>
    </w:p>
    <w:p>
      <w:pPr>
        <w:ind w:left="360"/>
      </w:pPr>
      <w:r>
        <w:t>Why: Kanaiya Metal Products has a low KB depth but is directly impacted by the Germany green hydrogen subsidies signal, making it a high-leverage target for improved intelligence.  |  Module: KB  |  Effort: 1hr</w:t>
      </w:r>
    </w:p>
    <w:p>
      <w:pPr>
        <w:pStyle w:val="ListNumber"/>
      </w:pPr>
      <w:r>
        <w:rPr>
          <w:b/>
          <w:sz w:val="20"/>
        </w:rPr>
        <w:t>Develop a targeted value proposition for STRATATIV3D and SSI Consult, leveraging the 'Additive Manufacturing shift to industrial adoption' signal for SME integration.</w:t>
      </w:r>
    </w:p>
    <w:p>
      <w:pPr>
        <w:ind w:left="360"/>
      </w:pPr>
      <w:r>
        <w:t>Why: The AM Summit 2025 signal indicates a growing market for industrial additive manufacturing, directly aligning with STRATATIV3D's services and SSI Consult's potential advisory role, requiring a refined value proposition.  |  Module: OUTPUT  |  Effort: 1hr</w:t>
      </w:r>
    </w:p>
    <w:p>
      <w:pPr>
        <w:pStyle w:val="Heading2"/>
      </w:pPr>
      <w:r>
        <w:rPr>
          <w:b/>
          <w:color w:val="F59E0B"/>
        </w:rPr>
        <w:t>Who to Call This Week</w:t>
      </w:r>
    </w:p>
    <w:p>
      <w:pPr>
        <w:pStyle w:val="ListBullet"/>
      </w:pPr>
      <w:r>
        <w:rPr>
          <w:b/>
          <w:sz w:val="20"/>
        </w:rPr>
        <w:t>Nobian  (SD 100 -- HIGH)</w:t>
      </w:r>
    </w:p>
    <w:p>
      <w:pPr>
        <w:ind w:left="360"/>
      </w:pPr>
      <w:r>
        <w:t>Immediate, while the new CFO is onboarding and the new Site Director at Delfzijl is settling in, and critically, during the active phases of green hydrogen production expansion, electrification projects, and hydrogen storage cavern development.</w:t>
      </w:r>
    </w:p>
    <w:p>
      <w:pPr>
        <w:ind w:left="360"/>
      </w:pPr>
      <w:r>
        <w:rPr>
          <w:i/>
          <w:sz w:val="18"/>
        </w:rPr>
        <w:t>"Given Nobian's active expansion in green hydrogen and electrification, I wanted to connect regarding how Becker Insulation's high-performance materials can optimize your new infrastructure projects, especially with the new leadership settling in."</w:t>
      </w:r>
    </w:p>
    <w:p>
      <w:pPr>
        <w:pStyle w:val="ListBullet"/>
      </w:pPr>
      <w:r>
        <w:rPr>
          <w:b/>
          <w:sz w:val="20"/>
        </w:rPr>
        <w:t>Hotel Hans (Brøchner Hotels)  (SD 97 -- HIGH)</w:t>
      </w:r>
    </w:p>
    <w:p>
      <w:pPr>
        <w:ind w:left="360"/>
      </w:pPr>
      <w:r>
        <w:t>Ongoing, particularly as they continue to implement their 2030 sustainability goals and develop new guest experiences for their loyalty program, and as new hotel openings like Hotel Hans and Ottilia Heritage settle into operations and refine amenity sourcing.</w:t>
      </w:r>
    </w:p>
    <w:p>
      <w:pPr>
        <w:ind w:left="360"/>
      </w:pPr>
      <w:r>
        <w:rPr>
          <w:i/>
          <w:sz w:val="18"/>
        </w:rPr>
        <w:t>"With Hotel Hans and Ottilia Heritage settling in and Brøchner Hotels' 2030 sustainability goals, I see a strong fit for MissBlue's compostable tea/coffee filter bags to enhance your guest experience and eco-initiatives."</w:t>
      </w:r>
    </w:p>
    <w:p>
      <w:pPr>
        <w:pStyle w:val="ListBullet"/>
      </w:pPr>
      <w:r>
        <w:rPr>
          <w:b/>
          <w:sz w:val="20"/>
        </w:rPr>
        <w:t>Dynelectro ApS  (SD 97 -- HIGH)</w:t>
      </w:r>
    </w:p>
    <w:p>
      <w:pPr>
        <w:ind w:left="360"/>
      </w:pPr>
      <w:r>
        <w:t>While actively sourcing for new projects and modular electrolyser units, particularly following the 'Expression of Interest / Request for Quote' in January 2026 and recent project FIDs and contract awards.</w:t>
      </w:r>
    </w:p>
    <w:p>
      <w:pPr>
        <w:ind w:left="360"/>
      </w:pPr>
      <w:r>
        <w:rPr>
          <w:i/>
          <w:sz w:val="18"/>
        </w:rPr>
        <w:t>"Understanding Dynelectro's active sourcing for new electrolyser projects, I'm reaching out to explore how EIM Group's solutions can support your modular unit deployments and recent contract awards."</w:t>
      </w:r>
    </w:p>
    <w:p>
      <w:pPr>
        <w:pStyle w:val="ListBullet"/>
      </w:pPr>
      <w:r>
        <w:rPr>
          <w:b/>
          <w:sz w:val="20"/>
        </w:rPr>
        <w:t>Everfuel  (SD 95 -- HIGH)</w:t>
      </w:r>
    </w:p>
    <w:p>
      <w:pPr>
        <w:ind w:left="360"/>
      </w:pPr>
      <w:r>
        <w:t>During the development and operational ramp-up of Project Frigg (ongoing) and for ongoing maintenance, safety, and expansion needs at the HySynergy plant and refuelling stations.</w:t>
      </w:r>
    </w:p>
    <w:p>
      <w:pPr>
        <w:ind w:left="360"/>
      </w:pPr>
      <w:r>
        <w:rPr>
          <w:i/>
          <w:sz w:val="18"/>
        </w:rPr>
        <w:t>"With Project Frigg ramping up and ongoing needs at HySynergy, I wanted to discuss how TG Technology's industrial identification solutions can enhance safety and operational efficiency across Everfuel's expanding hydrogen infrastructure."</w:t>
      </w:r>
    </w:p>
    <w:p>
      <w:pPr>
        <w:pStyle w:val="ListBullet"/>
      </w:pPr>
      <w:r>
        <w:rPr>
          <w:b/>
          <w:sz w:val="20"/>
        </w:rPr>
        <w:t>PERSOLIT  (SD 85 -- MEDIUM)</w:t>
      </w:r>
    </w:p>
    <w:p>
      <w:pPr>
        <w:ind w:left="360"/>
      </w:pPr>
      <w:r>
        <w:t>Following their acquisition of Jydsk Isolering A/S in Q3 2023, Persolit A/S may be in a phase of consolidating operations, integrating new projects, and potentially re-evaluating or expanding their supplier base. This period (Q4 2023 / Q1 2024) presents an optimal window to introduce Becker Insulation's specialized high-temperature solutions.</w:t>
      </w:r>
    </w:p>
    <w:p>
      <w:pPr>
        <w:ind w:left="360"/>
      </w:pPr>
      <w:r>
        <w:rPr>
          <w:i/>
          <w:sz w:val="18"/>
        </w:rPr>
        <w:t>"Following your acquisition of Jydsk Isolering, I believe Becker Insulation's specialized high-temperature solutions could be highly beneficial as you consolidate operations and expand your supplier base."</w:t>
      </w:r>
    </w:p>
    <w:p>
      <w:pPr>
        <w:pStyle w:val="Heading2"/>
      </w:pPr>
      <w:r>
        <w:rPr>
          <w:b/>
          <w:color w:val="F59E0B"/>
        </w:rPr>
        <w:t>What Changed</w:t>
      </w:r>
    </w:p>
    <w:p>
      <w:pPr>
        <w:pStyle w:val="ListBullet"/>
      </w:pPr>
      <w:r>
        <w:t>Novo Nordisk announced over DKK 42 billion investment in Kalundborg manufacturing expansion, creating a significant opportunity for ISODE.</w:t>
      </w:r>
    </w:p>
    <w:p>
      <w:pPr>
        <w:pStyle w:val="ListBullet"/>
      </w:pPr>
      <w:r>
        <w:t>Energinet is advancing plans for a national hydrogen backbone in Denmark, relevant for TG Technology.</w:t>
      </w:r>
    </w:p>
    <w:p>
      <w:pPr>
        <w:pStyle w:val="ListBullet"/>
      </w:pPr>
      <w:r>
        <w:t>The Additive Manufacturing sector in Denmark is shifting towards industrial adoption, impacting STRATATIV3D and SSI Consult.</w:t>
      </w:r>
    </w:p>
    <w:p>
      <w:pPr>
        <w:pStyle w:val="ListBullet"/>
      </w:pPr>
      <w:r>
        <w:t>Germany allocated EUR1.3bn in subsidies for Danish green hydrogen projects, relevant for Kanaiya Metal Products.</w:t>
      </w:r>
    </w:p>
    <w:p>
      <w:pPr>
        <w:pStyle w:val="ListBullet"/>
      </w:pPr>
      <w:r>
        <w:t>EU Methane Emissions Regulation implementation milestones begin in 2025, affecting multiple suppliers including Becker Insulation, Beuhi Inc., EIM Group, and Frida Group.</w:t>
      </w:r>
    </w:p>
    <w:p>
      <w:pPr>
        <w:pStyle w:val="Heading2"/>
      </w:pPr>
      <w:r>
        <w:rPr>
          <w:b/>
          <w:color w:val="F59E0B"/>
        </w:rPr>
        <w:t>STRATAGORA Market Intelligence</w:t>
      </w:r>
    </w:p>
    <w:p>
      <w:pPr>
        <w:spacing w:after="80"/>
      </w:pPr>
      <w:r>
        <w:rPr>
          <w:i/>
          <w:sz w:val="20"/>
        </w:rPr>
        <w:t>Active sectors: Industrial Insulation &amp; Thermal, Green Energy &amp; Hydrogen, Industrial Marking &amp; Identification, Electrical, Instrumentation &amp; Automation, Oil, Gas &amp; Offshore</w:t>
      </w:r>
    </w:p>
    <w:p>
      <w:pPr>
        <w:spacing w:after="80"/>
      </w:pPr>
      <w:r>
        <w:rPr>
          <w:sz w:val="20"/>
        </w:rPr>
        <w:t>The Novo Nordisk investment of DKK 42 billion in Kalundborg manufacturing facilities presents an immediate, high-value CAPEX opportunity for industrial insulation suppliers like ISODE.</w:t>
      </w:r>
    </w:p>
    <w:p>
      <w:pPr>
        <w:spacing w:after="80"/>
      </w:pPr>
      <w:r>
        <w:rPr>
          <w:sz w:val="20"/>
        </w:rPr>
        <w:t>Recommended action: STRATADAR should establish a dedicated watch on Novo Nordisk's Kalundborg expansion project to identify specific procurement contacts and timelines for industrial insulation needs.</w:t>
      </w:r>
    </w:p>
    <w:p>
      <w:pPr>
        <w:pStyle w:val="Heading2"/>
      </w:pPr>
      <w:r>
        <w:rPr>
          <w:b/>
          <w:color w:val="F59E0B"/>
        </w:rPr>
        <w:t>Knowledge Base Health</w:t>
      </w:r>
    </w:p>
    <w:tbl>
      <w:tblPr>
        <w:tblStyle w:val="TableGrid"/>
        <w:tblW w:type="auto" w:w="0"/>
        <w:tblLook w:firstColumn="1" w:firstRow="1" w:lastColumn="0" w:lastRow="0" w:noHBand="0" w:noVBand="1" w:val="04A0"/>
      </w:tblPr>
      <w:tblGrid>
        <w:gridCol w:w="3120"/>
        <w:gridCol w:w="3120"/>
        <w:gridCol w:w="3120"/>
      </w:tblGrid>
      <w:tr>
        <w:tc>
          <w:tcPr>
            <w:tcW w:type="dxa" w:w="3120"/>
          </w:tcPr>
          <w:p>
            <w:r>
              <w:t>Strongest</w:t>
            </w:r>
          </w:p>
        </w:tc>
        <w:tc>
          <w:tcPr>
            <w:tcW w:type="dxa" w:w="3120"/>
          </w:tcPr>
          <w:p>
            <w:r>
              <w:t>Weakest</w:t>
            </w:r>
          </w:p>
        </w:tc>
        <w:tc>
          <w:tcPr>
            <w:tcW w:type="dxa" w:w="3120"/>
          </w:tcPr>
          <w:p>
            <w:r>
              <w:t>Fix First</w:t>
            </w:r>
          </w:p>
        </w:tc>
      </w:tr>
      <w:tr>
        <w:tc>
          <w:tcPr>
            <w:tcW w:type="dxa" w:w="3120"/>
          </w:tcPr>
          <w:p>
            <w:r>
              <w:t>Becker Insulation</w:t>
            </w:r>
          </w:p>
        </w:tc>
        <w:tc>
          <w:tcPr>
            <w:tcW w:type="dxa" w:w="3120"/>
          </w:tcPr>
          <w:p>
            <w:r>
              <w:t>SSI Consult</w:t>
            </w:r>
          </w:p>
        </w:tc>
        <w:tc>
          <w:tcPr>
            <w:tcW w:type="dxa" w:w="3120"/>
          </w:tcPr>
          <w:p>
            <w:r>
              <w:t>Run STRATALYST deep scan on SSI Consult to push depth from 45 to 70+, focusing on their core consulting offerings.</w:t>
            </w:r>
          </w:p>
        </w:tc>
      </w:tr>
    </w:tbl>
    <w:p>
      <w:pPr>
        <w:pStyle w:val="Heading2"/>
      </w:pPr>
      <w:r>
        <w:rPr>
          <w:b/>
          <w:color w:val="F59E0B"/>
        </w:rPr>
        <w:t>Watch Alerts</w:t>
      </w:r>
    </w:p>
    <w:p>
      <w:pPr>
        <w:pStyle w:val="ListBullet"/>
      </w:pPr>
      <w:r>
        <w:t>No active watch positions or time-due alerts surfaced this week.</w:t>
      </w:r>
    </w:p>
    <w:p/>
    <w:p>
      <w:pPr>
        <w:jc w:val="center"/>
      </w:pPr>
      <w:r>
        <w:rPr>
          <w:color w:val="64748B"/>
          <w:sz w:val="16"/>
        </w:rPr>
        <w:t>Jason L. Smith  |  Strategic Sales International ApS  |  info@strategic.dk  |  STRATAGENT -- The Intelligence Behind Agentic Sales.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