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Five Year Weekly Betas of Sector Indices Against the S&amp;P 500.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Raw 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Adjusted Beta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Financials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Consumer Staples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Consumer Discretionary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Healthcare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0.984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285750</wp:posOffset>
            </wp:positionV>
            <wp:extent cx="7815263" cy="3805184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5263" cy="3805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Communications Factors vs. Utilities Factors, 7 Year Effect Best Factors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Communications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Utilities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2Y Beta (Vol)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285.49%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 Value/Price (Value)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98.13%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5Y Asset CAGR (Growth)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234.88%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Earnings/Price (BF1Y) (Value)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95.19%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1W Total Return (Momentum)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217.18%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Fwd Earnings/Price (Value)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91.99%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2Y Fwd Sales Growth % (Growth)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E/P (FY2) (Value)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85.13%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A/R Turnover (Working Cap)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212.37%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Sales/Price (FY1) (Value)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75.96%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Worst Factors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Communications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Utilities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Sales/Price (FY1) (Value)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-88.22%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 vs 52W Low (Technicals)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-65.03%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Sales/Price (Value)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-88.20%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 to Book Value (Multiples)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-52.99%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 Debt/EV (Leverage)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-87.49%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1W Total Return (Momentum)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-50.70%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10Y Avg Operating Margin (est) (Profitability)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-85.93%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14D RSI (Technicals)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-47.82%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 US Dividend Yield (Dividends)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-81.12%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EV/EBITDA (BF1Y) (Multiples)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-46.42%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Correlation Between Communications and Utilities: 0.1863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68976" cy="36242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976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