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56"/>
          <w:szCs w:val="56"/>
        </w:rPr>
        <w:t xml:space="preserve">DevPilot</w:t>
      </w:r>
    </w:p>
    <w:p>
      <w:pPr>
        <w:spacing w:after="40"/>
      </w:pPr>
      <w:r>
        <w:rPr>
          <w:i/>
          <w:iCs/>
          <w:color w:val="44546A"/>
          <w:sz w:val="26"/>
          <w:szCs w:val="26"/>
        </w:rPr>
        <w:t xml:space="preserve">An AI Developer Workflow Copilot, built with IBM Bob 2.0</w:t>
      </w:r>
    </w:p>
    <w:p>
      <w:pPr>
        <w:spacing w:after="300"/>
      </w:pPr>
      <w:r>
        <w:rPr>
          <w:color w:val="666666"/>
          <w:sz w:val="22"/>
          <w:szCs w:val="22"/>
        </w:rPr>
        <w:t xml:space="preserve">IBM Bob 2.0 Hackathon — Project Plan &amp; Prototype Summary (v2)</w:t>
      </w:r>
    </w:p>
    <w:p>
      <w:pPr>
        <w:pBdr>
          <w:bottom w:val="single" w:color="999999" w:sz="6"/>
        </w:pBdr>
        <w:spacing w:after="200"/>
      </w:pPr>
    </w:p>
    <w:p>
      <w:pPr>
        <w:pStyle w:val="Heading1"/>
        <w:spacing w:after="150" w:before="300"/>
      </w:pPr>
      <w:r>
        <w:t xml:space="preserve">1. Problem Statement</w:t>
      </w:r>
    </w:p>
    <w:p>
      <w:pPr>
        <w:spacing w:after="120"/>
      </w:pPr>
      <w:r>
        <w:t xml:space="preserve">Software teams run the same set of workflows on every project — onboarding a new engineer, reviewing a pull request, checking test coverage before merge, clearing a release for deployment, and periodically modernizing legacy code — and each one is still largely manual today, done by a different person at a different time with no shared context. A reviewer's finding rarely reaches the release manager; a new hire's confusion never becomes a documentation task.</w:t>
      </w:r>
    </w:p>
    <w:p>
      <w:pPr>
        <w:spacing w:after="120"/>
      </w:pPr>
      <w:r>
        <w:t xml:space="preserve">DevPilot treats all five of these workflows as one connected assessment of a codebase, run by parallel specialist subagents, cross-checked against each other, and reduced into role-scoped views — so a new developer, a reviewer, a tester, and a release manager each see exactly what they need from a single run.</w:t>
      </w:r>
    </w:p>
    <w:p>
      <w:pPr>
        <w:pStyle w:val="Heading1"/>
        <w:spacing w:after="150" w:before="300"/>
      </w:pPr>
      <w:r>
        <w:t xml:space="preserve">2. Solution Overview</w:t>
      </w:r>
    </w:p>
    <w:p>
      <w:pPr>
        <w:spacing w:after="120"/>
      </w:pPr>
      <w:r>
        <w:t xml:space="preserve">DevPilot is a working prototype built on IBM Bob 2.0's Agent mode. A lead orchestrator decomposes an “assess this project” request into six subagent tasks, runs them concurrently, and merges the results:</w:t>
      </w:r>
    </w:p>
    <w:p>
      <w:pPr>
        <w:pStyle w:val="ListParagraph"/>
        <w:numPr>
          <w:ilvl w:val="0"/>
          <w:numId w:val="2"/>
        </w:numPr>
        <w:spacing w:after="60"/>
      </w:pPr>
      <w:r>
        <w:t xml:space="preserve">Onboarding — AST-level architecture map, setup guide, ranked starter tasks.</w:t>
      </w:r>
    </w:p>
    <w:p>
      <w:pPr>
        <w:pStyle w:val="ListParagraph"/>
        <w:numPr>
          <w:ilvl w:val="0"/>
          <w:numId w:val="2"/>
        </w:numPr>
        <w:spacing w:after="60"/>
      </w:pPr>
      <w:r>
        <w:t xml:space="preserve">Code review — risk findings (SQL injection, unsafe deserialization, unchecked lookups), severity-ranked, PR-diff aware.</w:t>
      </w:r>
    </w:p>
    <w:p>
      <w:pPr>
        <w:pStyle w:val="ListParagraph"/>
        <w:numPr>
          <w:ilvl w:val="0"/>
          <w:numId w:val="2"/>
        </w:numPr>
        <w:spacing w:after="60"/>
      </w:pPr>
      <w:r>
        <w:t xml:space="preserve">Testing — endpoint/function coverage gap plus auto-generated pytest stubs, with a framework-agnostic fallback metric for non-HTTP-tested code.</w:t>
      </w:r>
    </w:p>
    <w:p>
      <w:pPr>
        <w:pStyle w:val="ListParagraph"/>
        <w:numPr>
          <w:ilvl w:val="0"/>
          <w:numId w:val="2"/>
        </w:numPr>
        <w:spacing w:after="60"/>
      </w:pPr>
      <w:r>
        <w:t xml:space="preserve">Release readiness — dependency advisories, deployment checklist, drafted release notes, GO/NO-GO recommendation.</w:t>
      </w:r>
    </w:p>
    <w:p>
      <w:pPr>
        <w:pStyle w:val="ListParagraph"/>
        <w:numPr>
          <w:ilvl w:val="0"/>
          <w:numId w:val="2"/>
        </w:numPr>
        <w:spacing w:after="60"/>
      </w:pPr>
      <w:r>
        <w:t xml:space="preserve">Legacy modernization (new) — oversized functions, missing type hints, star imports, unpinned-vs-pinned dependency strategy.</w:t>
      </w:r>
    </w:p>
    <w:p>
      <w:pPr>
        <w:pStyle w:val="ListParagraph"/>
        <w:numPr>
          <w:ilvl w:val="0"/>
          <w:numId w:val="2"/>
        </w:numPr>
        <w:spacing w:after="60"/>
      </w:pPr>
      <w:r>
        <w:t xml:space="preserve">Auto-fix (new) — applies the subset of findings it can fix mechanically and safely (parameterizing a query, adding a null check, bumping a flagged dependency), re-runs the test suite to confirm nothing broke, and commits locally to a branch. It never pushes or opens a pull request on its own — that is a separate, explicitly confirmed step using the user's own GitHub token.</w:t>
      </w:r>
    </w:p>
    <w:p>
      <w:pPr>
        <w:spacing w:after="120"/>
      </w:pPr>
      <w:r>
        <w:t xml:space="preserve">Two mechanisms turn six separate tool outputs into one trustworthy signal:</w:t>
      </w:r>
    </w:p>
    <w:p>
      <w:pPr>
        <w:pStyle w:val="ListParagraph"/>
        <w:numPr>
          <w:ilvl w:val="0"/>
          <w:numId w:val="2"/>
        </w:numPr>
        <w:spacing w:after="60"/>
      </w:pPr>
      <w:r>
        <w:t xml:space="preserve">Cross-agent corroboration — when the code-review subagent flags a function statically and the testing subagent's auto-generated test then actually fails against the running app, the finding is promoted from “flagged” to “confirmed.” This is the noise-reduction mechanism: a human sees which findings are backed by two independent methods, not one opinion.</w:t>
      </w:r>
    </w:p>
    <w:p>
      <w:pPr>
        <w:pStyle w:val="ListParagraph"/>
        <w:numPr>
          <w:ilvl w:val="0"/>
          <w:numId w:val="2"/>
        </w:numPr>
        <w:spacing w:after="60"/>
      </w:pPr>
      <w:r>
        <w:t xml:space="preserve">Business-value translation — findings are converted into an illustrative hours-saved estimate (clearly labeled as a heuristic, not an audited metric), so a non-engineering stakeholder can act on the report too.</w:t>
      </w:r>
    </w:p>
    <w:p>
      <w:pPr>
        <w:pStyle w:val="Heading1"/>
        <w:spacing w:after="150" w:before="300"/>
      </w:pPr>
      <w:r>
        <w:t xml:space="preserve">3. Proven on a Seeded Demo AND a Real, Unmodified Public Repository</w:t>
      </w:r>
    </w:p>
    <w:p>
      <w:pPr>
        <w:spacing w:after="120"/>
      </w:pPr>
      <w:r>
        <w:t xml:space="preserve">DevPilot was run against two different codebases to prove it is not hardcoded to a single demo shape: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2A44" w:color="auto" w:val="clear"/>
          </w:tcPr>
          <w:p>
            <w:r>
              <w:rPr>
                <w:b/>
                <w:bCs/>
                <w:color w:val="FFFFFF"/>
                <w:sz w:val="20"/>
                <w:szCs w:val="20"/>
              </w:rPr>
              <w:t xml:space="preserve">Project</w:t>
            </w:r>
          </w:p>
        </w:tc>
        <w:tc>
          <w:tcPr>
            <w:tcW w:type="dxa" w:w="6000"/>
            <w:shd w:fill="1F2A44" w:color="auto" w:val="clear"/>
          </w:tcPr>
          <w:p>
            <w:r>
              <w:rPr>
                <w:b/>
                <w:bCs/>
                <w:color w:val="FFFFFF"/>
                <w:sz w:val="20"/>
                <w:szCs w:val="20"/>
              </w:rPr>
              <w:t xml:space="preserve">What it proved</w:t>
            </w:r>
          </w:p>
        </w:tc>
      </w:tr>
      <w:tr>
        <w:tc>
          <w:tcPr>
            <w:tcW w:type="dxa" w:w="3000"/>
          </w:tcPr>
          <w:p>
            <w:r>
              <w:rPr>
                <w:b w:val="false"/>
                <w:bCs w:val="false"/>
                <w:color w:val="000000"/>
                <w:sz w:val="20"/>
                <w:szCs w:val="20"/>
              </w:rPr>
              <w:t xml:space="preserve">TaskFlow API (seeded FastAPI demo)</w:t>
            </w:r>
          </w:p>
        </w:tc>
        <w:tc>
          <w:tcPr>
            <w:tcW w:type="dxa" w:w="6000"/>
          </w:tcPr>
          <w:p>
            <w:r>
              <w:rPr>
                <w:b w:val="false"/>
                <w:bCs w:val="false"/>
                <w:color w:val="000000"/>
                <w:sz w:val="20"/>
                <w:szCs w:val="20"/>
              </w:rPr>
              <w:t xml:space="preserve">Every seeded defect was caught: SQL injection (static + PR-diff), two unchecked-lookup bugs (confirmed by a failing generated test), 20% endpoint coverage, an outdated PyYAML pin, 6 undocumented modules. Auto-fix then corrected all three fixable classes, re-ran the suite (10/10 passed), and committed locally.</w:t>
            </w:r>
          </w:p>
        </w:tc>
      </w:tr>
      <w:tr>
        <w:tc>
          <w:tcPr>
            <w:tcW w:type="dxa" w:w="3000"/>
          </w:tcPr>
          <w:p>
            <w:r>
              <w:rPr>
                <w:b w:val="false"/>
                <w:bCs w:val="false"/>
                <w:color w:val="000000"/>
                <w:sz w:val="20"/>
                <w:szCs w:val="20"/>
              </w:rPr>
              <w:t xml:space="preserve">miguelgrinberg/microblog (real, unmodified Flask app, cloned live from GitHub via --repo-url)</w:t>
            </w:r>
          </w:p>
        </w:tc>
        <w:tc>
          <w:tcPr>
            <w:tcW w:type="dxa" w:w="6000"/>
          </w:tcPr>
          <w:p>
            <w:r>
              <w:rPr>
                <w:b w:val="false"/>
                <w:bCs w:val="false"/>
                <w:color w:val="000000"/>
                <w:sz w:val="20"/>
                <w:szCs w:val="20"/>
              </w:rPr>
              <w:t xml:space="preserve">Different framework (Flask, not FastAPI), different test style (unittest against models, not an HTTP client). DevPilot correctly detected 35 routes, recognized the test suite doesn't drive them over HTTP, and fell back to a function-reference coverage metric (12.8%) instead of a misleading 0%. It found 0 false-positive security findings on a mature codebase, and correctly flagged 2 real modernization opportunities (an oversized function, exact-pinned dependencies with no lock file).</w:t>
            </w:r>
          </w:p>
        </w:tc>
      </w:tr>
    </w:tbl>
    <w:p>
      <w:pPr>
        <w:pStyle w:val="Heading1"/>
        <w:spacing w:after="150" w:before="300"/>
      </w:pPr>
      <w:r>
        <w:t xml:space="preserve">4. Role-Scoped Reporting</w:t>
      </w:r>
    </w:p>
    <w:p>
      <w:pPr>
        <w:spacing w:after="120"/>
      </w:pPr>
      <w:r>
        <w:t xml:space="preserve">The same run produces five views from one dataset, not five separate reports to maintain: New Developer (setup + architecture + starter tasks), Reviewer (findings + confirmed vs. flagged), Tester (coverage gap + generated tests), Release Manager (GO/NO-GO + business value), and Full Report. An “Ask DevPilot” tab answers a fixed set of common questions (what to fix first, is it safe to release, where to start, how much time was saved) grounded strictly in the report's own data.</w:t>
      </w:r>
    </w:p>
    <w:p>
      <w:pPr>
        <w:pStyle w:val="Heading1"/>
        <w:spacing w:after="150" w:before="300"/>
      </w:pPr>
      <w:r>
        <w:t xml:space="preserve">5. Optional watsonx.ai Integration</w:t>
      </w:r>
    </w:p>
    <w:p>
      <w:pPr>
        <w:spacing w:after="120"/>
      </w:pPr>
      <w:r>
        <w:t xml:space="preserve">A pluggable, dependency-free watsonx.ai client reads WATSONX_API_KEY / WATSONX_PROJECT_ID from a local .env file. When configured, it rephrases findings into natural language and helps prioritize Ask-DevPilot answers; when not configured (the default, since real credits were not yet available during the build), every feature falls back to its deterministic, rule-based text, so the demo never depends on a live connection or an exhausted free-tier quota. watsonx Orchestrate was evaluated but intentionally not force-integrated in this iteration — its 30-day trial is UI-driven and a poor fit for a weekend build; the natural extension point (automating the release-approval step) is documented as roadmap instead of faked.</w:t>
      </w:r>
    </w:p>
    <w:p>
      <w:pPr>
        <w:pStyle w:val="Heading1"/>
        <w:spacing w:after="150" w:before="300"/>
      </w:pPr>
      <w:r>
        <w:t xml:space="preserve">6. Impact</w:t>
      </w:r>
    </w:p>
    <w:p>
      <w:pPr>
        <w:spacing w:after="120"/>
      </w:pPr>
      <w:r>
        <w:t xml:space="preserve">On the TaskFlow API run: 2 findings promoted from flagged to confirmed by execution, 1 release-blocking security issue caught before merge, all 3 auto-fixable issues corrected and verified with a green test suite, and an illustrative 6.7 hours of manual effort estimated saved in a single run measured in well under a second of wall-clock time.</w:t>
      </w:r>
    </w:p>
    <w:p>
      <w:pPr>
        <w:pStyle w:val="Heading1"/>
        <w:spacing w:after="150" w:before="300"/>
      </w:pPr>
      <w:r>
        <w:t xml:space="preserve">7. What's Next</w:t>
      </w:r>
    </w:p>
    <w:p>
      <w:pPr>
        <w:pStyle w:val="ListParagraph"/>
        <w:numPr>
          <w:ilvl w:val="0"/>
          <w:numId w:val="2"/>
        </w:numPr>
        <w:spacing w:after="60"/>
      </w:pPr>
      <w:r>
        <w:t xml:space="preserve">User confirms and DevPilot opens the PR via push_and_pr.py (already built, gated behind --confirm + the user's own GitHub token).</w:t>
      </w:r>
    </w:p>
    <w:p>
      <w:pPr>
        <w:pStyle w:val="ListParagraph"/>
        <w:numPr>
          <w:ilvl w:val="0"/>
          <w:numId w:val="2"/>
        </w:numPr>
        <w:spacing w:after="60"/>
      </w:pPr>
      <w:r>
        <w:t xml:space="preserve">Wire watsonx.ai in for real once IBM Cloud Lite credits are provisioned (client is already built and tested against the fallback path).</w:t>
      </w:r>
    </w:p>
    <w:p>
      <w:pPr>
        <w:pStyle w:val="ListParagraph"/>
        <w:numPr>
          <w:ilvl w:val="0"/>
          <w:numId w:val="2"/>
        </w:numPr>
        <w:spacing w:after="60"/>
      </w:pPr>
      <w:r>
        <w:t xml:space="preserve">Replace the illustrative dependency-advisory table with a live CVE/SBOM feed.</w:t>
      </w:r>
    </w:p>
    <w:p>
      <w:pPr>
        <w:pStyle w:val="ListParagraph"/>
        <w:numPr>
          <w:ilvl w:val="0"/>
          <w:numId w:val="2"/>
        </w:numPr>
        <w:spacing w:after="60"/>
      </w:pPr>
      <w:r>
        <w:t xml:space="preserve">Persist historical reports so teams can track coverage, confirmed-finding count, and hours-saved trends release over release.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2026-09-27T05:56:58.156Z</dcterms:created>
  <dcterms:modified xsi:type="dcterms:W3CDTF">2026-09-27T05:56:58.157Z</dcterms:modified>
</cp:coreProperties>
</file>

<file path=docProps/custom.xml><?xml version="1.0" encoding="utf-8"?>
<Properties xmlns="http://schemas.openxmlformats.org/officeDocument/2006/custom-properties" xmlns:vt="http://schemas.openxmlformats.org/officeDocument/2006/docPropsVTypes"/>
</file>