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C543E">
      <w:pPr>
        <w:pStyle w:val="2"/>
        <w:keepNext w:val="0"/>
        <w:keepLines w:val="0"/>
        <w:widowControl/>
        <w:suppressLineNumbers w:val="0"/>
        <w:pBdr>
          <w:top w:val="none" w:color="auto" w:sz="0" w:space="0"/>
          <w:left w:val="none" w:color="auto" w:sz="0" w:space="0"/>
          <w:bottom w:val="single" w:color="EEEEEE" w:sz="12" w:space="3"/>
          <w:right w:val="none" w:color="auto" w:sz="0" w:space="0"/>
        </w:pBdr>
        <w:shd w:val="clear" w:fill="FFFFFF"/>
        <w:spacing w:before="0" w:beforeAutospacing="0" w:after="0" w:afterAutospacing="0" w:line="336" w:lineRule="atLeast"/>
        <w:ind w:left="0" w:right="0" w:firstLine="0"/>
        <w:jc w:val="center"/>
        <w:rPr>
          <w:rFonts w:ascii="微软雅黑" w:hAnsi="微软雅黑" w:eastAsia="微软雅黑" w:cs="微软雅黑"/>
          <w:i w:val="0"/>
          <w:iCs w:val="0"/>
          <w:caps w:val="0"/>
          <w:color w:val="282828"/>
          <w:spacing w:val="0"/>
          <w:sz w:val="21"/>
          <w:szCs w:val="21"/>
        </w:rPr>
      </w:pPr>
      <w:r>
        <w:rPr>
          <w:rFonts w:hint="eastAsia" w:ascii="微软雅黑" w:hAnsi="微软雅黑" w:eastAsia="微软雅黑" w:cs="微软雅黑"/>
          <w:i w:val="0"/>
          <w:iCs w:val="0"/>
          <w:caps w:val="0"/>
          <w:color w:val="282828"/>
          <w:spacing w:val="0"/>
          <w:sz w:val="21"/>
          <w:szCs w:val="21"/>
          <w:bdr w:val="none" w:color="auto" w:sz="0" w:space="0"/>
          <w:shd w:val="clear" w:fill="FFFFFF"/>
        </w:rPr>
        <w:t>湖北经济学院2024年普通专升本招生简章</w:t>
      </w:r>
    </w:p>
    <w:p w14:paraId="4F95316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2" w:lineRule="atLeast"/>
        <w:ind w:left="0" w:right="0" w:firstLine="0"/>
        <w:jc w:val="center"/>
        <w:rPr>
          <w:rFonts w:ascii="Tahoma" w:hAnsi="Tahoma" w:eastAsia="Tahoma" w:cs="Tahoma"/>
          <w:caps w:val="0"/>
          <w:color w:val="333333"/>
          <w:spacing w:val="0"/>
          <w:sz w:val="14"/>
          <w:szCs w:val="14"/>
        </w:rPr>
      </w:pPr>
      <w:r>
        <w:rPr>
          <w:rFonts w:hint="default" w:ascii="Tahoma" w:hAnsi="Tahoma" w:eastAsia="Tahoma" w:cs="Tahoma"/>
          <w:caps w:val="0"/>
          <w:color w:val="787878"/>
          <w:spacing w:val="0"/>
          <w:sz w:val="14"/>
          <w:szCs w:val="14"/>
          <w:bdr w:val="none" w:color="auto" w:sz="0" w:space="0"/>
          <w:shd w:val="clear" w:fill="FFFFFF"/>
        </w:rPr>
        <w:t>发布者：bkzsw2发布时间：2024-06-22浏览次数：14394</w:t>
      </w:r>
    </w:p>
    <w:p w14:paraId="7C7D9C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636" w:lineRule="atLeast"/>
        <w:ind w:left="0" w:right="0"/>
        <w:jc w:val="center"/>
        <w:rPr>
          <w:rFonts w:hint="default" w:ascii="Tahoma" w:hAnsi="Tahoma" w:eastAsia="Tahoma" w:cs="Tahoma"/>
          <w:color w:val="333333"/>
          <w:sz w:val="16"/>
          <w:szCs w:val="16"/>
        </w:rPr>
      </w:pPr>
    </w:p>
    <w:p w14:paraId="1FC570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ascii="仿宋" w:hAnsi="仿宋" w:eastAsia="仿宋" w:cs="仿宋"/>
          <w:i w:val="0"/>
          <w:iCs w:val="0"/>
          <w:caps w:val="0"/>
          <w:color w:val="333333"/>
          <w:spacing w:val="0"/>
          <w:kern w:val="0"/>
          <w:sz w:val="22"/>
          <w:szCs w:val="22"/>
          <w:bdr w:val="none" w:color="auto" w:sz="0" w:space="0"/>
          <w:shd w:val="clear" w:fill="FFFFFF"/>
          <w:lang w:val="en-US" w:eastAsia="zh-CN" w:bidi="ar"/>
        </w:rPr>
        <w:t>根据《湖北省教育厅关于</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做好2024年湖北省普通高等学校专升本工作的通知》精神，结合我校学科专业建设发展规划，特制定本简章。</w:t>
      </w:r>
    </w:p>
    <w:p w14:paraId="5D634D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ascii="黑体" w:hAnsi="宋体" w:eastAsia="黑体" w:cs="黑体"/>
          <w:i w:val="0"/>
          <w:iCs w:val="0"/>
          <w:caps w:val="0"/>
          <w:color w:val="333333"/>
          <w:spacing w:val="0"/>
          <w:kern w:val="0"/>
          <w:sz w:val="22"/>
          <w:szCs w:val="22"/>
          <w:bdr w:val="none" w:color="auto" w:sz="0" w:space="0"/>
          <w:shd w:val="clear" w:fill="FFFFFF"/>
          <w:lang w:val="en-US" w:eastAsia="zh-CN" w:bidi="ar"/>
        </w:rPr>
        <w:t>一、招生对象及条件</w:t>
      </w:r>
    </w:p>
    <w:p w14:paraId="0F229F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1．应届高职（专科）毕业生。2024年湖北省普通高校全日制高职（专科）应届毕业生（含2023年下半年毕业的高职（专科）扩招学生），能如期取得专科毕业证书（简称“普通考生”）。</w:t>
      </w:r>
    </w:p>
    <w:p w14:paraId="224142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2．专项计划考生。专项计划考生应是符合普通考生报考条件，且经省乡村振兴部门确认的原建档立卡贫困家庭学生和防返贫动态监测家庭学生。</w:t>
      </w:r>
    </w:p>
    <w:p w14:paraId="55255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退役大学生士兵。遵守中华人民共和国宪法和法律，服役期间没有受到部队相关处分；在湖北省应征入伍；普通高校全日制高职（专科）毕业生及在校生（含高校新生）应征入伍，退役后完成高职学业且在预报名阶段审核通过的学生。</w:t>
      </w:r>
    </w:p>
    <w:p w14:paraId="589534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4.技能大赛免试考生。包括在专科高等职业教育期间，且在《湖北省教育厅关于做好2024年湖北省普通高等学校专升本工作的通知》印发前成为世界技能大赛参赛选手（含入围国家集训队选手），或获得中华人民共和国职业技能大赛优胜奖及以上、全国职业院校技能大赛三等奖及以上、湖北省职业院校技能大赛一等奖（不含抽测组）奖项的学生。</w:t>
      </w:r>
    </w:p>
    <w:p w14:paraId="5213D6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考生只能选择“普通考生”“专项计划考生”“退役大学生士兵”“技能大赛免试考生”中的一种类型报考。</w:t>
      </w:r>
    </w:p>
    <w:p w14:paraId="77D1A6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符合条件的考生只能参加一次普通专升本考试（含已录取未报到、延期毕业考生等）。 </w:t>
      </w:r>
    </w:p>
    <w:p w14:paraId="441510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二、招生计划</w:t>
      </w:r>
    </w:p>
    <w:p w14:paraId="7030BE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1．招生计划。</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专升本招生计划分“普通考生计划”“专项计划”“退役大学生士兵计划”“技能大赛免试考生计划”四种类型。各类分专业招生计划及专科专业报考范围见下表。</w:t>
      </w:r>
    </w:p>
    <w:p w14:paraId="06535F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jc w:val="center"/>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各类型分专业计划表</w:t>
      </w:r>
    </w:p>
    <w:tbl>
      <w:tblPr>
        <w:tblW w:w="85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50"/>
        <w:gridCol w:w="1816"/>
        <w:gridCol w:w="506"/>
        <w:gridCol w:w="610"/>
        <w:gridCol w:w="1087"/>
        <w:gridCol w:w="848"/>
        <w:gridCol w:w="2427"/>
      </w:tblGrid>
      <w:tr w14:paraId="75A94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720" w:hRule="atLeast"/>
          <w:jc w:val="center"/>
        </w:trPr>
        <w:tc>
          <w:tcPr>
            <w:tcW w:w="1008" w:type="dxa"/>
            <w:tcBorders>
              <w:top w:val="single" w:color="5B5B5B" w:sz="4" w:space="0"/>
              <w:left w:val="single" w:color="5B5B5B" w:sz="4" w:space="0"/>
              <w:bottom w:val="single" w:color="5B5B5B" w:sz="4" w:space="0"/>
              <w:right w:val="single" w:color="5B5B5B" w:sz="4" w:space="0"/>
            </w:tcBorders>
            <w:shd w:val="clear"/>
            <w:noWrap/>
            <w:tcMar>
              <w:left w:w="84" w:type="dxa"/>
              <w:right w:w="84" w:type="dxa"/>
            </w:tcMar>
            <w:vAlign w:val="center"/>
          </w:tcPr>
          <w:p w14:paraId="157D52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本科专业</w:t>
            </w:r>
          </w:p>
        </w:tc>
        <w:tc>
          <w:tcPr>
            <w:tcW w:w="696" w:type="dxa"/>
            <w:tcBorders>
              <w:top w:val="single" w:color="5B5B5B" w:sz="4" w:space="0"/>
              <w:left w:val="nil"/>
              <w:bottom w:val="single" w:color="5B5B5B" w:sz="4" w:space="0"/>
              <w:right w:val="single" w:color="5B5B5B" w:sz="4" w:space="0"/>
            </w:tcBorders>
            <w:shd w:val="clear"/>
            <w:noWrap/>
            <w:tcMar>
              <w:left w:w="84" w:type="dxa"/>
              <w:right w:w="84" w:type="dxa"/>
            </w:tcMar>
            <w:vAlign w:val="center"/>
          </w:tcPr>
          <w:p w14:paraId="7D4B1B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专业</w:t>
            </w:r>
          </w:p>
          <w:p w14:paraId="2983D1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代码</w:t>
            </w:r>
          </w:p>
        </w:tc>
        <w:tc>
          <w:tcPr>
            <w:tcW w:w="408" w:type="dxa"/>
            <w:tcBorders>
              <w:top w:val="single" w:color="5B5B5B" w:sz="4" w:space="0"/>
              <w:left w:val="nil"/>
              <w:bottom w:val="single" w:color="5B5B5B" w:sz="4" w:space="0"/>
              <w:right w:val="single" w:color="5B5B5B" w:sz="4" w:space="0"/>
            </w:tcBorders>
            <w:shd w:val="clear"/>
            <w:noWrap/>
            <w:tcMar>
              <w:left w:w="84" w:type="dxa"/>
              <w:right w:w="84" w:type="dxa"/>
            </w:tcMar>
            <w:vAlign w:val="center"/>
          </w:tcPr>
          <w:p w14:paraId="204052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普通</w:t>
            </w:r>
          </w:p>
          <w:p w14:paraId="204659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考生计划</w:t>
            </w:r>
          </w:p>
        </w:tc>
        <w:tc>
          <w:tcPr>
            <w:tcW w:w="492" w:type="dxa"/>
            <w:tcBorders>
              <w:top w:val="single" w:color="5B5B5B" w:sz="4" w:space="0"/>
              <w:left w:val="nil"/>
              <w:bottom w:val="single" w:color="5B5B5B" w:sz="4" w:space="0"/>
              <w:right w:val="single" w:color="5B5B5B" w:sz="4" w:space="0"/>
            </w:tcBorders>
            <w:shd w:val="clear"/>
            <w:noWrap/>
            <w:tcMar>
              <w:left w:w="84" w:type="dxa"/>
              <w:right w:w="84" w:type="dxa"/>
            </w:tcMar>
            <w:vAlign w:val="center"/>
          </w:tcPr>
          <w:p w14:paraId="5E5B49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专项计划</w:t>
            </w:r>
          </w:p>
        </w:tc>
        <w:tc>
          <w:tcPr>
            <w:tcW w:w="876" w:type="dxa"/>
            <w:tcBorders>
              <w:top w:val="single" w:color="5B5B5B" w:sz="4" w:space="0"/>
              <w:left w:val="nil"/>
              <w:bottom w:val="single" w:color="000000" w:sz="4" w:space="0"/>
              <w:right w:val="single" w:color="5B5B5B" w:sz="4" w:space="0"/>
            </w:tcBorders>
            <w:shd w:val="clear"/>
            <w:noWrap/>
            <w:tcMar>
              <w:left w:w="84" w:type="dxa"/>
              <w:right w:w="84" w:type="dxa"/>
            </w:tcMar>
            <w:vAlign w:val="center"/>
          </w:tcPr>
          <w:p w14:paraId="540AC4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技能大赛</w:t>
            </w:r>
          </w:p>
          <w:p w14:paraId="4D81A7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免试考生计划</w:t>
            </w:r>
          </w:p>
        </w:tc>
        <w:tc>
          <w:tcPr>
            <w:tcW w:w="684" w:type="dxa"/>
            <w:tcBorders>
              <w:top w:val="single" w:color="5B5B5B" w:sz="4" w:space="0"/>
              <w:left w:val="nil"/>
              <w:bottom w:val="single" w:color="5B5B5B" w:sz="4" w:space="0"/>
              <w:right w:val="single" w:color="5B5B5B" w:sz="4" w:space="0"/>
            </w:tcBorders>
            <w:shd w:val="clear"/>
            <w:noWrap/>
            <w:tcMar>
              <w:left w:w="84" w:type="dxa"/>
              <w:right w:w="84" w:type="dxa"/>
            </w:tcMar>
            <w:vAlign w:val="center"/>
          </w:tcPr>
          <w:p w14:paraId="33AC67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退役</w:t>
            </w:r>
          </w:p>
          <w:p w14:paraId="0FF23D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士兵计划</w:t>
            </w:r>
          </w:p>
        </w:tc>
        <w:tc>
          <w:tcPr>
            <w:tcW w:w="1956" w:type="dxa"/>
            <w:tcBorders>
              <w:top w:val="single" w:color="5B5B5B" w:sz="4" w:space="0"/>
              <w:left w:val="nil"/>
              <w:bottom w:val="single" w:color="5B5B5B" w:sz="4" w:space="0"/>
              <w:right w:val="single" w:color="5B5B5B" w:sz="4" w:space="0"/>
            </w:tcBorders>
            <w:shd w:val="clear"/>
            <w:noWrap/>
            <w:tcMar>
              <w:left w:w="84" w:type="dxa"/>
              <w:right w:w="84" w:type="dxa"/>
            </w:tcMar>
            <w:vAlign w:val="center"/>
          </w:tcPr>
          <w:p w14:paraId="500E42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专科专业报考范围</w:t>
            </w:r>
          </w:p>
        </w:tc>
      </w:tr>
      <w:tr w14:paraId="56501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1898CDE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人力资源管理</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3E00BA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120206</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41D106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80</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3106E6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15</w:t>
            </w:r>
          </w:p>
        </w:tc>
        <w:tc>
          <w:tcPr>
            <w:tcW w:w="876" w:type="dxa"/>
            <w:tcBorders>
              <w:top w:val="nil"/>
              <w:left w:val="nil"/>
              <w:bottom w:val="single" w:color="000000" w:sz="4" w:space="0"/>
              <w:right w:val="single" w:color="000000" w:sz="4" w:space="0"/>
            </w:tcBorders>
            <w:shd w:val="clear"/>
            <w:noWrap/>
            <w:tcMar>
              <w:left w:w="84" w:type="dxa"/>
              <w:right w:w="84" w:type="dxa"/>
            </w:tcMar>
            <w:vAlign w:val="center"/>
          </w:tcPr>
          <w:p w14:paraId="718C39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w:t>
            </w:r>
          </w:p>
        </w:tc>
        <w:tc>
          <w:tcPr>
            <w:tcW w:w="684" w:type="dxa"/>
            <w:vMerge w:val="restart"/>
            <w:tcBorders>
              <w:top w:val="nil"/>
              <w:left w:val="nil"/>
              <w:bottom w:val="nil"/>
              <w:right w:val="single" w:color="5B5B5B" w:sz="4" w:space="0"/>
            </w:tcBorders>
            <w:shd w:val="clear"/>
            <w:noWrap/>
            <w:tcMar>
              <w:left w:w="84" w:type="dxa"/>
              <w:right w:w="84" w:type="dxa"/>
            </w:tcMar>
            <w:vAlign w:val="center"/>
          </w:tcPr>
          <w:p w14:paraId="652956C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1A27CF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56A2E0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6FE76C6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3807D5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25030B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47C7D9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201D8A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4806F50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75CFCDA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2D765A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3D9CE22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1D71D3D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6CCAFF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02EA2F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4032F1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p w14:paraId="5700AC2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58</w:t>
            </w:r>
          </w:p>
        </w:tc>
        <w:tc>
          <w:tcPr>
            <w:tcW w:w="1956" w:type="dxa"/>
            <w:tcBorders>
              <w:top w:val="nil"/>
              <w:left w:val="single" w:color="000000" w:sz="4" w:space="0"/>
              <w:bottom w:val="single" w:color="5B5B5B" w:sz="4" w:space="0"/>
              <w:right w:val="single" w:color="5B5B5B" w:sz="4" w:space="0"/>
            </w:tcBorders>
            <w:shd w:val="clear"/>
            <w:noWrap/>
            <w:tcMar>
              <w:left w:w="84" w:type="dxa"/>
              <w:right w:w="84" w:type="dxa"/>
            </w:tcMar>
            <w:vAlign w:val="center"/>
          </w:tcPr>
          <w:p w14:paraId="3C6CE5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590202人力资源管理</w:t>
            </w:r>
          </w:p>
          <w:p w14:paraId="00606ED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530302大数据与会计</w:t>
            </w:r>
          </w:p>
          <w:p w14:paraId="66D385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530401统计与大数据分析</w:t>
            </w:r>
          </w:p>
          <w:p w14:paraId="1D22C6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530501国际经济与贸易</w:t>
            </w:r>
          </w:p>
          <w:p w14:paraId="5F509F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530601工商企业管理</w:t>
            </w:r>
          </w:p>
          <w:p w14:paraId="2C4533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530602连锁经营与管理</w:t>
            </w:r>
          </w:p>
          <w:p w14:paraId="77CD8D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530603商务管理</w:t>
            </w:r>
          </w:p>
          <w:p w14:paraId="51CC00E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530605市场营销</w:t>
            </w:r>
          </w:p>
          <w:p w14:paraId="1AE1CD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590105公共关系</w:t>
            </w:r>
          </w:p>
          <w:p w14:paraId="7DA592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590201民政服务与管理</w:t>
            </w:r>
          </w:p>
          <w:p w14:paraId="005460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590203劳动与社会保障</w:t>
            </w:r>
          </w:p>
          <w:p w14:paraId="638593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590206行政管理</w:t>
            </w:r>
          </w:p>
        </w:tc>
      </w:tr>
      <w:tr w14:paraId="1CD5C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6"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537650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旅游管理</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3A2DA7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120901K</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7E43ADE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100</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171D812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w:t>
            </w:r>
          </w:p>
        </w:tc>
        <w:tc>
          <w:tcPr>
            <w:tcW w:w="876" w:type="dxa"/>
            <w:tcBorders>
              <w:top w:val="nil"/>
              <w:left w:val="nil"/>
              <w:bottom w:val="single" w:color="000000" w:sz="4" w:space="0"/>
              <w:right w:val="single" w:color="000000" w:sz="4" w:space="0"/>
            </w:tcBorders>
            <w:shd w:val="clear"/>
            <w:tcMar>
              <w:left w:w="84" w:type="dxa"/>
              <w:right w:w="84" w:type="dxa"/>
            </w:tcMar>
            <w:vAlign w:val="center"/>
          </w:tcPr>
          <w:p w14:paraId="7A07643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75393499">
            <w:pPr>
              <w:rPr>
                <w:rFonts w:hint="eastAsia" w:ascii="宋体"/>
                <w:sz w:val="24"/>
                <w:szCs w:val="24"/>
              </w:rPr>
            </w:pPr>
          </w:p>
        </w:tc>
        <w:tc>
          <w:tcPr>
            <w:tcW w:w="1956" w:type="dxa"/>
            <w:tcBorders>
              <w:top w:val="nil"/>
              <w:left w:val="single" w:color="000000" w:sz="4" w:space="0"/>
              <w:bottom w:val="single" w:color="5B5B5B" w:sz="4" w:space="0"/>
              <w:right w:val="single" w:color="5B5B5B" w:sz="4" w:space="0"/>
            </w:tcBorders>
            <w:shd w:val="clear"/>
            <w:tcMar>
              <w:left w:w="84" w:type="dxa"/>
              <w:right w:w="84" w:type="dxa"/>
            </w:tcMar>
            <w:vAlign w:val="center"/>
          </w:tcPr>
          <w:p w14:paraId="6FD576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54旅游大类所有专业</w:t>
            </w:r>
          </w:p>
          <w:p w14:paraId="4895A1F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5306工商管理类专业</w:t>
            </w:r>
          </w:p>
          <w:p w14:paraId="4036BF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5504文化服务类专业</w:t>
            </w:r>
          </w:p>
          <w:p w14:paraId="516542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570203旅游英语</w:t>
            </w:r>
          </w:p>
          <w:p w14:paraId="2B8BEA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570207旅游日语</w:t>
            </w:r>
          </w:p>
          <w:p w14:paraId="2A9BEC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500405空中乘务</w:t>
            </w:r>
          </w:p>
          <w:p w14:paraId="1D9BDA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500113高速铁路客运服务</w:t>
            </w:r>
          </w:p>
        </w:tc>
      </w:tr>
      <w:tr w14:paraId="44325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96"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57AB0D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烹饪与营养教育</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2D0C95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082708T</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1299C4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47</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590BED2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10</w:t>
            </w:r>
          </w:p>
        </w:tc>
        <w:tc>
          <w:tcPr>
            <w:tcW w:w="876" w:type="dxa"/>
            <w:tcBorders>
              <w:top w:val="nil"/>
              <w:left w:val="nil"/>
              <w:bottom w:val="single" w:color="000000" w:sz="4" w:space="0"/>
              <w:right w:val="single" w:color="000000" w:sz="4" w:space="0"/>
            </w:tcBorders>
            <w:shd w:val="clear"/>
            <w:tcMar>
              <w:left w:w="84" w:type="dxa"/>
              <w:right w:w="84" w:type="dxa"/>
            </w:tcMar>
            <w:vAlign w:val="center"/>
          </w:tcPr>
          <w:p w14:paraId="181BC9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3</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070AB870">
            <w:pPr>
              <w:rPr>
                <w:rFonts w:hint="eastAsia" w:ascii="宋体"/>
                <w:sz w:val="24"/>
                <w:szCs w:val="24"/>
              </w:rPr>
            </w:pPr>
          </w:p>
        </w:tc>
        <w:tc>
          <w:tcPr>
            <w:tcW w:w="1956" w:type="dxa"/>
            <w:tcBorders>
              <w:top w:val="nil"/>
              <w:left w:val="single" w:color="000000" w:sz="4" w:space="0"/>
              <w:bottom w:val="single" w:color="5B5B5B" w:sz="4" w:space="0"/>
              <w:right w:val="single" w:color="5B5B5B" w:sz="4" w:space="0"/>
            </w:tcBorders>
            <w:shd w:val="clear"/>
            <w:tcMar>
              <w:left w:w="84" w:type="dxa"/>
              <w:right w:w="84" w:type="dxa"/>
            </w:tcMar>
            <w:vAlign w:val="center"/>
          </w:tcPr>
          <w:p w14:paraId="73E99C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54旅游大类所有专业</w:t>
            </w:r>
          </w:p>
          <w:p w14:paraId="43E09E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4901食品类专业</w:t>
            </w:r>
          </w:p>
        </w:tc>
      </w:tr>
      <w:tr w14:paraId="30F6CD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24"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5A8DF2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电子商务</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1D803D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120801</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28B87A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78</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35051F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18</w:t>
            </w:r>
          </w:p>
        </w:tc>
        <w:tc>
          <w:tcPr>
            <w:tcW w:w="876" w:type="dxa"/>
            <w:tcBorders>
              <w:top w:val="nil"/>
              <w:left w:val="nil"/>
              <w:bottom w:val="single" w:color="000000" w:sz="4" w:space="0"/>
              <w:right w:val="single" w:color="000000" w:sz="4" w:space="0"/>
            </w:tcBorders>
            <w:shd w:val="clear"/>
            <w:tcMar>
              <w:left w:w="84" w:type="dxa"/>
              <w:right w:w="84" w:type="dxa"/>
            </w:tcMar>
            <w:vAlign w:val="center"/>
          </w:tcPr>
          <w:p w14:paraId="687881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16</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3AAA28CF">
            <w:pPr>
              <w:rPr>
                <w:rFonts w:hint="eastAsia" w:ascii="宋体"/>
                <w:sz w:val="24"/>
                <w:szCs w:val="24"/>
              </w:rPr>
            </w:pPr>
          </w:p>
        </w:tc>
        <w:tc>
          <w:tcPr>
            <w:tcW w:w="1956" w:type="dxa"/>
            <w:tcBorders>
              <w:top w:val="nil"/>
              <w:left w:val="single" w:color="000000" w:sz="4" w:space="0"/>
              <w:bottom w:val="single" w:color="5B5B5B" w:sz="4" w:space="0"/>
              <w:right w:val="single" w:color="5B5B5B" w:sz="4" w:space="0"/>
            </w:tcBorders>
            <w:shd w:val="clear"/>
            <w:tcMar>
              <w:left w:w="84" w:type="dxa"/>
              <w:right w:w="84" w:type="dxa"/>
            </w:tcMar>
            <w:vAlign w:val="center"/>
          </w:tcPr>
          <w:p w14:paraId="7FD167A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53财经商贸大类所有专业</w:t>
            </w:r>
          </w:p>
          <w:p w14:paraId="2BE94CB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59公共管理与服务大类所有专业</w:t>
            </w:r>
          </w:p>
        </w:tc>
      </w:tr>
      <w:tr w14:paraId="5A96C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396"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441B68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网络与新媒体</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0E8EC10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050306T</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1DCFB74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1FC30A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8</w:t>
            </w:r>
          </w:p>
        </w:tc>
        <w:tc>
          <w:tcPr>
            <w:tcW w:w="876" w:type="dxa"/>
            <w:tcBorders>
              <w:top w:val="nil"/>
              <w:left w:val="nil"/>
              <w:bottom w:val="single" w:color="000000" w:sz="4" w:space="0"/>
              <w:right w:val="single" w:color="000000" w:sz="4" w:space="0"/>
            </w:tcBorders>
            <w:shd w:val="clear"/>
            <w:tcMar>
              <w:left w:w="84" w:type="dxa"/>
              <w:right w:w="84" w:type="dxa"/>
            </w:tcMar>
            <w:vAlign w:val="center"/>
          </w:tcPr>
          <w:p w14:paraId="244D472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201C5B2B">
            <w:pPr>
              <w:rPr>
                <w:rFonts w:hint="eastAsia" w:ascii="宋体"/>
                <w:sz w:val="24"/>
                <w:szCs w:val="24"/>
              </w:rPr>
            </w:pPr>
          </w:p>
        </w:tc>
        <w:tc>
          <w:tcPr>
            <w:tcW w:w="1956" w:type="dxa"/>
            <w:tcBorders>
              <w:top w:val="nil"/>
              <w:left w:val="single" w:color="000000" w:sz="4" w:space="0"/>
              <w:bottom w:val="single" w:color="5B5B5B" w:sz="4" w:space="0"/>
              <w:right w:val="single" w:color="5B5B5B" w:sz="4" w:space="0"/>
            </w:tcBorders>
            <w:shd w:val="clear"/>
            <w:tcMar>
              <w:left w:w="84" w:type="dxa"/>
              <w:right w:w="84" w:type="dxa"/>
            </w:tcMar>
            <w:vAlign w:val="center"/>
          </w:tcPr>
          <w:p w14:paraId="4CA9735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560102网络新闻与传播</w:t>
            </w:r>
          </w:p>
          <w:p w14:paraId="77E4AF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560205新闻采编与制作</w:t>
            </w:r>
          </w:p>
          <w:p w14:paraId="22CB10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560202广播影视节目制作</w:t>
            </w:r>
          </w:p>
          <w:p w14:paraId="33BC42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560212摄影摄像技术</w:t>
            </w:r>
          </w:p>
          <w:p w14:paraId="51AACD3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560215传播与策划</w:t>
            </w:r>
          </w:p>
        </w:tc>
      </w:tr>
      <w:tr w14:paraId="712927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624"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3E1239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物联网工程</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394DB6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080905</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521FD9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w:t>
            </w:r>
          </w:p>
        </w:tc>
        <w:tc>
          <w:tcPr>
            <w:tcW w:w="492" w:type="dxa"/>
            <w:tcBorders>
              <w:top w:val="nil"/>
              <w:left w:val="nil"/>
              <w:bottom w:val="single" w:color="5B5B5B" w:sz="4" w:space="0"/>
              <w:right w:val="single" w:color="000000" w:sz="4" w:space="0"/>
            </w:tcBorders>
            <w:shd w:val="clear"/>
            <w:noWrap/>
            <w:tcMar>
              <w:left w:w="84" w:type="dxa"/>
              <w:right w:w="84" w:type="dxa"/>
            </w:tcMar>
            <w:vAlign w:val="center"/>
          </w:tcPr>
          <w:p w14:paraId="5952F9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9</w:t>
            </w:r>
          </w:p>
        </w:tc>
        <w:tc>
          <w:tcPr>
            <w:tcW w:w="876" w:type="dxa"/>
            <w:tcBorders>
              <w:top w:val="nil"/>
              <w:left w:val="nil"/>
              <w:bottom w:val="single" w:color="000000" w:sz="4" w:space="0"/>
              <w:right w:val="single" w:color="000000" w:sz="4" w:space="0"/>
            </w:tcBorders>
            <w:shd w:val="clear"/>
            <w:tcMar>
              <w:left w:w="84" w:type="dxa"/>
              <w:right w:w="84" w:type="dxa"/>
            </w:tcMar>
            <w:vAlign w:val="center"/>
          </w:tcPr>
          <w:p w14:paraId="73E60D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13</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45E1A140">
            <w:pPr>
              <w:rPr>
                <w:rFonts w:hint="eastAsia" w:ascii="宋体"/>
                <w:sz w:val="24"/>
                <w:szCs w:val="24"/>
              </w:rPr>
            </w:pPr>
          </w:p>
        </w:tc>
        <w:tc>
          <w:tcPr>
            <w:tcW w:w="1956" w:type="dxa"/>
            <w:tcBorders>
              <w:top w:val="nil"/>
              <w:left w:val="single" w:color="000000" w:sz="4" w:space="0"/>
              <w:bottom w:val="single" w:color="5B5B5B" w:sz="4" w:space="0"/>
              <w:right w:val="single" w:color="5B5B5B" w:sz="4" w:space="0"/>
            </w:tcBorders>
            <w:shd w:val="clear"/>
            <w:tcMar>
              <w:left w:w="84" w:type="dxa"/>
              <w:right w:w="84" w:type="dxa"/>
            </w:tcMar>
            <w:vAlign w:val="center"/>
          </w:tcPr>
          <w:p w14:paraId="25AA365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51电子与信息大类所有专业</w:t>
            </w:r>
          </w:p>
        </w:tc>
      </w:tr>
      <w:tr w14:paraId="77ED7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24" w:hRule="atLeast"/>
          <w:jc w:val="center"/>
        </w:trPr>
        <w:tc>
          <w:tcPr>
            <w:tcW w:w="1008" w:type="dxa"/>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6464C1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物流管理</w:t>
            </w:r>
          </w:p>
        </w:tc>
        <w:tc>
          <w:tcPr>
            <w:tcW w:w="696" w:type="dxa"/>
            <w:tcBorders>
              <w:top w:val="nil"/>
              <w:left w:val="nil"/>
              <w:bottom w:val="single" w:color="5B5B5B" w:sz="4" w:space="0"/>
              <w:right w:val="single" w:color="5B5B5B" w:sz="4" w:space="0"/>
            </w:tcBorders>
            <w:shd w:val="clear"/>
            <w:noWrap/>
            <w:tcMar>
              <w:left w:w="84" w:type="dxa"/>
              <w:right w:w="84" w:type="dxa"/>
            </w:tcMar>
            <w:vAlign w:val="center"/>
          </w:tcPr>
          <w:p w14:paraId="75D78CB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120601</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4B682A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38</w:t>
            </w:r>
          </w:p>
        </w:tc>
        <w:tc>
          <w:tcPr>
            <w:tcW w:w="492" w:type="dxa"/>
            <w:tcBorders>
              <w:top w:val="nil"/>
              <w:left w:val="nil"/>
              <w:bottom w:val="single" w:color="5B5B5B" w:sz="4" w:space="0"/>
              <w:right w:val="single" w:color="5B5B5B" w:sz="4" w:space="0"/>
            </w:tcBorders>
            <w:shd w:val="clear"/>
            <w:noWrap/>
            <w:tcMar>
              <w:left w:w="84" w:type="dxa"/>
              <w:right w:w="84" w:type="dxa"/>
            </w:tcMar>
            <w:vAlign w:val="center"/>
          </w:tcPr>
          <w:p w14:paraId="71AC92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12</w:t>
            </w:r>
          </w:p>
        </w:tc>
        <w:tc>
          <w:tcPr>
            <w:tcW w:w="876" w:type="dxa"/>
            <w:tcBorders>
              <w:top w:val="nil"/>
              <w:left w:val="nil"/>
              <w:bottom w:val="single" w:color="5B5B5B" w:sz="4" w:space="0"/>
              <w:right w:val="single" w:color="5B5B5B" w:sz="4" w:space="0"/>
            </w:tcBorders>
            <w:shd w:val="clear"/>
            <w:tcMar>
              <w:left w:w="84" w:type="dxa"/>
              <w:right w:w="84" w:type="dxa"/>
            </w:tcMar>
            <w:vAlign w:val="center"/>
          </w:tcPr>
          <w:p w14:paraId="3DA537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0</w:t>
            </w:r>
          </w:p>
        </w:tc>
        <w:tc>
          <w:tcPr>
            <w:tcW w:w="684" w:type="dxa"/>
            <w:vMerge w:val="continue"/>
            <w:tcBorders>
              <w:top w:val="nil"/>
              <w:left w:val="nil"/>
              <w:bottom w:val="nil"/>
              <w:right w:val="single" w:color="5B5B5B" w:sz="4" w:space="0"/>
            </w:tcBorders>
            <w:shd w:val="clear"/>
            <w:noWrap/>
            <w:tcMar>
              <w:left w:w="84" w:type="dxa"/>
              <w:right w:w="84" w:type="dxa"/>
            </w:tcMar>
            <w:vAlign w:val="center"/>
          </w:tcPr>
          <w:p w14:paraId="00EC94A2">
            <w:pPr>
              <w:rPr>
                <w:rFonts w:hint="eastAsia" w:ascii="宋体"/>
                <w:sz w:val="24"/>
                <w:szCs w:val="24"/>
              </w:rPr>
            </w:pPr>
          </w:p>
        </w:tc>
        <w:tc>
          <w:tcPr>
            <w:tcW w:w="1956" w:type="dxa"/>
            <w:tcBorders>
              <w:top w:val="nil"/>
              <w:left w:val="nil"/>
              <w:bottom w:val="single" w:color="5B5B5B" w:sz="4" w:space="0"/>
              <w:right w:val="single" w:color="5B5B5B" w:sz="4" w:space="0"/>
            </w:tcBorders>
            <w:shd w:val="clear"/>
            <w:tcMar>
              <w:left w:w="84" w:type="dxa"/>
              <w:right w:w="84" w:type="dxa"/>
            </w:tcMar>
            <w:vAlign w:val="center"/>
          </w:tcPr>
          <w:p w14:paraId="157E73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490208药品经营与管理</w:t>
            </w:r>
          </w:p>
          <w:p w14:paraId="21A34C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500208道路运输管理</w:t>
            </w:r>
          </w:p>
          <w:p w14:paraId="7F27861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500209交通运营管理</w:t>
            </w:r>
          </w:p>
          <w:p w14:paraId="668E19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500307港口与航运管理</w:t>
            </w:r>
          </w:p>
          <w:p w14:paraId="2FF9A7A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500310集装箱运输管理</w:t>
            </w:r>
          </w:p>
          <w:p w14:paraId="5D3B11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500701邮政快递运营管理</w:t>
            </w:r>
          </w:p>
          <w:p w14:paraId="523835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530401统计与大数据分析</w:t>
            </w:r>
          </w:p>
          <w:p w14:paraId="0A67F4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530503关务与外贸服务530601工商企业管理</w:t>
            </w:r>
          </w:p>
          <w:p w14:paraId="300C3E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530603商务管理</w:t>
            </w:r>
          </w:p>
          <w:p w14:paraId="5C2161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530605市场营销</w:t>
            </w:r>
          </w:p>
          <w:p w14:paraId="52927E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530802物流管理</w:t>
            </w:r>
          </w:p>
          <w:p w14:paraId="61A4951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530807工程物流管理</w:t>
            </w:r>
          </w:p>
          <w:p w14:paraId="7EE5786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530808采购与供应管理</w:t>
            </w:r>
          </w:p>
          <w:p w14:paraId="1F4E2D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left"/>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590206行政管理</w:t>
            </w:r>
          </w:p>
        </w:tc>
      </w:tr>
      <w:tr w14:paraId="5F341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jc w:val="center"/>
        </w:trPr>
        <w:tc>
          <w:tcPr>
            <w:tcW w:w="2472" w:type="dxa"/>
            <w:gridSpan w:val="2"/>
            <w:tcBorders>
              <w:top w:val="nil"/>
              <w:left w:val="single" w:color="5B5B5B" w:sz="4" w:space="0"/>
              <w:bottom w:val="single" w:color="5B5B5B" w:sz="4" w:space="0"/>
              <w:right w:val="single" w:color="5B5B5B" w:sz="4" w:space="0"/>
            </w:tcBorders>
            <w:shd w:val="clear"/>
            <w:noWrap/>
            <w:tcMar>
              <w:left w:w="84" w:type="dxa"/>
              <w:right w:w="84" w:type="dxa"/>
            </w:tcMar>
            <w:vAlign w:val="center"/>
          </w:tcPr>
          <w:p w14:paraId="0A4F47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合计</w:t>
            </w:r>
          </w:p>
        </w:tc>
        <w:tc>
          <w:tcPr>
            <w:tcW w:w="408" w:type="dxa"/>
            <w:tcBorders>
              <w:top w:val="nil"/>
              <w:left w:val="nil"/>
              <w:bottom w:val="single" w:color="5B5B5B" w:sz="4" w:space="0"/>
              <w:right w:val="single" w:color="5B5B5B" w:sz="4" w:space="0"/>
            </w:tcBorders>
            <w:shd w:val="clear"/>
            <w:noWrap/>
            <w:tcMar>
              <w:left w:w="84" w:type="dxa"/>
              <w:right w:w="84" w:type="dxa"/>
            </w:tcMar>
            <w:vAlign w:val="center"/>
          </w:tcPr>
          <w:p w14:paraId="2B8887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383</w:t>
            </w:r>
          </w:p>
        </w:tc>
        <w:tc>
          <w:tcPr>
            <w:tcW w:w="492" w:type="dxa"/>
            <w:tcBorders>
              <w:top w:val="nil"/>
              <w:left w:val="nil"/>
              <w:bottom w:val="single" w:color="5B5B5B" w:sz="4" w:space="0"/>
              <w:right w:val="single" w:color="5B5B5B" w:sz="4" w:space="0"/>
            </w:tcBorders>
            <w:shd w:val="clear"/>
            <w:noWrap/>
            <w:tcMar>
              <w:left w:w="84" w:type="dxa"/>
              <w:right w:w="84" w:type="dxa"/>
            </w:tcMar>
            <w:vAlign w:val="center"/>
          </w:tcPr>
          <w:p w14:paraId="7907B1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92</w:t>
            </w:r>
          </w:p>
        </w:tc>
        <w:tc>
          <w:tcPr>
            <w:tcW w:w="876" w:type="dxa"/>
            <w:tcBorders>
              <w:top w:val="nil"/>
              <w:left w:val="nil"/>
              <w:bottom w:val="single" w:color="5B5B5B" w:sz="4" w:space="0"/>
              <w:right w:val="single" w:color="5B5B5B" w:sz="4" w:space="0"/>
            </w:tcBorders>
            <w:shd w:val="clear"/>
            <w:tcMar>
              <w:left w:w="84" w:type="dxa"/>
              <w:right w:w="84" w:type="dxa"/>
            </w:tcMar>
            <w:vAlign w:val="center"/>
          </w:tcPr>
          <w:p w14:paraId="5B1618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32</w:t>
            </w:r>
          </w:p>
        </w:tc>
        <w:tc>
          <w:tcPr>
            <w:tcW w:w="684" w:type="dxa"/>
            <w:tcBorders>
              <w:top w:val="nil"/>
              <w:left w:val="nil"/>
              <w:bottom w:val="single" w:color="5B5B5B" w:sz="4" w:space="0"/>
              <w:right w:val="single" w:color="5B5B5B" w:sz="4" w:space="0"/>
            </w:tcBorders>
            <w:shd w:val="clear"/>
            <w:tcMar>
              <w:left w:w="84" w:type="dxa"/>
              <w:right w:w="84" w:type="dxa"/>
            </w:tcMar>
            <w:vAlign w:val="center"/>
          </w:tcPr>
          <w:p w14:paraId="675FA3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58</w:t>
            </w:r>
          </w:p>
        </w:tc>
        <w:tc>
          <w:tcPr>
            <w:tcW w:w="1956" w:type="dxa"/>
            <w:tcBorders>
              <w:top w:val="nil"/>
              <w:left w:val="nil"/>
              <w:bottom w:val="single" w:color="5B5B5B" w:sz="4" w:space="0"/>
              <w:right w:val="single" w:color="5B5B5B" w:sz="4" w:space="0"/>
            </w:tcBorders>
            <w:shd w:val="clear"/>
            <w:tcMar>
              <w:left w:w="84" w:type="dxa"/>
              <w:right w:w="84" w:type="dxa"/>
            </w:tcMar>
            <w:vAlign w:val="center"/>
          </w:tcPr>
          <w:p w14:paraId="1FE2B5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 </w:t>
            </w:r>
          </w:p>
        </w:tc>
      </w:tr>
    </w:tbl>
    <w:p w14:paraId="375BDEE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firstLine="0"/>
        <w:jc w:val="left"/>
        <w:textAlignment w:val="center"/>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19"/>
          <w:szCs w:val="19"/>
          <w:bdr w:val="none" w:color="auto" w:sz="0" w:space="0"/>
          <w:shd w:val="clear" w:fill="FFFFFF"/>
          <w:lang w:val="en-US" w:eastAsia="zh-CN" w:bidi="ar"/>
        </w:rPr>
        <w:t>注：1.上述“专科专业范围”以高等职业教育专科新旧专业对照表（2021版）为准（见附件1）；</w:t>
      </w:r>
    </w:p>
    <w:p w14:paraId="34A55D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firstLine="0"/>
        <w:jc w:val="left"/>
        <w:textAlignment w:val="center"/>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19"/>
          <w:szCs w:val="19"/>
          <w:bdr w:val="none" w:color="auto" w:sz="0" w:space="0"/>
          <w:shd w:val="clear" w:fill="FFFFFF"/>
          <w:lang w:val="en-US" w:eastAsia="zh-CN" w:bidi="ar"/>
        </w:rPr>
        <w:t>    2.各类型考生报考专业要求均应符合“专科专业报考范围”要求。</w:t>
      </w:r>
    </w:p>
    <w:p w14:paraId="73A09D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Style w:val="7"/>
          <w:rFonts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2</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．计划调剂。</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校在保持普通考生计划和专项计划总量不变的情况下，在报名结束后根据考生报名情况对普通考生计划和专项计划分专业进行适当调整。调整情况将于4月11日前在学校本科招生网（http://zs.hbue.ed.cn）公布。计划调整规则为：</w:t>
      </w:r>
    </w:p>
    <w:p w14:paraId="269398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（1）因专项计划报考总人数不足出现计划空余的，专项计划空余量调整至普通考生计划使用。</w:t>
      </w:r>
    </w:p>
    <w:p w14:paraId="06E1A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（2）因某专业报考人数不足，该专业招生计划出现空余时，该专业空余计划调整至其他专业使用。</w:t>
      </w:r>
    </w:p>
    <w:p w14:paraId="110BB4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（3）退役大学生士兵计划和技能大赛免试考生计划不调整到其他类别计划使用。</w:t>
      </w:r>
    </w:p>
    <w:p w14:paraId="336C4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补录仍完不成的计划，将由省教育厅统筹调剂使用。</w:t>
      </w:r>
    </w:p>
    <w:p w14:paraId="10124F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三、报名及审核</w:t>
      </w:r>
    </w:p>
    <w:p w14:paraId="3C4DF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1．报名与志愿审核</w:t>
      </w:r>
    </w:p>
    <w:p w14:paraId="75B1E3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普通考生及专项计划考生。符合报名资格条件的普通考生及专项计划考生于2024年3月22日8：00至3月25日18：00登录湖北省高等学校普通专升本报名平台（以下简称“报名平台”，网址为http://zsb.e21.cn）进行网络报名。具体报名流程请登录报名平台查看《考生须知》，按要求如实填写《2024年湖北省普通高等学校专升本报名申请表》，同时上传本人照片、身份证、学籍证明（学信网在线学籍验证报告或毕业证书）等材料，专项计划考生还需上传建档立卡手册等有关专项身份证明材料。考生对其提供的信息和资料真实性、准确性和完整性负责，并承担相应责任。每名考生限报1个专业。</w:t>
      </w:r>
    </w:p>
    <w:p w14:paraId="55616D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退役大学生士兵。退役大学生士兵报名分两个阶段：第一阶段，3月6日至11日进行预报名。符合报名资格条件的退役大学生士兵登录报名平台，按要求如实填写《2024年湖北省退役大学生士兵普通高校专升本免试申请表》，同时上传本人照片、身份证、退出现役证、普通全日制专科毕业证书（应届毕业生提供学籍证明）、入伍地证明、立功受奖证明等材料；第二阶段，3月22日8：00至3月25日18：00进行志愿填报，填报要求同普通考生一致，并在“入伍地证明”材料一栏上传经批准入伍地县级人民政府征兵办公室签字盖章和考生本人签字的预报名表。未参加预报名的退役大学生士兵不能填报退役大学生士兵志愿。</w:t>
      </w:r>
    </w:p>
    <w:p w14:paraId="611412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w:t>
      </w:r>
      <w:r>
        <w:rPr>
          <w:rFonts w:hint="default" w:ascii="Times New Roman" w:hAnsi="Times New Roman" w:eastAsia="Tahoma" w:cs="Times New Roman"/>
          <w:i w:val="0"/>
          <w:iCs w:val="0"/>
          <w:caps w:val="0"/>
          <w:color w:val="333333"/>
          <w:spacing w:val="0"/>
          <w:kern w:val="0"/>
          <w:sz w:val="22"/>
          <w:szCs w:val="22"/>
          <w:bdr w:val="none" w:color="auto" w:sz="0" w:space="0"/>
          <w:shd w:val="clear" w:fill="FFFFFF"/>
          <w:lang w:val="en-US" w:eastAsia="zh-CN" w:bidi="ar"/>
        </w:rPr>
        <w:t>3</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技能大赛免试考生。申请免试考生按《省教育厅关于做好2024年湖北省普通高等学校专升本工作的通知》相关规定进行网络报名并提交申请，省教育厅组织资格审核，对通过审核的考生经学校公示无异议后免试录取。</w:t>
      </w:r>
    </w:p>
    <w:p w14:paraId="39AB03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填报志愿结束后，3月26日8：00-17：00我校将根据招生简章规定对考生高职（专科）阶段所学专科专业与所报考本科专业的相关性进行审核并给出审核结果。志愿信息审核通过的考生不得再更改志愿信息；志愿信息审核未通过的考生可于3月27日8:00-17:00更正一次志愿信息。我校于3月28日8：00-17：00对更正志愿的考生进行专业志愿终审。 </w:t>
      </w:r>
    </w:p>
    <w:p w14:paraId="01A5F7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各类考生须按照湖北省高等学校普通专升本报名平台《考生须知》的要求，及时查阅结果、更正志愿、查阅志愿终审结果等操作，所有志愿信息审核通过的考生，须在3月26日8:00-3月29日14:00期间打印报名表。未及时按要求进行操作造成不良后果的，责任由考生本人承担。</w:t>
      </w:r>
    </w:p>
    <w:p w14:paraId="29BAA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重要提示：</w:t>
      </w:r>
    </w:p>
    <w:p w14:paraId="7034FF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1.</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普通专升本报名通过学信网对考生的学籍学历进行核查。根据教育部学生服务与素质发展中心的要求，学籍学历信息核查需获得考生本人授权，具体流程如下：</w:t>
      </w:r>
    </w:p>
    <w:p w14:paraId="2DBDD0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①报名前，考生应在本人手机上通过应用商店搜索“学信网”或者通过扫描报名平台首页上</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二维码下载安装“学信网”手机</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，并在“学信网”手机</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上完成注册和实人验证（实名、人脸认证）。打开学信网</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的“学籍查询”模块，点击“高等教育信息”功能，系统会显示考生的学籍、学历相关信息，如果查询学籍信息，系统会显示姓名、证件号码、学校名称、专业、入学日期、离校日期等信息，如果查询学历信息，系统会显示姓名、学校名称、专业、入学日期、毕业日期等信息，考生核对学籍学历信息是否准确。如果信息有误，应及时联系所在学校的学籍管理老师申请更正更新学籍学历信息，信息有误的需在报名前完成学籍学历的更正工作。</w:t>
      </w:r>
    </w:p>
    <w:p w14:paraId="6E743D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②报名时，考生在普通专升本报名平台完成报名信息填写后，点击“保存”按钮，报名平台会生成考生的学籍学历二维码。此时，考生应使用“学信网”手机</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扫描功能，扫描报名平台的学籍学历二维码，“学信网”手机</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会显示一条或多条学籍学历信息，考生应选择用于本次报名的学籍学历信息，然后点击“确定”按钮，确认将学信网的学籍学历信息用于普通专升本报名。</w:t>
      </w:r>
    </w:p>
    <w:p w14:paraId="5CB903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特别提醒</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：所有考生在报名前须先完成“学信网”手机</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APP</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下载和学籍学历核查及信息更正工作，核准无误后方可在普通专升本报名平台进行报名，对未进行核查或核查发现信息与本人信息不一致且在报名前未完成信息更正更新的考生，报名平台将禁止该考生报名，请信息有误的考生及时联系专科就读学校学籍管理老师。</w:t>
      </w:r>
    </w:p>
    <w:p w14:paraId="2C6CA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Style w:val="7"/>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2</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．资格审核确认与缴费</w:t>
      </w:r>
    </w:p>
    <w:p w14:paraId="2C1B7C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w:t>
      </w:r>
      <w:r>
        <w:rPr>
          <w:rFonts w:hint="default" w:ascii="Times New Roman" w:hAnsi="Times New Roman" w:eastAsia="Tahoma" w:cs="Times New Roman"/>
          <w:i w:val="0"/>
          <w:iCs w:val="0"/>
          <w:caps w:val="0"/>
          <w:color w:val="333333"/>
          <w:spacing w:val="0"/>
          <w:kern w:val="0"/>
          <w:sz w:val="22"/>
          <w:szCs w:val="22"/>
          <w:bdr w:val="none" w:color="auto" w:sz="0" w:space="0"/>
          <w:shd w:val="clear" w:fill="FFFFFF"/>
          <w:lang w:val="en-US" w:eastAsia="zh-CN" w:bidi="ar"/>
        </w:rPr>
        <w:t>1</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资格审核。考生于2024年3月29日-4月1日（8:00-16:00），登录学校专升本系统（http://39.96.170.109:81/loginPage），逐项核对本人信息并按要求上传相关审核资料。学校对提供资料不全或与网络报名信息不符者作不通过处理，未按要求进行资格审核者，视为放弃考试资格。</w:t>
      </w:r>
    </w:p>
    <w:p w14:paraId="089D8A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（2）缴费。我校于4月2日-4日（8:00-16:00）开通网上缴费平台（湖北经济学院专升本学生缴费操作指南见附件2）（缴费平台</w:t>
      </w:r>
      <w:r>
        <w:rPr>
          <w:rFonts w:hint="default" w:ascii="Tahoma" w:hAnsi="Tahoma" w:eastAsia="Tahoma" w:cs="Tahoma"/>
          <w:i w:val="0"/>
          <w:iCs w:val="0"/>
          <w:caps w:val="0"/>
          <w:color w:val="333333"/>
          <w:spacing w:val="0"/>
          <w:kern w:val="0"/>
          <w:sz w:val="16"/>
          <w:szCs w:val="16"/>
          <w:bdr w:val="single" w:color="DDDDDD" w:sz="4" w:space="0"/>
          <w:shd w:val="clear" w:fill="FFFFFF"/>
          <w:lang w:val="en-US" w:eastAsia="zh-CN" w:bidi="ar"/>
        </w:rPr>
        <w:drawing>
          <wp:inline distT="0" distB="0" distL="114300" distR="114300">
            <wp:extent cx="190500" cy="14287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90500" cy="142875"/>
                    </a:xfrm>
                    <a:prstGeom prst="rect">
                      <a:avLst/>
                    </a:prstGeom>
                    <a:noFill/>
                    <a:ln w="9525">
                      <a:noFill/>
                    </a:ln>
                  </pic:spPr>
                </pic:pic>
              </a:graphicData>
            </a:graphic>
          </wp:inline>
        </w:drawing>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http://cwcwx.hbue.edu.cn/xysf/），资格审核确认通过的普通计划考生与专项计划考生应按时缴纳报名费130元，参加退役大学生士兵职业适应性综合考查的考生应按时缴纳报名费50元，逾期未缴纳报名考试费的考生，视为放弃考试资格。报名考试费缴纳后，无论参加考试与否，一律不再退费。荣立三等功及以上并申请免于职业适应性综合考查的考生和技能大赛免试考生不收费。</w:t>
      </w:r>
    </w:p>
    <w:p w14:paraId="2A87AD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（3）公示。4月6日前公布取得考试资格学生名单。</w:t>
      </w:r>
    </w:p>
    <w:p w14:paraId="568AF9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（4）资格审核将贯穿招生、考试、录取、报到、培养等工作全过程，在任何工作环节一旦发现考生有弄虚作假、违规违纪行为，取消其报名、考试、录取资格。</w:t>
      </w:r>
    </w:p>
    <w:p w14:paraId="279E84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四、考试</w:t>
      </w:r>
    </w:p>
    <w:p w14:paraId="5A96B0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1．考试科目</w:t>
      </w:r>
    </w:p>
    <w:p w14:paraId="41F1A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普通考生及专项计划考生。考试科目为公共课和专业课。公共课科目为英语，实行全省统一命题、统一考试、统一评卷，总分100分（考试要求见附件5）。专业课具体科目和参考教材见下表，每门专业课总分50分。公共课不指定参考教材。</w:t>
      </w:r>
    </w:p>
    <w:p w14:paraId="3B0C8E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退役大学生士兵。退役大学生士兵免于文化课考试，参加我校退役大学生士兵职业适应性综合考查，总分100分，具体要求见附件3。在服役期间荣立三等功及以上的考生可申请免于参加综合考查，见附件4，申请表须于4月19日8:00-16:00由本人递交至湖北经济学院招生办公室（行政楼A-111）（不接受其他递交方式）。</w:t>
      </w:r>
    </w:p>
    <w:p w14:paraId="600B9F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(3)技能大赛免试考生。由省教育厅组织对申请免试报名考生进行审核，通过审核的考生将直接免试录取。</w:t>
      </w:r>
    </w:p>
    <w:p w14:paraId="2D8148A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为防止考试作弊，所有考试科目无选择题，无判断题，其他题型不限。</w:t>
      </w:r>
    </w:p>
    <w:p w14:paraId="5FD095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jc w:val="center"/>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各专业考试科目</w:t>
      </w:r>
    </w:p>
    <w:tbl>
      <w:tblPr>
        <w:tblW w:w="870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385"/>
        <w:gridCol w:w="2104"/>
        <w:gridCol w:w="1949"/>
        <w:gridCol w:w="2262"/>
      </w:tblGrid>
      <w:tr w14:paraId="2EF4982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576" w:hRule="atLeast"/>
        </w:trPr>
        <w:tc>
          <w:tcPr>
            <w:tcW w:w="1371" w:type="pct"/>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7F9BE0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专业名称</w:t>
            </w:r>
          </w:p>
        </w:tc>
        <w:tc>
          <w:tcPr>
            <w:tcW w:w="1209" w:type="pct"/>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687169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公共课</w:t>
            </w:r>
          </w:p>
        </w:tc>
        <w:tc>
          <w:tcPr>
            <w:tcW w:w="1788" w:type="dxa"/>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06A497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专业课1</w:t>
            </w:r>
          </w:p>
        </w:tc>
        <w:tc>
          <w:tcPr>
            <w:tcW w:w="2076" w:type="dxa"/>
            <w:tcBorders>
              <w:top w:val="single" w:color="000000" w:sz="4" w:space="0"/>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5A8A9B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专业课2</w:t>
            </w:r>
          </w:p>
        </w:tc>
      </w:tr>
      <w:tr w14:paraId="621B61A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629C54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人力资源管理</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C789D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0292FB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2B3745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人力资源管理</w:t>
            </w:r>
          </w:p>
        </w:tc>
      </w:tr>
      <w:tr w14:paraId="4A118FF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noWrap/>
            <w:tcMar>
              <w:top w:w="12" w:type="dxa"/>
              <w:left w:w="12" w:type="dxa"/>
              <w:bottom w:w="12" w:type="dxa"/>
              <w:right w:w="12" w:type="dxa"/>
            </w:tcMar>
            <w:vAlign w:val="center"/>
          </w:tcPr>
          <w:p w14:paraId="0077FA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旅游管理</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713C61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noWrap/>
            <w:tcMar>
              <w:top w:w="12" w:type="dxa"/>
              <w:left w:w="12" w:type="dxa"/>
              <w:bottom w:w="12" w:type="dxa"/>
              <w:right w:w="12" w:type="dxa"/>
            </w:tcMar>
            <w:vAlign w:val="center"/>
          </w:tcPr>
          <w:p w14:paraId="6D65C27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76420F8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旅游学概论</w:t>
            </w:r>
          </w:p>
        </w:tc>
      </w:tr>
      <w:tr w14:paraId="3A5B92E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noWrap/>
            <w:tcMar>
              <w:top w:w="12" w:type="dxa"/>
              <w:left w:w="12" w:type="dxa"/>
              <w:bottom w:w="12" w:type="dxa"/>
              <w:right w:w="12" w:type="dxa"/>
            </w:tcMar>
            <w:vAlign w:val="center"/>
          </w:tcPr>
          <w:p w14:paraId="25398E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烹饪与营养教育</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08081F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noWrap/>
            <w:tcMar>
              <w:top w:w="12" w:type="dxa"/>
              <w:left w:w="12" w:type="dxa"/>
              <w:bottom w:w="12" w:type="dxa"/>
              <w:right w:w="12" w:type="dxa"/>
            </w:tcMar>
            <w:vAlign w:val="center"/>
          </w:tcPr>
          <w:p w14:paraId="2DEB17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烹饪营养学</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1FFFA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烹饪工艺学</w:t>
            </w:r>
          </w:p>
        </w:tc>
      </w:tr>
      <w:tr w14:paraId="079845F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D7B11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电子商务</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3E3F62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noWrap/>
            <w:tcMar>
              <w:top w:w="12" w:type="dxa"/>
              <w:left w:w="12" w:type="dxa"/>
              <w:bottom w:w="12" w:type="dxa"/>
              <w:right w:w="12" w:type="dxa"/>
            </w:tcMar>
            <w:vAlign w:val="center"/>
          </w:tcPr>
          <w:p w14:paraId="4CF488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1217F5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电子商务概论</w:t>
            </w:r>
          </w:p>
        </w:tc>
      </w:tr>
      <w:tr w14:paraId="647AFDF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52B7A1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网络与新媒体</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11244F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1F7726B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6675A97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网络与新媒体理论</w:t>
            </w:r>
          </w:p>
        </w:tc>
      </w:tr>
      <w:tr w14:paraId="2D3668D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1476FA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物联网工程</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4A242E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19C365E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高等数学</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68F8DFC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C语言程序设计</w:t>
            </w:r>
          </w:p>
        </w:tc>
      </w:tr>
      <w:tr w14:paraId="24394F0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84" w:hRule="atLeast"/>
        </w:trPr>
        <w:tc>
          <w:tcPr>
            <w:tcW w:w="1371"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083D13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物流管理</w:t>
            </w:r>
          </w:p>
        </w:tc>
        <w:tc>
          <w:tcPr>
            <w:tcW w:w="1209" w:type="pct"/>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67AFB6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大学英语</w:t>
            </w:r>
          </w:p>
        </w:tc>
        <w:tc>
          <w:tcPr>
            <w:tcW w:w="1788"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42C66C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2076" w:type="dxa"/>
            <w:tcBorders>
              <w:top w:val="nil"/>
              <w:left w:val="single" w:color="000000" w:sz="4" w:space="0"/>
              <w:bottom w:val="single" w:color="000000" w:sz="4" w:space="0"/>
              <w:right w:val="single" w:color="000000" w:sz="4" w:space="0"/>
            </w:tcBorders>
            <w:shd w:val="clear"/>
            <w:tcMar>
              <w:top w:w="12" w:type="dxa"/>
              <w:left w:w="12" w:type="dxa"/>
              <w:bottom w:w="12" w:type="dxa"/>
              <w:right w:w="12" w:type="dxa"/>
            </w:tcMar>
            <w:vAlign w:val="center"/>
          </w:tcPr>
          <w:p w14:paraId="07FBF3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物流管理</w:t>
            </w:r>
          </w:p>
        </w:tc>
      </w:tr>
    </w:tbl>
    <w:p w14:paraId="2CCE1B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jc w:val="center"/>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专业课参考教材</w:t>
      </w:r>
    </w:p>
    <w:tbl>
      <w:tblPr>
        <w:tblW w:w="8520" w:type="dxa"/>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364"/>
        <w:gridCol w:w="2302"/>
        <w:gridCol w:w="933"/>
        <w:gridCol w:w="1790"/>
        <w:gridCol w:w="1250"/>
        <w:gridCol w:w="881"/>
      </w:tblGrid>
      <w:tr w14:paraId="3AB985D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384" w:hRule="atLeast"/>
          <w:jc w:val="center"/>
        </w:trPr>
        <w:tc>
          <w:tcPr>
            <w:tcW w:w="1152" w:type="dxa"/>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5D12FC7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课程</w:t>
            </w:r>
          </w:p>
        </w:tc>
        <w:tc>
          <w:tcPr>
            <w:tcW w:w="1944" w:type="dxa"/>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2E3144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教材名称</w:t>
            </w:r>
          </w:p>
        </w:tc>
        <w:tc>
          <w:tcPr>
            <w:tcW w:w="547" w:type="pct"/>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642780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主编</w:t>
            </w:r>
          </w:p>
        </w:tc>
        <w:tc>
          <w:tcPr>
            <w:tcW w:w="1512" w:type="dxa"/>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6A95197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出版社</w:t>
            </w:r>
          </w:p>
        </w:tc>
        <w:tc>
          <w:tcPr>
            <w:tcW w:w="1056" w:type="dxa"/>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71D2C29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版本</w:t>
            </w:r>
          </w:p>
        </w:tc>
        <w:tc>
          <w:tcPr>
            <w:tcW w:w="744" w:type="dxa"/>
            <w:tcBorders>
              <w:top w:val="single" w:color="000000" w:sz="4" w:space="0"/>
              <w:left w:val="single" w:color="000000" w:sz="4" w:space="0"/>
              <w:bottom w:val="single" w:color="000000" w:sz="4" w:space="0"/>
              <w:right w:val="single" w:color="000000" w:sz="4" w:space="0"/>
            </w:tcBorders>
            <w:shd w:val="clear"/>
            <w:tcMar>
              <w:left w:w="84" w:type="dxa"/>
              <w:right w:w="84" w:type="dxa"/>
            </w:tcMar>
            <w:vAlign w:val="center"/>
          </w:tcPr>
          <w:p w14:paraId="0F0D7A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出版</w:t>
            </w:r>
          </w:p>
          <w:p w14:paraId="16EA313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rPr>
                <w:rFonts w:hint="default" w:ascii="Tahoma" w:hAnsi="Tahoma" w:eastAsia="Tahoma" w:cs="Tahoma"/>
                <w:color w:val="333333"/>
                <w:sz w:val="16"/>
                <w:szCs w:val="16"/>
              </w:rPr>
            </w:pPr>
            <w:r>
              <w:rPr>
                <w:rStyle w:val="7"/>
                <w:rFonts w:hint="eastAsia" w:ascii="仿宋" w:hAnsi="仿宋" w:eastAsia="仿宋" w:cs="仿宋"/>
                <w:color w:val="333333"/>
                <w:kern w:val="0"/>
                <w:sz w:val="16"/>
                <w:szCs w:val="16"/>
                <w:bdr w:val="none" w:color="auto" w:sz="0" w:space="0"/>
                <w:lang w:val="en-US" w:eastAsia="zh-CN" w:bidi="ar"/>
              </w:rPr>
              <w:t>时间</w:t>
            </w:r>
          </w:p>
        </w:tc>
      </w:tr>
      <w:tr w14:paraId="70AFB6B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299EE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管理学原理</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8281C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《管理学》</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280261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鲍升华</w:t>
            </w:r>
          </w:p>
          <w:p w14:paraId="2788ED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赵玮</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D76A5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湖北人民出版社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4407FA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第1版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88F4E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2018年</w:t>
            </w:r>
          </w:p>
        </w:tc>
      </w:tr>
      <w:tr w14:paraId="2CC5AB9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E48F0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人力资源管理</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43A3729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《人力资源管理概论》</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7132A6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肖琳</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7BCE43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东北财经大学出版社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917AA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第3版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778D31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2022年</w:t>
            </w:r>
          </w:p>
        </w:tc>
      </w:tr>
      <w:tr w14:paraId="0A75745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1B8B0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旅游学概论</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93186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《旅游学概论：理论与创新》</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67E782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张春琳</w:t>
            </w:r>
          </w:p>
          <w:p w14:paraId="43A1FE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王远坤</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4638129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华中科技大学出版社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40F51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第1版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802B83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2023年</w:t>
            </w:r>
          </w:p>
        </w:tc>
      </w:tr>
      <w:tr w14:paraId="5E9D0558">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58FB0D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烹饪营养学</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9AD8A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《烹饪营养学》</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7CE19E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眭红卫</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D41EEA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华中科技大学出版社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686C1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第1版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C3E1F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2017年</w:t>
            </w:r>
          </w:p>
        </w:tc>
      </w:tr>
      <w:tr w14:paraId="22EB52A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587B5F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烹饪工艺学</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796DEC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《中式烹调工艺与实训》</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6D0487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姚春霞</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158B9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科学出版社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A8E28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第2版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5BFF5DB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2021年</w:t>
            </w:r>
          </w:p>
        </w:tc>
      </w:tr>
      <w:tr w14:paraId="6A564D9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3995C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电子商务概论</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106CB6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《电子商务概论》</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63EFF7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鲜军</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2D4FD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人民邮电出版社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CAC6E9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微课版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7645B50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2022年</w:t>
            </w:r>
          </w:p>
        </w:tc>
      </w:tr>
      <w:tr w14:paraId="2D32A44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86EA77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网络与新媒体理论</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E1558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《新媒体导论》</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4BB6DC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彭兰</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414D7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高等教育出版社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101A2A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第2版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8608E1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2023年</w:t>
            </w:r>
          </w:p>
        </w:tc>
      </w:tr>
      <w:tr w14:paraId="2FAF7D21">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4FECCC1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C语言程序设计</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503A4C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《C程序设计》</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757F02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谭浩强</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76CAC3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清华大学出版社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467E1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第5版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6794A2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2017年</w:t>
            </w:r>
          </w:p>
        </w:tc>
      </w:tr>
      <w:tr w14:paraId="7A085F0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AF0181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高等数学</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F3E66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《高等数学》（上）</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6B5ABB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余胜春</w:t>
            </w:r>
          </w:p>
          <w:p w14:paraId="320AB1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陈贵词</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1057147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科学出版社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78184D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第2版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3F2FB0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2021年</w:t>
            </w:r>
          </w:p>
        </w:tc>
      </w:tr>
      <w:tr w14:paraId="5FE7EA9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456" w:hRule="atLeast"/>
          <w:jc w:val="center"/>
        </w:trPr>
        <w:tc>
          <w:tcPr>
            <w:tcW w:w="115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526AD9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物流管理</w:t>
            </w:r>
          </w:p>
        </w:tc>
        <w:tc>
          <w:tcPr>
            <w:tcW w:w="19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098560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《物流管理》</w:t>
            </w:r>
          </w:p>
        </w:tc>
        <w:tc>
          <w:tcPr>
            <w:tcW w:w="547" w:type="pct"/>
            <w:tcBorders>
              <w:top w:val="nil"/>
              <w:left w:val="single" w:color="000000" w:sz="4" w:space="0"/>
              <w:bottom w:val="single" w:color="000000" w:sz="4" w:space="0"/>
              <w:right w:val="single" w:color="000000" w:sz="4" w:space="0"/>
            </w:tcBorders>
            <w:shd w:val="clear"/>
            <w:tcMar>
              <w:left w:w="84" w:type="dxa"/>
              <w:right w:w="84" w:type="dxa"/>
            </w:tcMar>
            <w:vAlign w:val="center"/>
          </w:tcPr>
          <w:p w14:paraId="75895B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刘明菲</w:t>
            </w:r>
          </w:p>
          <w:p w14:paraId="0C3D99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王怀林</w:t>
            </w:r>
          </w:p>
        </w:tc>
        <w:tc>
          <w:tcPr>
            <w:tcW w:w="1512"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677D46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科学出版社</w:t>
            </w:r>
          </w:p>
        </w:tc>
        <w:tc>
          <w:tcPr>
            <w:tcW w:w="1056"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736934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第1版</w:t>
            </w:r>
          </w:p>
        </w:tc>
        <w:tc>
          <w:tcPr>
            <w:tcW w:w="744" w:type="dxa"/>
            <w:tcBorders>
              <w:top w:val="nil"/>
              <w:left w:val="single" w:color="000000" w:sz="4" w:space="0"/>
              <w:bottom w:val="single" w:color="000000" w:sz="4" w:space="0"/>
              <w:right w:val="single" w:color="000000" w:sz="4" w:space="0"/>
            </w:tcBorders>
            <w:shd w:val="clear"/>
            <w:tcMar>
              <w:left w:w="84" w:type="dxa"/>
              <w:right w:w="84" w:type="dxa"/>
            </w:tcMar>
            <w:vAlign w:val="center"/>
          </w:tcPr>
          <w:p w14:paraId="2648E68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19" w:lineRule="atLeast"/>
              <w:ind w:left="0" w:right="0"/>
              <w:jc w:val="center"/>
              <w:textAlignment w:val="center"/>
              <w:rPr>
                <w:rFonts w:hint="default" w:ascii="Tahoma" w:hAnsi="Tahoma" w:eastAsia="Tahoma" w:cs="Tahoma"/>
                <w:color w:val="333333"/>
                <w:sz w:val="16"/>
                <w:szCs w:val="16"/>
              </w:rPr>
            </w:pPr>
            <w:r>
              <w:rPr>
                <w:rFonts w:hint="eastAsia" w:ascii="仿宋" w:hAnsi="仿宋" w:eastAsia="仿宋" w:cs="仿宋"/>
                <w:color w:val="333333"/>
                <w:kern w:val="0"/>
                <w:sz w:val="16"/>
                <w:szCs w:val="16"/>
                <w:bdr w:val="none" w:color="auto" w:sz="0" w:space="0"/>
                <w:lang w:val="en-US" w:eastAsia="zh-CN" w:bidi="ar"/>
              </w:rPr>
              <w:t>2008年</w:t>
            </w:r>
          </w:p>
        </w:tc>
      </w:tr>
    </w:tbl>
    <w:p w14:paraId="73E6AB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192" w:lineRule="atLeast"/>
        <w:ind w:left="0" w:right="0"/>
        <w:jc w:val="center"/>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 </w:t>
      </w:r>
    </w:p>
    <w:p w14:paraId="37DCDA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b/>
          <w:bCs/>
          <w:i w:val="0"/>
          <w:iCs w:val="0"/>
          <w:caps w:val="0"/>
          <w:color w:val="333333"/>
          <w:spacing w:val="0"/>
          <w:kern w:val="0"/>
          <w:sz w:val="22"/>
          <w:szCs w:val="22"/>
          <w:bdr w:val="none" w:color="auto" w:sz="0" w:space="0"/>
          <w:shd w:val="clear" w:fill="FFFFFF"/>
          <w:lang w:val="en-US" w:eastAsia="zh-CN" w:bidi="ar"/>
        </w:rPr>
        <w:t>2．</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打印准考证</w:t>
      </w:r>
    </w:p>
    <w:p w14:paraId="3F1EED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考生于4月23日-4月30日（8:00-16:00）登录学校专升本系统打印本人《准考证》。</w:t>
      </w:r>
    </w:p>
    <w:p w14:paraId="7D7350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3．考试</w:t>
      </w:r>
    </w:p>
    <w:p w14:paraId="669767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（1）4月30日全天考试，英语科目上午9:00-11:00进行，专业课科目考试、退役大学生士兵综合考查安排在4月30日下午进行，具体时间及其他考试安排详见《准考证》。考生必须持准考证和二代身份证原件参加考试。</w:t>
      </w:r>
    </w:p>
    <w:p w14:paraId="4EE0F0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（2）每场考试前，考生应提前90分钟到达指定位置。</w:t>
      </w:r>
    </w:p>
    <w:p w14:paraId="258BA3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（3）考生应诚信应考。如有违规违纪行为，我校将参照国家教育考试相关法律法规和学生管理规定进行处理，并将结果通报生源院校。对缺考科目或违纪科目，成绩以0分计。</w:t>
      </w:r>
    </w:p>
    <w:p w14:paraId="495324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4</w:t>
      </w: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．成绩发布</w:t>
      </w:r>
    </w:p>
    <w:p w14:paraId="1D59B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5月20日在学校专升本系统开放专业课和综合考查成绩查询，5月25日公布英语、专业课成绩及总成绩和综合考查成绩。专业课及综合考查成绩复查受理时间为5月20日，大学英语科目复查受理时间为5月25日，对成绩有异议需申请复核者，按专升本工作网站通知要求递交复核申请，复核结果将在专升本工作网站公布。</w:t>
      </w:r>
    </w:p>
    <w:p w14:paraId="36F34D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五、录取</w:t>
      </w:r>
    </w:p>
    <w:p w14:paraId="4DECB7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1．专项计划考生录取</w:t>
      </w:r>
    </w:p>
    <w:p w14:paraId="7A46AD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在普通考生录取前，先录取专项计划考生。按专项计划考生的公共课大学英语和专业课考试成绩之和分专业从高分到低分依次录取，直至完成专项计划。最后一名若出现总分相同情况，优先录取公共课成绩高的考生，公共课成绩仍相同，优先录取专业课1成绩高的考生。</w:t>
      </w:r>
    </w:p>
    <w:p w14:paraId="0F5C1E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（2）专项计划录取结束后，未被专项计划录取的专项计划考生，与普通考生一起参加普通考生计划的录取。</w:t>
      </w:r>
    </w:p>
    <w:p w14:paraId="09116F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2．普通计划考生录取</w:t>
      </w:r>
    </w:p>
    <w:p w14:paraId="4187AF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录取。根据考生公共课大学英语和专业课考试成绩之和，在普通考生计划内分专业从高分到低分依次录取。最后一名若出现总分相同情况，优先录取公共课成绩高的考生，公共课成绩仍相同，优先录取专业课</w:t>
      </w:r>
      <w:r>
        <w:rPr>
          <w:rFonts w:hint="default" w:ascii="Times New Roman" w:hAnsi="Times New Roman" w:eastAsia="仿宋" w:cs="Times New Roman"/>
          <w:i w:val="0"/>
          <w:iCs w:val="0"/>
          <w:caps w:val="0"/>
          <w:color w:val="333333"/>
          <w:spacing w:val="0"/>
          <w:kern w:val="0"/>
          <w:sz w:val="22"/>
          <w:szCs w:val="22"/>
          <w:bdr w:val="none" w:color="auto" w:sz="0" w:space="0"/>
          <w:shd w:val="clear" w:fill="FFFFFF"/>
          <w:lang w:val="en-US" w:eastAsia="zh-CN" w:bidi="ar"/>
        </w:rPr>
        <w:t>1</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成绩高的考生。</w:t>
      </w:r>
    </w:p>
    <w:p w14:paraId="31F69D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补录。第一轮录取结束后，如有未完成的普通考生计划，由湖北省教育厅统一在专升本报名平台公布。第一轮未被录取的考生，可根据我校补录工作的公告要求，在规定时间内参加补录报名。我校根据招生简章报考要求和考生公共课大学英语成绩，对报名参加补录的考生从高分到低分依次录取。第一轮已被录取的考生不得再参加补录报名。</w:t>
      </w:r>
    </w:p>
    <w:p w14:paraId="33D89B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3．退役大学生士兵录取</w:t>
      </w:r>
    </w:p>
    <w:p w14:paraId="1485E86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在退役大学生士兵计划内，按综合考查成绩从高分到低分依次录取；如计划未录满，则按照教育厅有关规定进行补录。第一轮已被录取的考生不得再参加补录报名。补录考查的具体形式与相关要求另行公告。</w:t>
      </w:r>
    </w:p>
    <w:p w14:paraId="1CEA4F2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对申请免综合考查的退役大学生士兵，学校经发函核验等程序进行资格审查后报省教育厅备案并办理相关录取手续。</w:t>
      </w:r>
    </w:p>
    <w:p w14:paraId="5B85E9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4．技能大赛免试考生录取</w:t>
      </w:r>
    </w:p>
    <w:p w14:paraId="503C4A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技能大赛免试考生，学校将根据省教育厅审核后反馈名单办理录取手续，办理时间与专升本录取工作同步。</w:t>
      </w:r>
    </w:p>
    <w:p w14:paraId="563B8A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5．公示</w:t>
      </w:r>
    </w:p>
    <w:p w14:paraId="2693B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5月下旬公示拟录取的普通专升本学生名单，公示期为7天，公示无异议后，学校将拟录取普通专升本学生名单报省教育厅复核备案。拟录取的普通专升本学生名单经教育厅复核备案后一律不得变更录取信息。</w:t>
      </w:r>
    </w:p>
    <w:p w14:paraId="25CD82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6．拟录取审核</w:t>
      </w:r>
    </w:p>
    <w:p w14:paraId="00D092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拟录取学生名单经省教育厅审核同意后，学校依据省专升本报名系统内填写的联系方式及联系地址向考生寄送录取通知书及入学报到须知，具体时间及要求将另行在学校官网通知。</w:t>
      </w:r>
    </w:p>
    <w:p w14:paraId="7A9D8D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68"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应届毕业生考生在2024年7月31日前未获得专科毕业证书的，取消录取资格。</w:t>
      </w:r>
    </w:p>
    <w:p w14:paraId="10DDB0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六、收费项目和标准</w:t>
      </w:r>
    </w:p>
    <w:p w14:paraId="1F8FB0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专升本报名考试费参照《湖北省物价局、湖北省财政厅关于规范教育招生考试收费有关问题的通知》（鄂价费〔2006〕107号）有关标准执行。专升本学生入学后的收费项目和标准与我校2024年同一专业全日制普通本科生一致。</w:t>
      </w:r>
    </w:p>
    <w:p w14:paraId="3DA875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92"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七、入学报到及学籍管理</w:t>
      </w:r>
    </w:p>
    <w:p w14:paraId="4828F5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1．入学。</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按专升本招生规定录取且经省教育厅备案的新生持本人身份证原件和复印件、录取通知书及本人专科毕业证原件和复印件（退役大学生士兵需同时携带退出现役证原件和复印件），按学校入学报到须知要求和规定的期限到校办理入学手续。因故不能按期入学者，应向学校招生办公室请假，未经请假或请假逾期者，视为放弃入学资格。学校将严格按照有关规定对新生进行入学资格复查，审查合格的办理入学手续，予以注册学籍；审查发现新生的录取通知、考生信息等证明材料与本人实际情况不符，或者有其他违反国家招生考试规定情形的，取消入学资格。退役大学生士兵凡录取后未报到、自行放弃入学资格的，此后不再享受免试专升本政策。</w:t>
      </w:r>
    </w:p>
    <w:p w14:paraId="254F02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2．培养。</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专升本学生（含退役大学生士兵）为普通全日制学生，学制2年，相关档案需转入学校，入学后不得转专业和转学。专升本学生原则上单独编班教学，确实无法单独编班的可安排插班教学。专升本学生按普通全日制本科学生的要求管理，按上级主管部门政策享受奖助学金。专升本学生就业，按国家普通全日制本科毕业生有关就业政策执行。</w:t>
      </w:r>
    </w:p>
    <w:p w14:paraId="43FFF3A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Style w:val="7"/>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3．毕业证书。</w:t>
      </w: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专升本学生修完本科教学计划规定的内容达到毕业要求的，颁发本科毕业证书，其毕业证书上标注“在本校XX专业专科起点本科学习”，学习时间按进入本科阶段学习和颁发毕业证书实际时间填写。达到学校学位授予要求的，可申请授予相应学士学位。</w:t>
      </w:r>
    </w:p>
    <w:p w14:paraId="6823D5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黑体" w:hAnsi="宋体" w:eastAsia="黑体" w:cs="黑体"/>
          <w:i w:val="0"/>
          <w:iCs w:val="0"/>
          <w:caps w:val="0"/>
          <w:color w:val="333333"/>
          <w:spacing w:val="0"/>
          <w:kern w:val="0"/>
          <w:sz w:val="22"/>
          <w:szCs w:val="22"/>
          <w:bdr w:val="none" w:color="auto" w:sz="0" w:space="0"/>
          <w:shd w:val="clear" w:fill="FFFFFF"/>
          <w:lang w:val="en-US" w:eastAsia="zh-CN" w:bidi="ar"/>
        </w:rPr>
        <w:t>八、联系方式</w:t>
      </w:r>
    </w:p>
    <w:p w14:paraId="021A52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学校专升本工作网址：http://zs.hbue.edu.cn</w:t>
      </w:r>
    </w:p>
    <w:p w14:paraId="07772E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咨询时间：工作日上午8:30-11：30，下午14:00-16:30</w:t>
      </w:r>
    </w:p>
    <w:p w14:paraId="558C7B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咨询电话：027-81973717  咨询QQ群：478315758</w:t>
      </w:r>
    </w:p>
    <w:p w14:paraId="4C6847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72" w:afterAutospacing="0" w:line="480" w:lineRule="atLeast"/>
        <w:ind w:left="0" w:right="0" w:firstLine="444"/>
        <w:jc w:val="lef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投诉电话：027-81973946 </w:t>
      </w:r>
    </w:p>
    <w:p w14:paraId="496ABAE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72" w:afterAutospacing="0" w:line="468" w:lineRule="atLeast"/>
        <w:ind w:left="0" w:right="0" w:firstLine="444"/>
        <w:jc w:val="right"/>
        <w:rPr>
          <w:rFonts w:hint="default" w:ascii="Tahoma" w:hAnsi="Tahoma" w:eastAsia="Tahoma" w:cs="Tahoma"/>
          <w:color w:val="333333"/>
          <w:sz w:val="16"/>
          <w:szCs w:val="16"/>
        </w:rPr>
      </w:pPr>
      <w:r>
        <w:rPr>
          <w:rFonts w:hint="eastAsia" w:ascii="仿宋" w:hAnsi="仿宋" w:eastAsia="仿宋" w:cs="仿宋"/>
          <w:i w:val="0"/>
          <w:iCs w:val="0"/>
          <w:caps w:val="0"/>
          <w:color w:val="333333"/>
          <w:spacing w:val="0"/>
          <w:kern w:val="0"/>
          <w:sz w:val="22"/>
          <w:szCs w:val="22"/>
          <w:bdr w:val="none" w:color="auto" w:sz="0" w:space="0"/>
          <w:shd w:val="clear" w:fill="FFFFFF"/>
          <w:lang w:val="en-US" w:eastAsia="zh-CN" w:bidi="ar"/>
        </w:rPr>
        <w:t>湖北经济学院</w:t>
      </w:r>
    </w:p>
    <w:p w14:paraId="3969C4A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hkYWRkZTQxYmFhNGQ5NzkwYjJhMDcxNjQxOGMzNDIifQ=="/>
  </w:docVars>
  <w:rsids>
    <w:rsidRoot w:val="764A11FC"/>
    <w:rsid w:val="764A11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GI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2026-03-30T10:39:00Z</dcterms:created>
  <dc:creator>墨染成画</dc:creator>
  <cp:lastModifiedBy>墨染成画</cp:lastModifiedBy>
  <dcterms:modified xsi:type="dcterms:W3CDTF">2026-03-30T10:39:17Z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5D4F9B4A71C2418FB10D683912164F36_11</vt:lpwstr>
  </property>
</Properties>
</file>