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6EB2" w14:textId="77777777" w:rsidR="00CC76EE" w:rsidRPr="00694263" w:rsidRDefault="00671F7F" w:rsidP="000A056B">
      <w:pPr>
        <w:jc w:val="both"/>
        <w:rPr>
          <w:b/>
          <w:bCs/>
          <w:sz w:val="28"/>
          <w:szCs w:val="28"/>
          <w:u w:val="single"/>
        </w:rPr>
      </w:pPr>
      <w:r w:rsidRPr="00694263">
        <w:rPr>
          <w:b/>
          <w:bCs/>
          <w:sz w:val="28"/>
          <w:szCs w:val="28"/>
          <w:u w:val="single"/>
        </w:rPr>
        <w:t>KEY CONSIDERATION POINTS</w:t>
      </w:r>
      <w:r w:rsidR="00694263">
        <w:rPr>
          <w:b/>
          <w:bCs/>
          <w:sz w:val="28"/>
          <w:szCs w:val="28"/>
          <w:u w:val="single"/>
        </w:rPr>
        <w:t xml:space="preserve"> FOR CHARITY SELECTION</w:t>
      </w:r>
    </w:p>
    <w:p w14:paraId="7DEA6785" w14:textId="77777777" w:rsidR="00671F7F" w:rsidRPr="00694263" w:rsidRDefault="00671F7F" w:rsidP="000A056B">
      <w:pPr>
        <w:jc w:val="both"/>
        <w:rPr>
          <w:i/>
          <w:iCs/>
          <w:sz w:val="24"/>
          <w:szCs w:val="24"/>
        </w:rPr>
      </w:pPr>
      <w:r w:rsidRPr="00694263">
        <w:rPr>
          <w:i/>
          <w:iCs/>
          <w:sz w:val="24"/>
          <w:szCs w:val="24"/>
        </w:rPr>
        <w:t>Based on empirical insights and information gathered from a few reputed sources (</w:t>
      </w:r>
      <w:r w:rsidRPr="00694263">
        <w:rPr>
          <w:b/>
          <w:bCs/>
          <w:i/>
          <w:iCs/>
          <w:sz w:val="24"/>
          <w:szCs w:val="24"/>
        </w:rPr>
        <w:t>ACNC, DSS, ABC News</w:t>
      </w:r>
      <w:r w:rsidRPr="00694263">
        <w:rPr>
          <w:i/>
          <w:iCs/>
          <w:sz w:val="24"/>
          <w:szCs w:val="24"/>
        </w:rPr>
        <w:t>, etc).</w:t>
      </w:r>
    </w:p>
    <w:p w14:paraId="249256C0" w14:textId="77777777" w:rsidR="00671F7F" w:rsidRPr="000A056B" w:rsidRDefault="00671F7F" w:rsidP="000A05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056B">
        <w:rPr>
          <w:sz w:val="24"/>
          <w:szCs w:val="24"/>
        </w:rPr>
        <w:t xml:space="preserve">The charity should be based in </w:t>
      </w:r>
      <w:r w:rsidRPr="00694263">
        <w:rPr>
          <w:b/>
          <w:bCs/>
          <w:i/>
          <w:iCs/>
          <w:sz w:val="24"/>
          <w:szCs w:val="24"/>
        </w:rPr>
        <w:t>Victoria</w:t>
      </w:r>
      <w:r w:rsidRPr="00694263">
        <w:rPr>
          <w:b/>
          <w:bCs/>
          <w:sz w:val="24"/>
          <w:szCs w:val="24"/>
        </w:rPr>
        <w:t xml:space="preserve"> </w:t>
      </w:r>
      <w:r w:rsidRPr="000A056B">
        <w:rPr>
          <w:sz w:val="24"/>
          <w:szCs w:val="24"/>
        </w:rPr>
        <w:t xml:space="preserve">so that we can visit it </w:t>
      </w:r>
      <w:r w:rsidRPr="00694263">
        <w:rPr>
          <w:b/>
          <w:bCs/>
          <w:i/>
          <w:iCs/>
          <w:sz w:val="24"/>
          <w:szCs w:val="24"/>
        </w:rPr>
        <w:t>in-person</w:t>
      </w:r>
      <w:r w:rsidRPr="000A056B">
        <w:rPr>
          <w:sz w:val="24"/>
          <w:szCs w:val="24"/>
        </w:rPr>
        <w:t xml:space="preserve"> and talk to a few members of the </w:t>
      </w:r>
      <w:r w:rsidRPr="00694263">
        <w:rPr>
          <w:b/>
          <w:bCs/>
          <w:i/>
          <w:iCs/>
          <w:sz w:val="24"/>
          <w:szCs w:val="24"/>
        </w:rPr>
        <w:t>community/organization</w:t>
      </w:r>
      <w:r w:rsidRPr="000A056B">
        <w:rPr>
          <w:sz w:val="24"/>
          <w:szCs w:val="24"/>
        </w:rPr>
        <w:t xml:space="preserve"> to learn more about them and the work that is being done.</w:t>
      </w:r>
    </w:p>
    <w:p w14:paraId="1D16B9ED" w14:textId="77777777" w:rsidR="00671F7F" w:rsidRPr="000A056B" w:rsidRDefault="00671F7F" w:rsidP="000A05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056B">
        <w:rPr>
          <w:sz w:val="24"/>
          <w:szCs w:val="24"/>
        </w:rPr>
        <w:t xml:space="preserve">It should be officially </w:t>
      </w:r>
      <w:r w:rsidRPr="00694263">
        <w:rPr>
          <w:b/>
          <w:bCs/>
          <w:i/>
          <w:iCs/>
          <w:sz w:val="24"/>
          <w:szCs w:val="24"/>
        </w:rPr>
        <w:t>registered</w:t>
      </w:r>
      <w:r w:rsidRPr="000A056B">
        <w:rPr>
          <w:sz w:val="24"/>
          <w:szCs w:val="24"/>
        </w:rPr>
        <w:t xml:space="preserve"> in Australia, have </w:t>
      </w:r>
      <w:r w:rsidRPr="00694263">
        <w:rPr>
          <w:b/>
          <w:bCs/>
          <w:i/>
          <w:iCs/>
          <w:sz w:val="24"/>
          <w:szCs w:val="24"/>
        </w:rPr>
        <w:t>great reviews</w:t>
      </w:r>
      <w:r w:rsidRPr="000A056B">
        <w:rPr>
          <w:sz w:val="24"/>
          <w:szCs w:val="24"/>
        </w:rPr>
        <w:t xml:space="preserve"> (online and/or offline (word-of-mouth)) and should also have some </w:t>
      </w:r>
      <w:r w:rsidRPr="00694263">
        <w:rPr>
          <w:b/>
          <w:bCs/>
          <w:i/>
          <w:iCs/>
          <w:sz w:val="24"/>
          <w:szCs w:val="24"/>
        </w:rPr>
        <w:t>performance records</w:t>
      </w:r>
      <w:r w:rsidRPr="000A056B">
        <w:rPr>
          <w:sz w:val="24"/>
          <w:szCs w:val="24"/>
        </w:rPr>
        <w:t xml:space="preserve"> </w:t>
      </w:r>
      <w:r w:rsidR="000A056B" w:rsidRPr="000A056B">
        <w:rPr>
          <w:sz w:val="24"/>
          <w:szCs w:val="24"/>
        </w:rPr>
        <w:t xml:space="preserve">related documents </w:t>
      </w:r>
      <w:r w:rsidRPr="000A056B">
        <w:rPr>
          <w:sz w:val="24"/>
          <w:szCs w:val="24"/>
        </w:rPr>
        <w:t xml:space="preserve">available for perusal like </w:t>
      </w:r>
      <w:r w:rsidRPr="00694263">
        <w:rPr>
          <w:i/>
          <w:iCs/>
          <w:sz w:val="24"/>
          <w:szCs w:val="24"/>
        </w:rPr>
        <w:t>annual reports</w:t>
      </w:r>
      <w:r w:rsidRPr="000A056B">
        <w:rPr>
          <w:sz w:val="24"/>
          <w:szCs w:val="24"/>
        </w:rPr>
        <w:t>, etc.</w:t>
      </w:r>
    </w:p>
    <w:p w14:paraId="0BE77917" w14:textId="1C2C1A4E" w:rsidR="00671F7F" w:rsidRPr="000A056B" w:rsidRDefault="00671F7F" w:rsidP="000A05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056B">
        <w:rPr>
          <w:sz w:val="24"/>
          <w:szCs w:val="24"/>
        </w:rPr>
        <w:t xml:space="preserve">It should be working for the welfare of one of the </w:t>
      </w:r>
      <w:r w:rsidRPr="00694263">
        <w:rPr>
          <w:b/>
          <w:bCs/>
          <w:i/>
          <w:iCs/>
          <w:sz w:val="24"/>
          <w:szCs w:val="24"/>
        </w:rPr>
        <w:t>most vulnerable</w:t>
      </w:r>
      <w:r w:rsidRPr="000A056B">
        <w:rPr>
          <w:sz w:val="24"/>
          <w:szCs w:val="24"/>
        </w:rPr>
        <w:t xml:space="preserve"> and </w:t>
      </w:r>
      <w:r w:rsidRPr="00694263">
        <w:rPr>
          <w:b/>
          <w:bCs/>
          <w:i/>
          <w:iCs/>
          <w:sz w:val="24"/>
          <w:szCs w:val="24"/>
        </w:rPr>
        <w:t xml:space="preserve">needy </w:t>
      </w:r>
      <w:r w:rsidRPr="000A056B">
        <w:rPr>
          <w:sz w:val="24"/>
          <w:szCs w:val="24"/>
        </w:rPr>
        <w:t xml:space="preserve">sectors of the society like </w:t>
      </w:r>
      <w:r w:rsidRPr="00694263">
        <w:rPr>
          <w:b/>
          <w:bCs/>
          <w:i/>
          <w:iCs/>
          <w:sz w:val="24"/>
          <w:szCs w:val="24"/>
        </w:rPr>
        <w:t>poor and homeless people</w:t>
      </w:r>
      <w:r w:rsidRPr="000A056B">
        <w:rPr>
          <w:sz w:val="24"/>
          <w:szCs w:val="24"/>
        </w:rPr>
        <w:t xml:space="preserve"> (mentally and economically vulnerable) </w:t>
      </w:r>
      <w:r w:rsidRPr="00694263">
        <w:rPr>
          <w:b/>
          <w:bCs/>
          <w:i/>
          <w:iCs/>
          <w:sz w:val="24"/>
          <w:szCs w:val="24"/>
        </w:rPr>
        <w:t>with severe disabilities</w:t>
      </w:r>
      <w:r w:rsidRPr="000A056B">
        <w:rPr>
          <w:sz w:val="24"/>
          <w:szCs w:val="24"/>
        </w:rPr>
        <w:t xml:space="preserve"> (physically vulnerable</w:t>
      </w:r>
      <w:r w:rsidR="005D371F">
        <w:rPr>
          <w:sz w:val="24"/>
          <w:szCs w:val="24"/>
        </w:rPr>
        <w:t xml:space="preserve"> too</w:t>
      </w:r>
      <w:r w:rsidRPr="000A056B">
        <w:rPr>
          <w:sz w:val="24"/>
          <w:szCs w:val="24"/>
        </w:rPr>
        <w:t>)</w:t>
      </w:r>
      <w:r w:rsidR="000A056B" w:rsidRPr="000A056B">
        <w:rPr>
          <w:sz w:val="24"/>
          <w:szCs w:val="24"/>
        </w:rPr>
        <w:t>.</w:t>
      </w:r>
    </w:p>
    <w:p w14:paraId="4A1D1F7A" w14:textId="38EBD2F8" w:rsidR="000A056B" w:rsidRPr="000A056B" w:rsidRDefault="000A056B" w:rsidP="000A056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056B">
        <w:rPr>
          <w:sz w:val="24"/>
          <w:szCs w:val="24"/>
        </w:rPr>
        <w:t xml:space="preserve">The charity should be established </w:t>
      </w:r>
      <w:r w:rsidRPr="00694263">
        <w:rPr>
          <w:b/>
          <w:bCs/>
          <w:i/>
          <w:iCs/>
          <w:sz w:val="24"/>
          <w:szCs w:val="24"/>
        </w:rPr>
        <w:t>before 2013</w:t>
      </w:r>
      <w:r w:rsidRPr="000A056B">
        <w:rPr>
          <w:sz w:val="24"/>
          <w:szCs w:val="24"/>
        </w:rPr>
        <w:t xml:space="preserve">. </w:t>
      </w:r>
      <w:r w:rsidR="00D4335E">
        <w:rPr>
          <w:sz w:val="24"/>
          <w:szCs w:val="24"/>
        </w:rPr>
        <w:t>I</w:t>
      </w:r>
      <w:r w:rsidRPr="000A056B">
        <w:rPr>
          <w:sz w:val="24"/>
          <w:szCs w:val="24"/>
        </w:rPr>
        <w:t xml:space="preserve">n other words, it should be in existence for </w:t>
      </w:r>
      <w:r w:rsidRPr="00694263">
        <w:rPr>
          <w:b/>
          <w:bCs/>
          <w:i/>
          <w:iCs/>
          <w:sz w:val="24"/>
          <w:szCs w:val="24"/>
        </w:rPr>
        <w:t>atleast 10 years</w:t>
      </w:r>
      <w:r w:rsidRPr="000A056B">
        <w:rPr>
          <w:sz w:val="24"/>
          <w:szCs w:val="24"/>
        </w:rPr>
        <w:t xml:space="preserve"> with a </w:t>
      </w:r>
      <w:r w:rsidRPr="00694263">
        <w:rPr>
          <w:b/>
          <w:bCs/>
          <w:i/>
          <w:iCs/>
          <w:sz w:val="24"/>
          <w:szCs w:val="24"/>
        </w:rPr>
        <w:t>proven track record</w:t>
      </w:r>
      <w:r w:rsidRPr="000A056B">
        <w:rPr>
          <w:sz w:val="24"/>
          <w:szCs w:val="24"/>
        </w:rPr>
        <w:t xml:space="preserve"> of doing remarkable noble deeds for the </w:t>
      </w:r>
      <w:r w:rsidRPr="00694263">
        <w:rPr>
          <w:b/>
          <w:bCs/>
          <w:i/>
          <w:iCs/>
          <w:sz w:val="24"/>
          <w:szCs w:val="24"/>
        </w:rPr>
        <w:t>betterment</w:t>
      </w:r>
      <w:r w:rsidRPr="000A056B">
        <w:rPr>
          <w:sz w:val="24"/>
          <w:szCs w:val="24"/>
        </w:rPr>
        <w:t xml:space="preserve"> and </w:t>
      </w:r>
      <w:r w:rsidRPr="00694263">
        <w:rPr>
          <w:b/>
          <w:bCs/>
          <w:i/>
          <w:iCs/>
          <w:sz w:val="24"/>
          <w:szCs w:val="24"/>
        </w:rPr>
        <w:t>upliftment</w:t>
      </w:r>
      <w:r w:rsidRPr="000A056B">
        <w:rPr>
          <w:sz w:val="24"/>
          <w:szCs w:val="24"/>
        </w:rPr>
        <w:t xml:space="preserve"> of the people.</w:t>
      </w:r>
    </w:p>
    <w:p w14:paraId="5D42109A" w14:textId="3AA4FD4E" w:rsidR="00C92E97" w:rsidRPr="00C92E97" w:rsidRDefault="000A056B" w:rsidP="00C92E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056B">
        <w:rPr>
          <w:sz w:val="24"/>
          <w:szCs w:val="24"/>
        </w:rPr>
        <w:t>If it is fully or largely funded</w:t>
      </w:r>
      <w:r w:rsidR="004F008B">
        <w:rPr>
          <w:sz w:val="24"/>
          <w:szCs w:val="24"/>
        </w:rPr>
        <w:t xml:space="preserve"> and looked after</w:t>
      </w:r>
      <w:r w:rsidRPr="000A056B">
        <w:rPr>
          <w:sz w:val="24"/>
          <w:szCs w:val="24"/>
        </w:rPr>
        <w:t xml:space="preserve"> by the central or state government then perhaps there isn’t </w:t>
      </w:r>
      <w:r w:rsidR="00694263">
        <w:rPr>
          <w:sz w:val="24"/>
          <w:szCs w:val="24"/>
        </w:rPr>
        <w:t>a lot</w:t>
      </w:r>
      <w:r w:rsidR="003B0581">
        <w:rPr>
          <w:sz w:val="24"/>
          <w:szCs w:val="24"/>
        </w:rPr>
        <w:t xml:space="preserve"> that can be done</w:t>
      </w:r>
      <w:r w:rsidRPr="000A056B">
        <w:rPr>
          <w:sz w:val="24"/>
          <w:szCs w:val="24"/>
        </w:rPr>
        <w:t xml:space="preserve"> to add substantial value. However, if there is </w:t>
      </w:r>
      <w:r w:rsidRPr="00694263">
        <w:rPr>
          <w:b/>
          <w:bCs/>
          <w:i/>
          <w:iCs/>
          <w:sz w:val="24"/>
          <w:szCs w:val="24"/>
        </w:rPr>
        <w:t>limited, inadequate or no funding from the government</w:t>
      </w:r>
      <w:r w:rsidRPr="000A056B">
        <w:rPr>
          <w:sz w:val="24"/>
          <w:szCs w:val="24"/>
        </w:rPr>
        <w:t xml:space="preserve"> </w:t>
      </w:r>
      <w:r w:rsidR="005D371F">
        <w:rPr>
          <w:sz w:val="24"/>
          <w:szCs w:val="24"/>
        </w:rPr>
        <w:t xml:space="preserve">(generally the </w:t>
      </w:r>
      <w:r w:rsidR="005D371F" w:rsidRPr="005D371F">
        <w:rPr>
          <w:b/>
          <w:bCs/>
          <w:i/>
          <w:iCs/>
          <w:sz w:val="24"/>
          <w:szCs w:val="24"/>
        </w:rPr>
        <w:t>small</w:t>
      </w:r>
      <w:r w:rsidR="005D371F">
        <w:rPr>
          <w:sz w:val="24"/>
          <w:szCs w:val="24"/>
        </w:rPr>
        <w:t xml:space="preserve"> and </w:t>
      </w:r>
      <w:r w:rsidR="005D371F" w:rsidRPr="005D371F">
        <w:rPr>
          <w:b/>
          <w:bCs/>
          <w:i/>
          <w:iCs/>
          <w:sz w:val="24"/>
          <w:szCs w:val="24"/>
        </w:rPr>
        <w:t>medium</w:t>
      </w:r>
      <w:r w:rsidR="00D4335E">
        <w:rPr>
          <w:b/>
          <w:bCs/>
          <w:sz w:val="24"/>
          <w:szCs w:val="24"/>
        </w:rPr>
        <w:t>-</w:t>
      </w:r>
      <w:r w:rsidR="005D371F">
        <w:rPr>
          <w:sz w:val="24"/>
          <w:szCs w:val="24"/>
        </w:rPr>
        <w:t xml:space="preserve">sized </w:t>
      </w:r>
      <w:r w:rsidR="004F008B">
        <w:rPr>
          <w:sz w:val="24"/>
          <w:szCs w:val="24"/>
        </w:rPr>
        <w:t xml:space="preserve">non-profit </w:t>
      </w:r>
      <w:r w:rsidR="003B0581">
        <w:rPr>
          <w:sz w:val="24"/>
          <w:szCs w:val="24"/>
        </w:rPr>
        <w:t xml:space="preserve">charity </w:t>
      </w:r>
      <w:r w:rsidR="005D371F">
        <w:rPr>
          <w:sz w:val="24"/>
          <w:szCs w:val="24"/>
        </w:rPr>
        <w:t xml:space="preserve">organizations) </w:t>
      </w:r>
      <w:r w:rsidRPr="000A056B">
        <w:rPr>
          <w:sz w:val="24"/>
          <w:szCs w:val="24"/>
        </w:rPr>
        <w:t xml:space="preserve">then we must focus our time and attention </w:t>
      </w:r>
      <w:r w:rsidR="00D4335E">
        <w:rPr>
          <w:sz w:val="24"/>
          <w:szCs w:val="24"/>
        </w:rPr>
        <w:t>on</w:t>
      </w:r>
      <w:r w:rsidRPr="000A056B">
        <w:rPr>
          <w:sz w:val="24"/>
          <w:szCs w:val="24"/>
        </w:rPr>
        <w:t xml:space="preserve"> those organizations</w:t>
      </w:r>
      <w:r w:rsidR="004F008B">
        <w:rPr>
          <w:sz w:val="24"/>
          <w:szCs w:val="24"/>
        </w:rPr>
        <w:t xml:space="preserve"> that genuinely need massive public support</w:t>
      </w:r>
      <w:r w:rsidRPr="000A056B">
        <w:rPr>
          <w:sz w:val="24"/>
          <w:szCs w:val="24"/>
        </w:rPr>
        <w:t>.</w:t>
      </w:r>
    </w:p>
    <w:p w14:paraId="06A422BA" w14:textId="0F4AFD31" w:rsidR="00C92E97" w:rsidRPr="004F008B" w:rsidRDefault="00C92E97" w:rsidP="00C92E97">
      <w:pPr>
        <w:jc w:val="both"/>
        <w:rPr>
          <w:b/>
          <w:bCs/>
          <w:sz w:val="24"/>
          <w:szCs w:val="24"/>
          <w:u w:val="single"/>
        </w:rPr>
      </w:pPr>
      <w:r w:rsidRPr="004F008B">
        <w:rPr>
          <w:b/>
          <w:bCs/>
          <w:sz w:val="24"/>
          <w:szCs w:val="24"/>
          <w:u w:val="single"/>
        </w:rPr>
        <w:t>CHARIT</w:t>
      </w:r>
      <w:r w:rsidR="00CA103F">
        <w:rPr>
          <w:b/>
          <w:bCs/>
          <w:sz w:val="24"/>
          <w:szCs w:val="24"/>
          <w:u w:val="single"/>
        </w:rPr>
        <w:t>IES</w:t>
      </w:r>
      <w:r w:rsidRPr="004F008B">
        <w:rPr>
          <w:b/>
          <w:bCs/>
          <w:sz w:val="24"/>
          <w:szCs w:val="24"/>
          <w:u w:val="single"/>
        </w:rPr>
        <w:t xml:space="preserve"> CHOSEN</w:t>
      </w:r>
      <w:r w:rsidR="003B0581">
        <w:rPr>
          <w:b/>
          <w:bCs/>
          <w:sz w:val="24"/>
          <w:szCs w:val="24"/>
          <w:u w:val="single"/>
        </w:rPr>
        <w:t xml:space="preserve"> BASED ON THE AFORESAID PARAMETERS</w:t>
      </w:r>
      <w:r w:rsidRPr="004F008B">
        <w:rPr>
          <w:b/>
          <w:bCs/>
          <w:sz w:val="24"/>
          <w:szCs w:val="24"/>
          <w:u w:val="single"/>
        </w:rPr>
        <w:t xml:space="preserve">: </w:t>
      </w:r>
    </w:p>
    <w:p w14:paraId="0FD8A494" w14:textId="50CBEA19" w:rsidR="00C92E97" w:rsidRPr="00C92E97" w:rsidRDefault="00C92E97" w:rsidP="00C92E97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</w:rPr>
      </w:pPr>
      <w:r w:rsidRPr="00C92E97">
        <w:rPr>
          <w:b/>
          <w:bCs/>
          <w:i/>
          <w:iCs/>
          <w:sz w:val="24"/>
          <w:szCs w:val="24"/>
        </w:rPr>
        <w:t xml:space="preserve">NewHope Community Care </w:t>
      </w:r>
      <w:r w:rsidRPr="00C92E97">
        <w:rPr>
          <w:i/>
          <w:iCs/>
          <w:sz w:val="24"/>
          <w:szCs w:val="24"/>
        </w:rPr>
        <w:t>(Blackburn North)</w:t>
      </w:r>
    </w:p>
    <w:p w14:paraId="0C199E90" w14:textId="7ED3F4C4" w:rsidR="00C92E97" w:rsidRPr="00C92E97" w:rsidRDefault="00D779D5" w:rsidP="00C92E97">
      <w:pPr>
        <w:pStyle w:val="ListParagraph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Diamond Valley Community Support</w:t>
      </w:r>
      <w:r w:rsidR="00C92E97">
        <w:rPr>
          <w:b/>
          <w:bCs/>
          <w:i/>
          <w:iCs/>
          <w:sz w:val="24"/>
          <w:szCs w:val="24"/>
        </w:rPr>
        <w:t xml:space="preserve"> </w:t>
      </w:r>
      <w:r w:rsidR="00C92E97" w:rsidRPr="00C92E97">
        <w:rPr>
          <w:i/>
          <w:iCs/>
          <w:sz w:val="24"/>
          <w:szCs w:val="24"/>
        </w:rPr>
        <w:t>(</w:t>
      </w:r>
      <w:r>
        <w:rPr>
          <w:i/>
          <w:iCs/>
          <w:sz w:val="24"/>
          <w:szCs w:val="24"/>
        </w:rPr>
        <w:t>Greensborough</w:t>
      </w:r>
      <w:r w:rsidR="00C92E97" w:rsidRPr="00C92E97">
        <w:rPr>
          <w:i/>
          <w:iCs/>
          <w:sz w:val="24"/>
          <w:szCs w:val="24"/>
        </w:rPr>
        <w:t>)</w:t>
      </w:r>
    </w:p>
    <w:p w14:paraId="6BBF9654" w14:textId="77777777" w:rsidR="00394EE2" w:rsidRDefault="00394EE2" w:rsidP="00394EE2">
      <w:pPr>
        <w:jc w:val="both"/>
        <w:rPr>
          <w:sz w:val="24"/>
          <w:szCs w:val="24"/>
        </w:rPr>
      </w:pPr>
    </w:p>
    <w:p w14:paraId="2FF71279" w14:textId="77777777" w:rsidR="00694263" w:rsidRDefault="00694263" w:rsidP="00394EE2">
      <w:pPr>
        <w:tabs>
          <w:tab w:val="left" w:pos="1965"/>
        </w:tabs>
        <w:jc w:val="both"/>
        <w:rPr>
          <w:b/>
          <w:bCs/>
          <w:sz w:val="28"/>
          <w:szCs w:val="28"/>
          <w:u w:val="single"/>
        </w:rPr>
      </w:pPr>
      <w:r w:rsidRPr="00694263">
        <w:rPr>
          <w:b/>
          <w:bCs/>
          <w:sz w:val="28"/>
          <w:szCs w:val="28"/>
          <w:u w:val="single"/>
        </w:rPr>
        <w:t>REFERENCES</w:t>
      </w:r>
    </w:p>
    <w:p w14:paraId="348C6C79" w14:textId="77777777" w:rsidR="00394EE2" w:rsidRPr="00394EE2" w:rsidRDefault="00394EE2" w:rsidP="00394EE2">
      <w:pPr>
        <w:pStyle w:val="EndNoteBibliography"/>
        <w:spacing w:after="120"/>
        <w:ind w:left="720" w:hanging="720"/>
        <w:rPr>
          <w:sz w:val="24"/>
          <w:szCs w:val="24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ADDIN EN.REFLIST </w:instrText>
      </w:r>
      <w:r>
        <w:rPr>
          <w:sz w:val="28"/>
          <w:szCs w:val="28"/>
        </w:rPr>
        <w:fldChar w:fldCharType="separate"/>
      </w:r>
      <w:r w:rsidRPr="00394EE2">
        <w:rPr>
          <w:sz w:val="24"/>
          <w:szCs w:val="24"/>
        </w:rPr>
        <w:t xml:space="preserve">ABC. (2023). Support workers are in short supply. Meet the people stepping up to care for the most vulnerable. Retrieved from: </w:t>
      </w:r>
      <w:hyperlink r:id="rId7" w:history="1">
        <w:r w:rsidRPr="00394EE2">
          <w:rPr>
            <w:rStyle w:val="Hyperlink"/>
            <w:sz w:val="24"/>
            <w:szCs w:val="24"/>
          </w:rPr>
          <w:t>https://www.abc.net.au/news/2023-08-23/training-support-workers-mackay/102708090</w:t>
        </w:r>
      </w:hyperlink>
    </w:p>
    <w:p w14:paraId="0A2A207F" w14:textId="77777777" w:rsidR="00394EE2" w:rsidRPr="00394EE2" w:rsidRDefault="00394EE2" w:rsidP="00394EE2">
      <w:pPr>
        <w:pStyle w:val="EndNoteBibliography"/>
        <w:spacing w:after="120"/>
        <w:ind w:left="720" w:hanging="720"/>
        <w:rPr>
          <w:sz w:val="24"/>
          <w:szCs w:val="24"/>
        </w:rPr>
      </w:pPr>
      <w:r w:rsidRPr="00394EE2">
        <w:rPr>
          <w:sz w:val="24"/>
          <w:szCs w:val="24"/>
        </w:rPr>
        <w:t xml:space="preserve">Alliance, E. A. (2022). 4 Factors to Consider When Deciding What Charity to Give to. Retrieved from: </w:t>
      </w:r>
      <w:hyperlink r:id="rId8" w:history="1">
        <w:r w:rsidRPr="00394EE2">
          <w:rPr>
            <w:rStyle w:val="Hyperlink"/>
            <w:sz w:val="24"/>
            <w:szCs w:val="24"/>
          </w:rPr>
          <w:t>https://emergencyaction.org.au/eaa-2021/posts/4-factors-to-consider-when-deciding-what-charity-to-give-to</w:t>
        </w:r>
      </w:hyperlink>
    </w:p>
    <w:p w14:paraId="0D2D6701" w14:textId="77777777" w:rsidR="00394EE2" w:rsidRPr="00394EE2" w:rsidRDefault="00394EE2" w:rsidP="00394EE2">
      <w:pPr>
        <w:pStyle w:val="EndNoteBibliography"/>
        <w:spacing w:after="120"/>
        <w:ind w:left="720" w:hanging="720"/>
        <w:rPr>
          <w:sz w:val="24"/>
          <w:szCs w:val="24"/>
        </w:rPr>
      </w:pPr>
      <w:r w:rsidRPr="00394EE2">
        <w:rPr>
          <w:sz w:val="24"/>
          <w:szCs w:val="24"/>
        </w:rPr>
        <w:t xml:space="preserve">Army, T. S. Vulnerable Groups. Retrieved from:  </w:t>
      </w:r>
      <w:hyperlink r:id="rId9" w:history="1">
        <w:r w:rsidRPr="00394EE2">
          <w:rPr>
            <w:rStyle w:val="Hyperlink"/>
            <w:sz w:val="24"/>
            <w:szCs w:val="24"/>
          </w:rPr>
          <w:t>https://www.salvationarmy.org.au/need-help/family-and-domestic-violence/learn-more-about-domestic-violence/vulnerable-groups/</w:t>
        </w:r>
      </w:hyperlink>
    </w:p>
    <w:p w14:paraId="21D5540D" w14:textId="77777777" w:rsidR="00394EE2" w:rsidRPr="00394EE2" w:rsidRDefault="00394EE2" w:rsidP="00394EE2">
      <w:pPr>
        <w:pStyle w:val="EndNoteBibliography"/>
        <w:spacing w:after="120"/>
        <w:ind w:left="720" w:hanging="720"/>
        <w:rPr>
          <w:sz w:val="24"/>
          <w:szCs w:val="24"/>
        </w:rPr>
      </w:pPr>
      <w:r w:rsidRPr="00394EE2">
        <w:rPr>
          <w:sz w:val="24"/>
          <w:szCs w:val="24"/>
        </w:rPr>
        <w:fldChar w:fldCharType="begin"/>
      </w:r>
      <w:r w:rsidRPr="00394EE2">
        <w:rPr>
          <w:sz w:val="24"/>
          <w:szCs w:val="24"/>
        </w:rPr>
        <w:instrText xml:space="preserve"> ADDIN EN.REFLIST </w:instrText>
      </w:r>
      <w:r w:rsidRPr="00394EE2">
        <w:rPr>
          <w:sz w:val="24"/>
          <w:szCs w:val="24"/>
        </w:rPr>
        <w:fldChar w:fldCharType="separate"/>
      </w:r>
      <w:r w:rsidRPr="00394EE2">
        <w:rPr>
          <w:sz w:val="24"/>
          <w:szCs w:val="24"/>
        </w:rPr>
        <w:t xml:space="preserve">ACNC. (2023). ACNC 2021 Annual Information Statement (AIS) Data. Retrieved from: </w:t>
      </w:r>
      <w:hyperlink r:id="rId10" w:history="1">
        <w:r w:rsidRPr="00394EE2">
          <w:rPr>
            <w:rStyle w:val="Hyperlink"/>
            <w:sz w:val="24"/>
            <w:szCs w:val="24"/>
          </w:rPr>
          <w:t>https://data.gov.au/data/dataset/acnc-2021-annual-information-statement-ais-data</w:t>
        </w:r>
      </w:hyperlink>
    </w:p>
    <w:p w14:paraId="10064387" w14:textId="77777777" w:rsidR="00394EE2" w:rsidRPr="00D002F5" w:rsidRDefault="00394EE2" w:rsidP="00394EE2">
      <w:pPr>
        <w:pStyle w:val="EndNoteBibliography"/>
        <w:spacing w:after="120"/>
        <w:ind w:left="720" w:hanging="720"/>
      </w:pPr>
      <w:r w:rsidRPr="00394EE2">
        <w:rPr>
          <w:sz w:val="24"/>
          <w:szCs w:val="24"/>
        </w:rPr>
        <w:fldChar w:fldCharType="end"/>
      </w:r>
    </w:p>
    <w:p w14:paraId="5B594C7C" w14:textId="756EC0B1" w:rsidR="00436952" w:rsidRPr="00436952" w:rsidRDefault="00394EE2" w:rsidP="00394EE2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sectPr w:rsidR="00436952" w:rsidRPr="00436952" w:rsidSect="000A056B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2EE5" w14:textId="77777777" w:rsidR="00291C5A" w:rsidRDefault="00291C5A" w:rsidP="000A056B">
      <w:pPr>
        <w:spacing w:after="0" w:line="240" w:lineRule="auto"/>
      </w:pPr>
      <w:r>
        <w:separator/>
      </w:r>
    </w:p>
  </w:endnote>
  <w:endnote w:type="continuationSeparator" w:id="0">
    <w:p w14:paraId="1B4393F2" w14:textId="77777777" w:rsidR="00291C5A" w:rsidRDefault="00291C5A" w:rsidP="000A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314C5" w14:textId="77777777" w:rsidR="00291C5A" w:rsidRDefault="00291C5A" w:rsidP="000A056B">
      <w:pPr>
        <w:spacing w:after="0" w:line="240" w:lineRule="auto"/>
      </w:pPr>
      <w:r>
        <w:separator/>
      </w:r>
    </w:p>
  </w:footnote>
  <w:footnote w:type="continuationSeparator" w:id="0">
    <w:p w14:paraId="0228BA94" w14:textId="77777777" w:rsidR="00291C5A" w:rsidRDefault="00291C5A" w:rsidP="000A0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C9BC" w14:textId="5206B2A8" w:rsidR="000A056B" w:rsidRDefault="00C92E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6600B836" wp14:editId="44A7E00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D77BEB" w14:textId="5607DA89" w:rsidR="00C92E97" w:rsidRPr="00C92E97" w:rsidRDefault="00C92E97" w:rsidP="00C92E97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92E97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 xml:space="preserve">AUSTRALIAN CHARITY SELECTION </w:t>
                          </w:r>
                          <w:r w:rsidR="00001FFC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>ASSIGNMENT</w:t>
                          </w:r>
                          <w:r w:rsidRPr="00C92E97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 xml:space="preserve"> | SOVAN SINHA ROY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00B836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3ED77BEB" w14:textId="5607DA89" w:rsidR="00C92E97" w:rsidRPr="00C92E97" w:rsidRDefault="00C92E97" w:rsidP="00C92E97">
                    <w:pPr>
                      <w:pStyle w:val="Header"/>
                      <w:jc w:val="center"/>
                      <w:rPr>
                        <w:b/>
                        <w:bCs/>
                        <w:caps/>
                        <w:color w:val="FFFFFF" w:themeColor="background1"/>
                        <w:sz w:val="18"/>
                        <w:szCs w:val="18"/>
                      </w:rPr>
                    </w:pPr>
                    <w:r w:rsidRPr="00C92E97">
                      <w:rPr>
                        <w:b/>
                        <w:bCs/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AUSTRALIAN CHARITY SELECTION </w:t>
                    </w:r>
                    <w:r w:rsidR="00001FFC">
                      <w:rPr>
                        <w:b/>
                        <w:bCs/>
                        <w:caps/>
                        <w:color w:val="FFFFFF" w:themeColor="background1"/>
                        <w:sz w:val="18"/>
                        <w:szCs w:val="18"/>
                      </w:rPr>
                      <w:t>ASSIGNMENT</w:t>
                    </w:r>
                    <w:r w:rsidRPr="00C92E97">
                      <w:rPr>
                        <w:b/>
                        <w:bCs/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| SOVAN SINHA ROY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-1086611342"/>
        <w:docPartObj>
          <w:docPartGallery w:val="Page Numbers (Margins)"/>
          <w:docPartUnique/>
        </w:docPartObj>
      </w:sdtPr>
      <w:sdtContent>
        <w:r w:rsidR="000A056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7397F5F" wp14:editId="13D80C2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7B159" w14:textId="77777777" w:rsidR="000A056B" w:rsidRDefault="000A056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7397F5F" id="Rectangle 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" o:allowincell="f" filled="f" stroked="f">
                  <v:textbox style="layout-flow:vertical;mso-layout-flow-alt:bottom-to-top;mso-fit-shape-to-text:t">
                    <w:txbxContent>
                      <w:p w14:paraId="6257B159" w14:textId="77777777" w:rsidR="000A056B" w:rsidRDefault="000A056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3D6"/>
    <w:multiLevelType w:val="hybridMultilevel"/>
    <w:tmpl w:val="F2869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14FB9"/>
    <w:multiLevelType w:val="hybridMultilevel"/>
    <w:tmpl w:val="3C0021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41513">
    <w:abstractNumId w:val="1"/>
  </w:num>
  <w:num w:numId="2" w16cid:durableId="207782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xNDcytTQys7AwMDdQ0lEKTi0uzszPAykwrQUAzLW9u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vttdrxf0a29awevst2599fuwp5exxpws9vx&quot;&gt;My EndNote Library&lt;record-ids&gt;&lt;item&gt;203&lt;/item&gt;&lt;/record-ids&gt;&lt;/item&gt;&lt;/Libraries&gt;"/>
  </w:docVars>
  <w:rsids>
    <w:rsidRoot w:val="00671F7F"/>
    <w:rsid w:val="00001FFC"/>
    <w:rsid w:val="000A056B"/>
    <w:rsid w:val="000A776F"/>
    <w:rsid w:val="00291C5A"/>
    <w:rsid w:val="003375F3"/>
    <w:rsid w:val="0037091D"/>
    <w:rsid w:val="00394EE2"/>
    <w:rsid w:val="003B0581"/>
    <w:rsid w:val="00436952"/>
    <w:rsid w:val="004F008B"/>
    <w:rsid w:val="00521E97"/>
    <w:rsid w:val="005C55AC"/>
    <w:rsid w:val="005D371F"/>
    <w:rsid w:val="00671F7F"/>
    <w:rsid w:val="00694263"/>
    <w:rsid w:val="007453D4"/>
    <w:rsid w:val="007C4C94"/>
    <w:rsid w:val="008C706D"/>
    <w:rsid w:val="008E741C"/>
    <w:rsid w:val="00985816"/>
    <w:rsid w:val="00C92E97"/>
    <w:rsid w:val="00CA103F"/>
    <w:rsid w:val="00CA649B"/>
    <w:rsid w:val="00CC76EE"/>
    <w:rsid w:val="00D002F5"/>
    <w:rsid w:val="00D4335E"/>
    <w:rsid w:val="00D779D5"/>
    <w:rsid w:val="00E962E9"/>
    <w:rsid w:val="00F6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38CBE"/>
  <w15:chartTrackingRefBased/>
  <w15:docId w15:val="{DB52D666-E113-476C-89D9-D9CCAF7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6B"/>
  </w:style>
  <w:style w:type="paragraph" w:styleId="Footer">
    <w:name w:val="footer"/>
    <w:basedOn w:val="Normal"/>
    <w:link w:val="FooterChar"/>
    <w:uiPriority w:val="99"/>
    <w:unhideWhenUsed/>
    <w:rsid w:val="000A0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6B"/>
  </w:style>
  <w:style w:type="paragraph" w:customStyle="1" w:styleId="EndNoteBibliographyTitle">
    <w:name w:val="EndNote Bibliography Title"/>
    <w:basedOn w:val="Normal"/>
    <w:link w:val="EndNoteBibliographyTitleChar"/>
    <w:rsid w:val="007C4C9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4C94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C4C94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C4C94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70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gencyaction.org.au/eaa-2021/posts/4-factors-to-consider-when-deciding-what-charity-to-give-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c.net.au/news/2023-08-23/training-support-workers-mackay/1027080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ta.gov.au/data/dataset/acnc-2021-annual-information-statement-ais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vationarmy.org.au/need-help/family-and-domestic-violence/learn-more-about-domestic-violence/vulnerable-grou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Sinha Roy</dc:creator>
  <cp:keywords/>
  <dc:description/>
  <cp:lastModifiedBy>Sovan Sinha Roy</cp:lastModifiedBy>
  <cp:revision>15</cp:revision>
  <dcterms:created xsi:type="dcterms:W3CDTF">2023-12-08T08:20:00Z</dcterms:created>
  <dcterms:modified xsi:type="dcterms:W3CDTF">2023-12-10T13:45:00Z</dcterms:modified>
</cp:coreProperties>
</file>