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Hidouri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Najib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Génie chimique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11/06/2025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http://verify.eniga.smartschools.tn/verify.html?id=6869b3fb776dac99de32d81d7ebdca1e23689c34f26d43c743da63f3f7cc50e5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