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03/2025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Abassi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Mohamed Ammar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Physique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12/06/2025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http://verify.eniga.smartschools.tn/verify.html?id=e7e9a866716c890793eb3e8a36e3fed45acec0c08b7d7a087ebf281abc80cd9c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